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72D2C" w14:textId="75292EAE" w:rsidR="00164103" w:rsidRDefault="0095278E" w:rsidP="00E55A02">
      <w:pPr>
        <w:spacing w:after="0" w:line="240" w:lineRule="auto"/>
      </w:pPr>
      <w:bookmarkStart w:id="0" w:name="_GoBack"/>
      <w:bookmarkEnd w:id="0"/>
      <w:r>
        <w:rPr>
          <w:noProof/>
        </w:rPr>
        <w:pict w14:anchorId="62CD3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6" type="#_x0000_t75" alt="Front cover" style="position:absolute;margin-left:.45pt;margin-top:.45pt;width:595.65pt;height:841.55pt;z-index:251671588;mso-position-horizontal:absolute;mso-position-horizontal-relative:text;mso-position-vertical:absolute;mso-position-vertical-relative:text;mso-width-relative:page;mso-height-relative:page">
            <v:imagedata r:id="rId12" o:title="CoverCumulative"/>
            <w10:wrap type="topAndBottom"/>
          </v:shape>
        </w:pict>
      </w:r>
    </w:p>
    <w:p w14:paraId="6F17ADC1" w14:textId="26A7D01D" w:rsidR="00164103" w:rsidRDefault="00164103" w:rsidP="00E55A02">
      <w:pPr>
        <w:spacing w:after="0" w:line="240" w:lineRule="auto"/>
        <w:rPr>
          <w:rFonts w:ascii="Century Gothic" w:hAnsi="Century Gothic"/>
          <w:b/>
        </w:rPr>
        <w:sectPr w:rsidR="00164103" w:rsidSect="00A56999">
          <w:pgSz w:w="11900" w:h="16840"/>
          <w:pgMar w:top="851" w:right="845" w:bottom="992" w:left="851" w:header="709" w:footer="709" w:gutter="0"/>
          <w:cols w:space="708"/>
          <w:docGrid w:linePitch="360"/>
        </w:sectPr>
      </w:pPr>
    </w:p>
    <w:p w14:paraId="4DEF5275" w14:textId="77777777" w:rsidR="00164103" w:rsidRDefault="00164103" w:rsidP="00E55A02">
      <w:pPr>
        <w:spacing w:after="0" w:line="240" w:lineRule="auto"/>
        <w:rPr>
          <w:rFonts w:ascii="Century Gothic" w:eastAsia="Times New Roman" w:hAnsi="Century Gothic" w:cs="Arial"/>
          <w:sz w:val="18"/>
          <w:szCs w:val="18"/>
        </w:rPr>
      </w:pPr>
    </w:p>
    <w:p w14:paraId="66B529A6" w14:textId="5311DB52" w:rsidR="00E55A02" w:rsidRPr="00E55A02" w:rsidRDefault="00E55A02" w:rsidP="00E55A02">
      <w:pPr>
        <w:spacing w:after="0" w:line="240" w:lineRule="auto"/>
        <w:rPr>
          <w:rFonts w:ascii="Arial" w:eastAsia="Times New Roman" w:hAnsi="Arial" w:cs="Arial"/>
          <w:sz w:val="20"/>
          <w:szCs w:val="20"/>
          <w:lang w:eastAsia="en-AU"/>
        </w:rPr>
      </w:pPr>
      <w:r w:rsidRPr="007307E5">
        <w:rPr>
          <w:rFonts w:ascii="Century Gothic" w:eastAsia="Times New Roman" w:hAnsi="Century Gothic" w:cs="Arial"/>
          <w:sz w:val="18"/>
          <w:szCs w:val="18"/>
        </w:rPr>
        <w:t>© Commonwealth of Australia 2017</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Published by the Great Barrier Reef Marine Park Authority</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 xml:space="preserve">ISBN </w:t>
      </w:r>
      <w:r w:rsidRPr="00E55A02">
        <w:rPr>
          <w:rFonts w:ascii="Century Gothic" w:eastAsia="Times New Roman" w:hAnsi="Century Gothic" w:cs="Arial"/>
          <w:sz w:val="18"/>
          <w:szCs w:val="18"/>
        </w:rPr>
        <w:t>978-0-9953732-0-4</w:t>
      </w:r>
    </w:p>
    <w:p w14:paraId="2DE5C78A" w14:textId="7B505D2D" w:rsidR="00E55A02" w:rsidRPr="007307E5" w:rsidRDefault="00E55A02" w:rsidP="00E55A02">
      <w:pPr>
        <w:spacing w:before="120" w:after="120"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 xml:space="preserve">The </w:t>
      </w:r>
      <w:r>
        <w:rPr>
          <w:rFonts w:ascii="Century Gothic" w:eastAsia="Times New Roman" w:hAnsi="Century Gothic" w:cs="Arial"/>
          <w:i/>
          <w:sz w:val="18"/>
          <w:szCs w:val="18"/>
        </w:rPr>
        <w:t>Cumulative impact management policy</w:t>
      </w:r>
      <w:r w:rsidRPr="007307E5">
        <w:rPr>
          <w:rFonts w:ascii="Century Gothic" w:eastAsia="Times New Roman" w:hAnsi="Century Gothic" w:cs="Arial"/>
          <w:i/>
          <w:sz w:val="18"/>
          <w:szCs w:val="18"/>
        </w:rPr>
        <w:t>: Draft for public consultation</w:t>
      </w:r>
      <w:r w:rsidRPr="007307E5">
        <w:rPr>
          <w:rFonts w:ascii="Century Gothic" w:eastAsia="Times New Roman" w:hAnsi="Century Gothic" w:cs="Arial"/>
          <w:sz w:val="18"/>
          <w:szCs w:val="18"/>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3" w:tooltip="the creative commons web site" w:history="1">
        <w:r w:rsidRPr="007307E5">
          <w:rPr>
            <w:rFonts w:ascii="Century Gothic" w:eastAsia="Times New Roman" w:hAnsi="Century Gothic" w:cs="Arial"/>
            <w:color w:val="0000FF"/>
            <w:sz w:val="18"/>
            <w:szCs w:val="18"/>
            <w:u w:val="single"/>
          </w:rPr>
          <w:t>http://creativecommons.org/licences/by/4.0</w:t>
        </w:r>
      </w:hyperlink>
      <w:r w:rsidRPr="007307E5">
        <w:rPr>
          <w:rFonts w:ascii="Century Gothic" w:eastAsia="Times New Roman" w:hAnsi="Century Gothic" w:cs="Arial"/>
          <w:sz w:val="18"/>
          <w:szCs w:val="18"/>
        </w:rPr>
        <w:t xml:space="preserve"> </w:t>
      </w:r>
      <w:r w:rsidRPr="007307E5">
        <w:rPr>
          <w:rFonts w:ascii="Century Gothic" w:eastAsia="Times New Roman" w:hAnsi="Century Gothic" w:cs="Arial"/>
          <w:sz w:val="18"/>
          <w:szCs w:val="18"/>
        </w:rPr>
        <w:cr/>
      </w:r>
      <w:hyperlink r:id="rId14" w:history="1">
        <w:r w:rsidR="0095278E">
          <w:rPr>
            <w:rFonts w:ascii="Century Gothic" w:eastAsia="Times New Roman" w:hAnsi="Century Gothic"/>
            <w:noProof/>
            <w:lang w:eastAsia="en-AU"/>
          </w:rPr>
          <w:pict w14:anchorId="41AC438F">
            <v:shape id="_x0000_i1025" type="#_x0000_t75" alt="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href="http://creativecommons.org/licences/by/3.0/au" style="width:97.5pt;height:33.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" o:button="t">
              <v:fill o:detectmouseclick="t"/>
              <v:imagedata r:id="rId15" o:title="" cropbottom="-98f" cropright="-68f"/>
            </v:shape>
          </w:pict>
        </w:r>
      </w:hyperlink>
    </w:p>
    <w:p w14:paraId="6324B500" w14:textId="77777777" w:rsidR="00E55A02" w:rsidRPr="007307E5" w:rsidRDefault="00E55A02" w:rsidP="00E55A02">
      <w:pPr>
        <w:spacing w:after="0" w:line="240" w:lineRule="auto"/>
        <w:rPr>
          <w:rFonts w:ascii="Century Gothic" w:eastAsia="Times New Roman" w:hAnsi="Century Gothic" w:cs="Arial"/>
          <w:b/>
          <w:sz w:val="20"/>
          <w:szCs w:val="20"/>
        </w:rPr>
      </w:pPr>
    </w:p>
    <w:p w14:paraId="12409FDD" w14:textId="12402187" w:rsidR="00E55A02" w:rsidRPr="00E55A02" w:rsidRDefault="00E55A02" w:rsidP="00E55A02">
      <w:pPr>
        <w:spacing w:after="0" w:line="240" w:lineRule="auto"/>
        <w:rPr>
          <w:rFonts w:ascii="Century Gothic" w:eastAsia="Times New Roman" w:hAnsi="Century Gothic" w:cs="Arial"/>
          <w:b/>
          <w:sz w:val="18"/>
          <w:szCs w:val="18"/>
        </w:rPr>
      </w:pPr>
      <w:r w:rsidRPr="00E55A02">
        <w:rPr>
          <w:rFonts w:ascii="Century Gothic" w:eastAsia="Times New Roman" w:hAnsi="Century Gothic" w:cs="Arial"/>
          <w:b/>
          <w:sz w:val="18"/>
          <w:szCs w:val="18"/>
        </w:rPr>
        <w:t>A catalogu</w:t>
      </w:r>
      <w:r>
        <w:rPr>
          <w:rFonts w:ascii="Century Gothic" w:eastAsia="Times New Roman" w:hAnsi="Century Gothic" w:cs="Arial"/>
          <w:b/>
          <w:sz w:val="18"/>
          <w:szCs w:val="18"/>
        </w:rPr>
        <w:t>ing</w:t>
      </w:r>
      <w:r w:rsidRPr="00E55A02">
        <w:rPr>
          <w:rFonts w:ascii="Century Gothic" w:eastAsia="Times New Roman" w:hAnsi="Century Gothic" w:cs="Arial"/>
          <w:b/>
          <w:sz w:val="18"/>
          <w:szCs w:val="18"/>
        </w:rPr>
        <w:t xml:space="preserve"> record for this publication is available from the National Library of Australia </w:t>
      </w:r>
    </w:p>
    <w:p w14:paraId="5441931D" w14:textId="77777777" w:rsidR="00E55A02" w:rsidRDefault="00E55A02" w:rsidP="00E55A02">
      <w:pPr>
        <w:spacing w:after="0" w:line="240" w:lineRule="auto"/>
        <w:rPr>
          <w:rFonts w:ascii="Century Gothic" w:eastAsia="Times New Roman" w:hAnsi="Century Gothic" w:cs="Arial"/>
          <w:b/>
          <w:sz w:val="20"/>
          <w:szCs w:val="20"/>
        </w:rPr>
      </w:pPr>
    </w:p>
    <w:p w14:paraId="72B5915B" w14:textId="77777777" w:rsidR="00E55A02" w:rsidRPr="007307E5" w:rsidRDefault="00E55A02" w:rsidP="00E55A02">
      <w:pPr>
        <w:spacing w:after="0" w:line="240" w:lineRule="auto"/>
        <w:rPr>
          <w:rFonts w:ascii="Century Gothic" w:eastAsia="Times New Roman" w:hAnsi="Century Gothic"/>
          <w:b/>
          <w:color w:val="FF0000"/>
        </w:rPr>
      </w:pPr>
    </w:p>
    <w:p w14:paraId="3A963763" w14:textId="77777777" w:rsidR="00E55A02" w:rsidRPr="007307E5" w:rsidRDefault="00E55A02" w:rsidP="00E55A02">
      <w:pPr>
        <w:spacing w:line="240" w:lineRule="auto"/>
        <w:rPr>
          <w:rFonts w:ascii="Century Gothic" w:eastAsia="Times New Roman" w:hAnsi="Century Gothic" w:cs="Arial"/>
          <w:b/>
          <w:bCs/>
          <w:sz w:val="18"/>
          <w:szCs w:val="18"/>
        </w:rPr>
      </w:pPr>
      <w:r w:rsidRPr="007307E5">
        <w:rPr>
          <w:rFonts w:ascii="Century Gothic" w:eastAsia="Times New Roman" w:hAnsi="Century Gothic" w:cs="Arial"/>
          <w:b/>
          <w:bCs/>
          <w:sz w:val="18"/>
          <w:szCs w:val="18"/>
        </w:rPr>
        <w:t>This publication should be cited as:</w:t>
      </w:r>
    </w:p>
    <w:p w14:paraId="2FD79706" w14:textId="54B794B9" w:rsidR="00E55A02" w:rsidRPr="007307E5" w:rsidRDefault="00E55A02" w:rsidP="00E55A02">
      <w:pPr>
        <w:spacing w:line="240" w:lineRule="auto"/>
        <w:rPr>
          <w:rFonts w:ascii="Century Gothic" w:eastAsia="Times New Roman" w:hAnsi="Century Gothic" w:cs="Arial"/>
          <w:sz w:val="18"/>
          <w:szCs w:val="18"/>
        </w:rPr>
      </w:pPr>
      <w:r w:rsidRPr="007307E5">
        <w:rPr>
          <w:rFonts w:ascii="Century Gothic" w:eastAsia="Calibri" w:hAnsi="Century Gothic" w:cs="Arial"/>
          <w:sz w:val="18"/>
          <w:szCs w:val="18"/>
        </w:rPr>
        <w:t>Great Barrier Reef Marine Park Authority 20</w:t>
      </w:r>
      <w:r>
        <w:rPr>
          <w:rFonts w:ascii="Century Gothic" w:eastAsia="Calibri" w:hAnsi="Century Gothic" w:cs="Arial"/>
          <w:sz w:val="18"/>
          <w:szCs w:val="18"/>
        </w:rPr>
        <w:t>17</w:t>
      </w:r>
      <w:r w:rsidRPr="007307E5">
        <w:rPr>
          <w:rFonts w:ascii="Century Gothic" w:eastAsia="Calibri" w:hAnsi="Century Gothic" w:cs="Arial"/>
          <w:sz w:val="18"/>
          <w:szCs w:val="18"/>
        </w:rPr>
        <w:t xml:space="preserve">, </w:t>
      </w:r>
      <w:r>
        <w:rPr>
          <w:rFonts w:ascii="Century Gothic" w:eastAsia="Times New Roman" w:hAnsi="Century Gothic" w:cs="Arial"/>
          <w:i/>
          <w:sz w:val="18"/>
          <w:szCs w:val="18"/>
        </w:rPr>
        <w:t>Cumulative impact management policy</w:t>
      </w:r>
      <w:r w:rsidRPr="007307E5">
        <w:rPr>
          <w:rFonts w:ascii="Century Gothic" w:eastAsia="Times New Roman" w:hAnsi="Century Gothic" w:cs="Arial"/>
          <w:i/>
          <w:sz w:val="18"/>
          <w:szCs w:val="18"/>
        </w:rPr>
        <w:t>: Draft for public consultation</w:t>
      </w:r>
      <w:r w:rsidRPr="007307E5">
        <w:rPr>
          <w:rFonts w:ascii="Century Gothic" w:eastAsia="Calibri" w:hAnsi="Century Gothic" w:cs="Arial"/>
          <w:sz w:val="18"/>
          <w:szCs w:val="18"/>
        </w:rPr>
        <w:t>, GBRMPA, Townsville.</w:t>
      </w:r>
    </w:p>
    <w:p w14:paraId="7CC994A5" w14:textId="77777777" w:rsidR="00E55A02" w:rsidRPr="007307E5" w:rsidRDefault="00E55A02" w:rsidP="00E55A02">
      <w:pPr>
        <w:spacing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Comments and questions regarding this document are welcome and should be addressed to:</w:t>
      </w:r>
    </w:p>
    <w:p w14:paraId="5C588B7B" w14:textId="77777777" w:rsidR="00E55A02" w:rsidRPr="007307E5" w:rsidRDefault="00E55A02" w:rsidP="00E55A02">
      <w:pPr>
        <w:spacing w:line="240" w:lineRule="auto"/>
        <w:rPr>
          <w:rFonts w:ascii="Century Gothic" w:eastAsia="Times New Roman" w:hAnsi="Century Gothic" w:cs="Arial"/>
          <w:sz w:val="18"/>
          <w:szCs w:val="18"/>
        </w:rPr>
      </w:pPr>
      <w:r w:rsidRPr="007307E5">
        <w:rPr>
          <w:rFonts w:ascii="Century Gothic" w:eastAsia="Times New Roman" w:hAnsi="Century Gothic"/>
          <w:noProof/>
          <w:lang w:eastAsia="en-AU"/>
        </w:rPr>
        <w:t xml:space="preserve"> </w:t>
      </w:r>
      <w:r w:rsidR="0095278E">
        <w:rPr>
          <w:rFonts w:ascii="Century Gothic" w:eastAsia="Times New Roman" w:hAnsi="Century Gothic"/>
          <w:noProof/>
          <w:lang w:eastAsia="en-AU"/>
        </w:rPr>
        <w:pict w14:anchorId="08A893B4">
          <v:shape id="_x0000_i1026" type="#_x0000_t75" alt="Great Barrier Reef Marine Park Authority logo" style="width:143.25pt;height:57pt;visibility:visible;mso-wrap-style:square">
            <v:imagedata r:id="rId16" o:title="Great Barrier Reef Marine Park Authority logo"/>
          </v:shape>
        </w:pict>
      </w:r>
    </w:p>
    <w:p w14:paraId="4BEBCC2B"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Great Barrier Reef Marine Park Authority</w:t>
      </w:r>
    </w:p>
    <w:p w14:paraId="30046956"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2–68 Flinders Street</w:t>
      </w:r>
    </w:p>
    <w:p w14:paraId="3449C84F"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(PO Box 1379)</w:t>
      </w:r>
    </w:p>
    <w:p w14:paraId="0D963DCB"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Townsville QLD 4810, Australia</w:t>
      </w:r>
    </w:p>
    <w:p w14:paraId="57CD45F9" w14:textId="77777777" w:rsidR="00E55A02" w:rsidRPr="007307E5" w:rsidRDefault="00E55A02" w:rsidP="00E55A02">
      <w:pPr>
        <w:spacing w:line="240" w:lineRule="auto"/>
        <w:ind w:left="1134"/>
        <w:rPr>
          <w:rFonts w:ascii="Century Gothic" w:eastAsia="Times New Roman" w:hAnsi="Century Gothic" w:cs="Arial"/>
          <w:sz w:val="18"/>
          <w:szCs w:val="18"/>
        </w:rPr>
      </w:pPr>
    </w:p>
    <w:p w14:paraId="79024841"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Phone: (07) 4750 0700</w:t>
      </w:r>
    </w:p>
    <w:p w14:paraId="679AEDE8" w14:textId="77777777" w:rsidR="00E55A02" w:rsidRPr="007307E5" w:rsidRDefault="00E55A02" w:rsidP="00E55A02">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Fax: (07) 4772 6093</w:t>
      </w:r>
      <w:r w:rsidRPr="007307E5">
        <w:rPr>
          <w:rFonts w:ascii="Century Gothic" w:eastAsia="Times New Roman" w:hAnsi="Century Gothic" w:cs="Arial"/>
          <w:sz w:val="18"/>
          <w:szCs w:val="18"/>
        </w:rPr>
        <w:cr/>
        <w:t xml:space="preserve">Email: </w:t>
      </w:r>
      <w:hyperlink r:id="rId17" w:history="1">
        <w:r w:rsidRPr="007307E5">
          <w:rPr>
            <w:rFonts w:ascii="Century Gothic" w:eastAsia="Times New Roman" w:hAnsi="Century Gothic" w:cs="Arial"/>
            <w:color w:val="0000FF"/>
            <w:sz w:val="18"/>
            <w:szCs w:val="18"/>
            <w:u w:val="single"/>
          </w:rPr>
          <w:t>info@gbrmpa.gov.au</w:t>
        </w:r>
      </w:hyperlink>
    </w:p>
    <w:p w14:paraId="3DA5C6B5" w14:textId="77777777" w:rsidR="00E55A02" w:rsidRPr="007307E5" w:rsidRDefault="00E55A02" w:rsidP="00E55A02">
      <w:pPr>
        <w:spacing w:line="240" w:lineRule="auto"/>
        <w:ind w:left="414" w:firstLine="720"/>
        <w:rPr>
          <w:rFonts w:ascii="Century Gothic" w:eastAsia="Times New Roman" w:hAnsi="Century Gothic"/>
          <w:lang w:val="en-US"/>
        </w:rPr>
      </w:pPr>
      <w:r w:rsidRPr="007307E5">
        <w:rPr>
          <w:rFonts w:ascii="Century Gothic" w:eastAsia="Times New Roman" w:hAnsi="Century Gothic" w:cs="Arial"/>
          <w:sz w:val="18"/>
          <w:szCs w:val="18"/>
        </w:rPr>
        <w:t>www.gbrmpa.gov.au</w:t>
      </w:r>
    </w:p>
    <w:p w14:paraId="69CCBB20" w14:textId="77777777" w:rsidR="007F220C" w:rsidRPr="00F66E05" w:rsidRDefault="007F220C" w:rsidP="00F66E05">
      <w:pPr>
        <w:pStyle w:val="BodyTextNumbering"/>
        <w:rPr>
          <w:rFonts w:ascii="Century Gothic" w:hAnsi="Century Gothic"/>
          <w:b/>
        </w:rPr>
      </w:pPr>
    </w:p>
    <w:p w14:paraId="69BD8996" w14:textId="77777777" w:rsidR="00164103" w:rsidRDefault="00164103" w:rsidP="007F220C">
      <w:pPr>
        <w:pStyle w:val="TOCHeading1"/>
        <w:tabs>
          <w:tab w:val="left" w:pos="9498"/>
        </w:tabs>
        <w:spacing w:before="240"/>
        <w:ind w:left="1134"/>
        <w:rPr>
          <w:rFonts w:ascii="Century Gothic" w:hAnsi="Century Gothic"/>
        </w:rPr>
        <w:sectPr w:rsidR="00164103" w:rsidSect="00164103">
          <w:headerReference w:type="default" r:id="rId18"/>
          <w:footerReference w:type="default" r:id="rId19"/>
          <w:pgSz w:w="11900" w:h="16840"/>
          <w:pgMar w:top="851" w:right="845" w:bottom="992" w:left="851" w:header="709" w:footer="709" w:gutter="0"/>
          <w:pgNumType w:start="1"/>
          <w:cols w:space="708"/>
          <w:docGrid w:linePitch="360"/>
        </w:sectPr>
      </w:pPr>
    </w:p>
    <w:p w14:paraId="69CCBB21" w14:textId="724455A2" w:rsidR="00FD0903" w:rsidRPr="00393696" w:rsidRDefault="00FD0903" w:rsidP="007F220C">
      <w:pPr>
        <w:pStyle w:val="TOCHeading1"/>
        <w:tabs>
          <w:tab w:val="left" w:pos="9498"/>
        </w:tabs>
        <w:spacing w:before="240"/>
        <w:ind w:left="1134"/>
        <w:rPr>
          <w:rFonts w:ascii="Century Gothic" w:eastAsia="MS Mincho" w:hAnsi="Century Gothic"/>
          <w:bCs w:val="0"/>
          <w:color w:val="005782"/>
          <w:sz w:val="30"/>
          <w:szCs w:val="30"/>
          <w:lang w:val="en-AU" w:eastAsia="en-AU"/>
        </w:rPr>
      </w:pPr>
      <w:r w:rsidRPr="00FD0903">
        <w:rPr>
          <w:rFonts w:ascii="Century Gothic" w:hAnsi="Century Gothic"/>
        </w:rPr>
        <w:lastRenderedPageBreak/>
        <w:t>Contents</w:t>
      </w:r>
      <w:r w:rsidRPr="00FD0903">
        <w:rPr>
          <w:rFonts w:ascii="Century Gothic" w:hAnsi="Century Gothic"/>
          <w:b w:val="0"/>
        </w:rPr>
        <w:tab/>
      </w:r>
    </w:p>
    <w:p w14:paraId="6CF099A8" w14:textId="77777777" w:rsidR="00A8398B" w:rsidRPr="002203A9" w:rsidRDefault="00FD0903">
      <w:pPr>
        <w:pStyle w:val="TOC2"/>
        <w:rPr>
          <w:rFonts w:ascii="Century Gothic" w:eastAsia="Times New Roman" w:hAnsi="Century Gothic"/>
          <w:noProof/>
          <w:sz w:val="24"/>
          <w:szCs w:val="24"/>
          <w:lang w:val="en-AU" w:eastAsia="en-AU"/>
        </w:rPr>
      </w:pPr>
      <w:r w:rsidRPr="00935E0F">
        <w:rPr>
          <w:rFonts w:ascii="Century Gothic" w:hAnsi="Century Gothic" w:cs="Arial"/>
          <w:sz w:val="24"/>
          <w:szCs w:val="24"/>
        </w:rPr>
        <w:fldChar w:fldCharType="begin"/>
      </w:r>
      <w:r w:rsidRPr="00935E0F">
        <w:rPr>
          <w:rFonts w:ascii="Century Gothic" w:hAnsi="Century Gothic" w:cs="Arial"/>
          <w:sz w:val="24"/>
          <w:szCs w:val="24"/>
        </w:rPr>
        <w:instrText xml:space="preserve"> TOC \o "1-3" \h \z \u </w:instrText>
      </w:r>
      <w:r w:rsidRPr="00935E0F">
        <w:rPr>
          <w:rFonts w:ascii="Century Gothic" w:hAnsi="Century Gothic" w:cs="Arial"/>
          <w:sz w:val="24"/>
          <w:szCs w:val="24"/>
        </w:rPr>
        <w:fldChar w:fldCharType="separate"/>
      </w:r>
      <w:hyperlink w:anchor="_Toc482002019" w:history="1">
        <w:r w:rsidR="00A8398B" w:rsidRPr="002203A9">
          <w:rPr>
            <w:rStyle w:val="Hyperlink"/>
            <w:rFonts w:ascii="Century Gothic" w:hAnsi="Century Gothic"/>
            <w:noProof/>
            <w:sz w:val="24"/>
            <w:szCs w:val="24"/>
          </w:rPr>
          <w:t>Purpose</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_Toc482002019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4</w:t>
        </w:r>
        <w:r w:rsidR="00A8398B" w:rsidRPr="002203A9">
          <w:rPr>
            <w:rFonts w:ascii="Century Gothic" w:hAnsi="Century Gothic"/>
            <w:noProof/>
            <w:webHidden/>
            <w:sz w:val="24"/>
            <w:szCs w:val="24"/>
          </w:rPr>
          <w:fldChar w:fldCharType="end"/>
        </w:r>
      </w:hyperlink>
    </w:p>
    <w:p w14:paraId="6543A4DC" w14:textId="77777777" w:rsidR="00A8398B" w:rsidRPr="002203A9" w:rsidRDefault="0095278E">
      <w:pPr>
        <w:pStyle w:val="TOC2"/>
        <w:rPr>
          <w:rFonts w:ascii="Century Gothic" w:eastAsia="Times New Roman" w:hAnsi="Century Gothic"/>
          <w:noProof/>
          <w:sz w:val="24"/>
          <w:szCs w:val="24"/>
          <w:lang w:val="en-AU" w:eastAsia="en-AU"/>
        </w:rPr>
      </w:pPr>
      <w:hyperlink w:anchor="_Toc482002020" w:history="1">
        <w:r w:rsidR="00A8398B" w:rsidRPr="002203A9">
          <w:rPr>
            <w:rStyle w:val="Hyperlink"/>
            <w:rFonts w:ascii="Century Gothic" w:hAnsi="Century Gothic"/>
            <w:noProof/>
            <w:sz w:val="24"/>
            <w:szCs w:val="24"/>
          </w:rPr>
          <w:t>Target audience</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_Toc482002020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4</w:t>
        </w:r>
        <w:r w:rsidR="00A8398B" w:rsidRPr="002203A9">
          <w:rPr>
            <w:rFonts w:ascii="Century Gothic" w:hAnsi="Century Gothic"/>
            <w:noProof/>
            <w:webHidden/>
            <w:sz w:val="24"/>
            <w:szCs w:val="24"/>
          </w:rPr>
          <w:fldChar w:fldCharType="end"/>
        </w:r>
      </w:hyperlink>
    </w:p>
    <w:p w14:paraId="6F187C3D" w14:textId="77777777" w:rsidR="00A8398B" w:rsidRPr="002203A9" w:rsidRDefault="0095278E">
      <w:pPr>
        <w:pStyle w:val="TOC2"/>
        <w:rPr>
          <w:rFonts w:ascii="Century Gothic" w:eastAsia="Times New Roman" w:hAnsi="Century Gothic"/>
          <w:noProof/>
          <w:sz w:val="24"/>
          <w:szCs w:val="24"/>
          <w:lang w:val="en-AU" w:eastAsia="en-AU"/>
        </w:rPr>
      </w:pPr>
      <w:hyperlink w:anchor="_Toc482002021" w:history="1">
        <w:r w:rsidR="00A8398B" w:rsidRPr="002203A9">
          <w:rPr>
            <w:rStyle w:val="Hyperlink"/>
            <w:rFonts w:ascii="Century Gothic" w:hAnsi="Century Gothic"/>
            <w:noProof/>
            <w:sz w:val="24"/>
            <w:szCs w:val="24"/>
          </w:rPr>
          <w:t>Context</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_Toc482002021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4</w:t>
        </w:r>
        <w:r w:rsidR="00A8398B" w:rsidRPr="002203A9">
          <w:rPr>
            <w:rFonts w:ascii="Century Gothic" w:hAnsi="Century Gothic"/>
            <w:noProof/>
            <w:webHidden/>
            <w:sz w:val="24"/>
            <w:szCs w:val="24"/>
          </w:rPr>
          <w:fldChar w:fldCharType="end"/>
        </w:r>
      </w:hyperlink>
    </w:p>
    <w:p w14:paraId="196314B7" w14:textId="77777777" w:rsidR="00A8398B" w:rsidRPr="002203A9" w:rsidRDefault="0095278E">
      <w:pPr>
        <w:pStyle w:val="TOC2"/>
        <w:rPr>
          <w:rFonts w:ascii="Century Gothic" w:eastAsia="Times New Roman" w:hAnsi="Century Gothic"/>
          <w:noProof/>
          <w:sz w:val="24"/>
          <w:szCs w:val="24"/>
          <w:lang w:val="en-AU" w:eastAsia="en-AU"/>
        </w:rPr>
      </w:pPr>
      <w:hyperlink w:anchor="_Toc482002022" w:history="1">
        <w:r w:rsidR="00A8398B" w:rsidRPr="002203A9">
          <w:rPr>
            <w:rStyle w:val="Hyperlink"/>
            <w:rFonts w:ascii="Century Gothic" w:hAnsi="Century Gothic"/>
            <w:noProof/>
            <w:sz w:val="24"/>
            <w:szCs w:val="24"/>
          </w:rPr>
          <w:t>Foundational policy statements</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_Toc482002022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7</w:t>
        </w:r>
        <w:r w:rsidR="00A8398B" w:rsidRPr="002203A9">
          <w:rPr>
            <w:rFonts w:ascii="Century Gothic" w:hAnsi="Century Gothic"/>
            <w:noProof/>
            <w:webHidden/>
            <w:sz w:val="24"/>
            <w:szCs w:val="24"/>
          </w:rPr>
          <w:fldChar w:fldCharType="end"/>
        </w:r>
      </w:hyperlink>
    </w:p>
    <w:p w14:paraId="091E8155" w14:textId="77777777" w:rsidR="00A8398B" w:rsidRPr="002203A9" w:rsidRDefault="0095278E">
      <w:pPr>
        <w:pStyle w:val="TOC2"/>
        <w:rPr>
          <w:rFonts w:ascii="Century Gothic" w:eastAsia="Times New Roman" w:hAnsi="Century Gothic"/>
          <w:noProof/>
          <w:sz w:val="24"/>
          <w:szCs w:val="24"/>
          <w:lang w:val="en-AU" w:eastAsia="en-AU"/>
        </w:rPr>
      </w:pPr>
      <w:hyperlink w:anchor="_Toc482002023" w:history="1">
        <w:r w:rsidR="00A8398B" w:rsidRPr="002203A9">
          <w:rPr>
            <w:rStyle w:val="Hyperlink"/>
            <w:rFonts w:ascii="Century Gothic" w:hAnsi="Century Gothic"/>
            <w:noProof/>
            <w:sz w:val="24"/>
            <w:szCs w:val="24"/>
          </w:rPr>
          <w:t>Cumulative impact management policy statements</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_Toc482002023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9</w:t>
        </w:r>
        <w:r w:rsidR="00A8398B" w:rsidRPr="002203A9">
          <w:rPr>
            <w:rFonts w:ascii="Century Gothic" w:hAnsi="Century Gothic"/>
            <w:noProof/>
            <w:webHidden/>
            <w:sz w:val="24"/>
            <w:szCs w:val="24"/>
          </w:rPr>
          <w:fldChar w:fldCharType="end"/>
        </w:r>
      </w:hyperlink>
    </w:p>
    <w:p w14:paraId="72544CFA" w14:textId="77777777" w:rsidR="00A8398B" w:rsidRPr="002203A9" w:rsidRDefault="0095278E">
      <w:pPr>
        <w:pStyle w:val="TOC2"/>
        <w:rPr>
          <w:rFonts w:ascii="Century Gothic" w:eastAsia="Times New Roman" w:hAnsi="Century Gothic"/>
          <w:noProof/>
          <w:sz w:val="24"/>
          <w:szCs w:val="24"/>
          <w:lang w:val="en-AU" w:eastAsia="en-AU"/>
        </w:rPr>
      </w:pPr>
      <w:hyperlink w:anchor="_Toc482002024" w:history="1">
        <w:r w:rsidR="00A8398B" w:rsidRPr="002203A9">
          <w:rPr>
            <w:rStyle w:val="Hyperlink"/>
            <w:rFonts w:ascii="Century Gothic" w:hAnsi="Century Gothic"/>
            <w:noProof/>
            <w:sz w:val="24"/>
            <w:szCs w:val="24"/>
          </w:rPr>
          <w:t>Process</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_Toc482002024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13</w:t>
        </w:r>
        <w:r w:rsidR="00A8398B" w:rsidRPr="002203A9">
          <w:rPr>
            <w:rFonts w:ascii="Century Gothic" w:hAnsi="Century Gothic"/>
            <w:noProof/>
            <w:webHidden/>
            <w:sz w:val="24"/>
            <w:szCs w:val="24"/>
          </w:rPr>
          <w:fldChar w:fldCharType="end"/>
        </w:r>
      </w:hyperlink>
    </w:p>
    <w:p w14:paraId="271A0E61" w14:textId="77777777" w:rsidR="00A8398B" w:rsidRPr="002203A9" w:rsidRDefault="0095278E">
      <w:pPr>
        <w:pStyle w:val="TOC2"/>
        <w:rPr>
          <w:rFonts w:ascii="Century Gothic" w:eastAsia="Times New Roman" w:hAnsi="Century Gothic"/>
          <w:noProof/>
          <w:sz w:val="24"/>
          <w:szCs w:val="24"/>
          <w:lang w:val="en-AU" w:eastAsia="en-AU"/>
        </w:rPr>
      </w:pPr>
      <w:hyperlink w:anchor="_Toc482002025" w:history="1">
        <w:r w:rsidR="00A8398B" w:rsidRPr="002203A9">
          <w:rPr>
            <w:rStyle w:val="Hyperlink"/>
            <w:rFonts w:ascii="Century Gothic" w:hAnsi="Century Gothic"/>
            <w:noProof/>
            <w:sz w:val="24"/>
            <w:szCs w:val="24"/>
          </w:rPr>
          <w:t>Implementation</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_Toc482002025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15</w:t>
        </w:r>
        <w:r w:rsidR="00A8398B" w:rsidRPr="002203A9">
          <w:rPr>
            <w:rFonts w:ascii="Century Gothic" w:hAnsi="Century Gothic"/>
            <w:noProof/>
            <w:webHidden/>
            <w:sz w:val="24"/>
            <w:szCs w:val="24"/>
          </w:rPr>
          <w:fldChar w:fldCharType="end"/>
        </w:r>
      </w:hyperlink>
    </w:p>
    <w:p w14:paraId="2DA666F2" w14:textId="77777777" w:rsidR="00A8398B" w:rsidRPr="002203A9" w:rsidRDefault="0095278E">
      <w:pPr>
        <w:pStyle w:val="TOC2"/>
        <w:rPr>
          <w:rFonts w:ascii="Century Gothic" w:eastAsia="Times New Roman" w:hAnsi="Century Gothic"/>
          <w:noProof/>
          <w:sz w:val="24"/>
          <w:szCs w:val="24"/>
          <w:lang w:val="en-AU" w:eastAsia="en-AU"/>
        </w:rPr>
      </w:pPr>
      <w:hyperlink w:anchor="_Toc482002026" w:history="1">
        <w:r w:rsidR="00A8398B" w:rsidRPr="002203A9">
          <w:rPr>
            <w:rStyle w:val="Hyperlink"/>
            <w:rFonts w:ascii="Century Gothic" w:hAnsi="Century Gothic"/>
            <w:noProof/>
            <w:sz w:val="24"/>
            <w:szCs w:val="24"/>
          </w:rPr>
          <w:t>Review and evaluation</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_Toc482002026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15</w:t>
        </w:r>
        <w:r w:rsidR="00A8398B" w:rsidRPr="002203A9">
          <w:rPr>
            <w:rFonts w:ascii="Century Gothic" w:hAnsi="Century Gothic"/>
            <w:noProof/>
            <w:webHidden/>
            <w:sz w:val="24"/>
            <w:szCs w:val="24"/>
          </w:rPr>
          <w:fldChar w:fldCharType="end"/>
        </w:r>
      </w:hyperlink>
    </w:p>
    <w:p w14:paraId="63C8253C" w14:textId="77777777" w:rsidR="00A8398B" w:rsidRPr="002203A9" w:rsidRDefault="0095278E">
      <w:pPr>
        <w:pStyle w:val="TOC2"/>
        <w:rPr>
          <w:rFonts w:ascii="Century Gothic" w:eastAsia="Times New Roman" w:hAnsi="Century Gothic"/>
          <w:noProof/>
          <w:sz w:val="24"/>
          <w:szCs w:val="24"/>
          <w:lang w:val="en-AU" w:eastAsia="en-AU"/>
        </w:rPr>
      </w:pPr>
      <w:hyperlink w:anchor="_Toc482002027" w:history="1">
        <w:r w:rsidR="00A8398B" w:rsidRPr="002203A9">
          <w:rPr>
            <w:rStyle w:val="Hyperlink"/>
            <w:rFonts w:ascii="Century Gothic" w:hAnsi="Century Gothic"/>
            <w:noProof/>
            <w:sz w:val="24"/>
            <w:szCs w:val="24"/>
          </w:rPr>
          <w:t>Related legislation / policy</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_Toc482002027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15</w:t>
        </w:r>
        <w:r w:rsidR="00A8398B" w:rsidRPr="002203A9">
          <w:rPr>
            <w:rFonts w:ascii="Century Gothic" w:hAnsi="Century Gothic"/>
            <w:noProof/>
            <w:webHidden/>
            <w:sz w:val="24"/>
            <w:szCs w:val="24"/>
          </w:rPr>
          <w:fldChar w:fldCharType="end"/>
        </w:r>
      </w:hyperlink>
    </w:p>
    <w:p w14:paraId="1049480A" w14:textId="77777777" w:rsidR="00A8398B" w:rsidRPr="002203A9" w:rsidRDefault="0095278E">
      <w:pPr>
        <w:pStyle w:val="TOC2"/>
        <w:rPr>
          <w:rFonts w:ascii="Century Gothic" w:eastAsia="Times New Roman" w:hAnsi="Century Gothic"/>
          <w:noProof/>
          <w:sz w:val="24"/>
          <w:szCs w:val="24"/>
          <w:lang w:val="en-AU" w:eastAsia="en-AU"/>
        </w:rPr>
      </w:pPr>
      <w:hyperlink w:anchor="_Toc482002028" w:history="1">
        <w:r w:rsidR="00A8398B" w:rsidRPr="002203A9">
          <w:rPr>
            <w:rStyle w:val="Hyperlink"/>
            <w:rFonts w:ascii="Century Gothic" w:hAnsi="Century Gothic"/>
            <w:noProof/>
            <w:sz w:val="24"/>
            <w:szCs w:val="24"/>
          </w:rPr>
          <w:t>Definitions</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_Toc482002028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16</w:t>
        </w:r>
        <w:r w:rsidR="00A8398B" w:rsidRPr="002203A9">
          <w:rPr>
            <w:rFonts w:ascii="Century Gothic" w:hAnsi="Century Gothic"/>
            <w:noProof/>
            <w:webHidden/>
            <w:sz w:val="24"/>
            <w:szCs w:val="24"/>
          </w:rPr>
          <w:fldChar w:fldCharType="end"/>
        </w:r>
      </w:hyperlink>
    </w:p>
    <w:p w14:paraId="665D67EB" w14:textId="77777777" w:rsidR="00A8398B" w:rsidRPr="002203A9" w:rsidRDefault="0095278E">
      <w:pPr>
        <w:pStyle w:val="TOC2"/>
        <w:rPr>
          <w:rFonts w:ascii="Century Gothic" w:eastAsia="Times New Roman" w:hAnsi="Century Gothic"/>
          <w:noProof/>
          <w:sz w:val="24"/>
          <w:szCs w:val="24"/>
          <w:lang w:val="en-AU" w:eastAsia="en-AU"/>
        </w:rPr>
      </w:pPr>
      <w:hyperlink w:anchor="_Toc482002029" w:history="1">
        <w:r w:rsidR="00A8398B" w:rsidRPr="002203A9">
          <w:rPr>
            <w:rStyle w:val="Hyperlink"/>
            <w:rFonts w:ascii="Century Gothic" w:hAnsi="Century Gothic"/>
            <w:noProof/>
            <w:sz w:val="24"/>
            <w:szCs w:val="24"/>
          </w:rPr>
          <w:t>Further information</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_Toc482002029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20</w:t>
        </w:r>
        <w:r w:rsidR="00A8398B" w:rsidRPr="002203A9">
          <w:rPr>
            <w:rFonts w:ascii="Century Gothic" w:hAnsi="Century Gothic"/>
            <w:noProof/>
            <w:webHidden/>
            <w:sz w:val="24"/>
            <w:szCs w:val="24"/>
          </w:rPr>
          <w:fldChar w:fldCharType="end"/>
        </w:r>
      </w:hyperlink>
    </w:p>
    <w:p w14:paraId="28689CBB" w14:textId="77777777" w:rsidR="00A8398B" w:rsidRPr="002203A9" w:rsidRDefault="0095278E">
      <w:pPr>
        <w:pStyle w:val="TOC2"/>
        <w:rPr>
          <w:rFonts w:ascii="Century Gothic" w:eastAsia="Times New Roman" w:hAnsi="Century Gothic"/>
          <w:noProof/>
          <w:sz w:val="24"/>
          <w:szCs w:val="24"/>
          <w:lang w:val="en-AU" w:eastAsia="en-AU"/>
        </w:rPr>
      </w:pPr>
      <w:hyperlink w:anchor="_Toc482002030" w:history="1">
        <w:r w:rsidR="00A8398B" w:rsidRPr="002203A9">
          <w:rPr>
            <w:rStyle w:val="Hyperlink"/>
            <w:rFonts w:ascii="Century Gothic" w:hAnsi="Century Gothic"/>
            <w:noProof/>
            <w:sz w:val="24"/>
            <w:szCs w:val="24"/>
          </w:rPr>
          <w:t>Attachment 1: Drivers of change, pressures and impacts on the Great Barrier Reef</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_Toc482002030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21</w:t>
        </w:r>
        <w:r w:rsidR="00A8398B" w:rsidRPr="002203A9">
          <w:rPr>
            <w:rFonts w:ascii="Century Gothic" w:hAnsi="Century Gothic"/>
            <w:noProof/>
            <w:webHidden/>
            <w:sz w:val="24"/>
            <w:szCs w:val="24"/>
          </w:rPr>
          <w:fldChar w:fldCharType="end"/>
        </w:r>
      </w:hyperlink>
    </w:p>
    <w:p w14:paraId="50517D29" w14:textId="77777777" w:rsidR="00A8398B" w:rsidRPr="002203A9" w:rsidRDefault="0095278E">
      <w:pPr>
        <w:pStyle w:val="TOC2"/>
        <w:rPr>
          <w:rFonts w:ascii="Century Gothic" w:eastAsia="Times New Roman" w:hAnsi="Century Gothic"/>
          <w:noProof/>
          <w:sz w:val="24"/>
          <w:szCs w:val="24"/>
          <w:lang w:val="en-AU" w:eastAsia="en-AU"/>
        </w:rPr>
      </w:pPr>
      <w:hyperlink w:anchor="_Toc482002031" w:history="1">
        <w:r w:rsidR="00A8398B" w:rsidRPr="002203A9">
          <w:rPr>
            <w:rStyle w:val="Hyperlink"/>
            <w:rFonts w:ascii="Century Gothic" w:hAnsi="Century Gothic"/>
            <w:noProof/>
            <w:sz w:val="24"/>
            <w:szCs w:val="24"/>
          </w:rPr>
          <w:t>Attachment 2: Risks to Great Barrier Reef values as reported in the Great Barrier Reef Outlook Report</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_Toc482002031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24</w:t>
        </w:r>
        <w:r w:rsidR="00A8398B" w:rsidRPr="002203A9">
          <w:rPr>
            <w:rFonts w:ascii="Century Gothic" w:hAnsi="Century Gothic"/>
            <w:noProof/>
            <w:webHidden/>
            <w:sz w:val="24"/>
            <w:szCs w:val="24"/>
          </w:rPr>
          <w:fldChar w:fldCharType="end"/>
        </w:r>
      </w:hyperlink>
    </w:p>
    <w:p w14:paraId="613B75D2" w14:textId="77777777" w:rsidR="00A8398B" w:rsidRPr="002203A9" w:rsidRDefault="0095278E">
      <w:pPr>
        <w:pStyle w:val="TOC2"/>
        <w:rPr>
          <w:rFonts w:ascii="Century Gothic" w:eastAsia="Times New Roman" w:hAnsi="Century Gothic"/>
          <w:noProof/>
          <w:sz w:val="24"/>
          <w:szCs w:val="24"/>
          <w:lang w:val="en-AU" w:eastAsia="en-AU"/>
        </w:rPr>
      </w:pPr>
      <w:hyperlink w:anchor="_Toc482002032" w:history="1">
        <w:r w:rsidR="00A8398B" w:rsidRPr="002203A9">
          <w:rPr>
            <w:rStyle w:val="Hyperlink"/>
            <w:rFonts w:ascii="Century Gothic" w:hAnsi="Century Gothic"/>
            <w:noProof/>
            <w:sz w:val="24"/>
            <w:szCs w:val="24"/>
          </w:rPr>
          <w:t>Attachment 3: Condition and trend of Great Barrier Reef values</w:t>
        </w:r>
        <w:r w:rsidR="00A8398B" w:rsidRPr="002203A9">
          <w:rPr>
            <w:rFonts w:ascii="Century Gothic" w:hAnsi="Century Gothic"/>
            <w:noProof/>
            <w:webHidden/>
            <w:sz w:val="24"/>
            <w:szCs w:val="24"/>
          </w:rPr>
          <w:tab/>
        </w:r>
        <w:r w:rsidR="00A8398B" w:rsidRPr="002203A9">
          <w:rPr>
            <w:rFonts w:ascii="Century Gothic" w:hAnsi="Century Gothic"/>
            <w:noProof/>
            <w:webHidden/>
            <w:sz w:val="24"/>
            <w:szCs w:val="24"/>
          </w:rPr>
          <w:fldChar w:fldCharType="begin"/>
        </w:r>
        <w:r w:rsidR="00A8398B" w:rsidRPr="002203A9">
          <w:rPr>
            <w:rFonts w:ascii="Century Gothic" w:hAnsi="Century Gothic"/>
            <w:noProof/>
            <w:webHidden/>
            <w:sz w:val="24"/>
            <w:szCs w:val="24"/>
          </w:rPr>
          <w:instrText xml:space="preserve"> PAGEREF _Toc482002032 \h </w:instrText>
        </w:r>
        <w:r w:rsidR="00A8398B" w:rsidRPr="002203A9">
          <w:rPr>
            <w:rFonts w:ascii="Century Gothic" w:hAnsi="Century Gothic"/>
            <w:noProof/>
            <w:webHidden/>
            <w:sz w:val="24"/>
            <w:szCs w:val="24"/>
          </w:rPr>
        </w:r>
        <w:r w:rsidR="00A8398B" w:rsidRPr="002203A9">
          <w:rPr>
            <w:rFonts w:ascii="Century Gothic" w:hAnsi="Century Gothic"/>
            <w:noProof/>
            <w:webHidden/>
            <w:sz w:val="24"/>
            <w:szCs w:val="24"/>
          </w:rPr>
          <w:fldChar w:fldCharType="separate"/>
        </w:r>
        <w:r w:rsidR="00A8398B" w:rsidRPr="002203A9">
          <w:rPr>
            <w:rFonts w:ascii="Century Gothic" w:hAnsi="Century Gothic"/>
            <w:noProof/>
            <w:webHidden/>
            <w:sz w:val="24"/>
            <w:szCs w:val="24"/>
          </w:rPr>
          <w:t>26</w:t>
        </w:r>
        <w:r w:rsidR="00A8398B" w:rsidRPr="002203A9">
          <w:rPr>
            <w:rFonts w:ascii="Century Gothic" w:hAnsi="Century Gothic"/>
            <w:noProof/>
            <w:webHidden/>
            <w:sz w:val="24"/>
            <w:szCs w:val="24"/>
          </w:rPr>
          <w:fldChar w:fldCharType="end"/>
        </w:r>
      </w:hyperlink>
    </w:p>
    <w:p w14:paraId="69CCBB38" w14:textId="694B62C9" w:rsidR="00FD0903" w:rsidRPr="00FD0903" w:rsidRDefault="00FD0903" w:rsidP="007F220C">
      <w:pPr>
        <w:ind w:left="1134"/>
      </w:pPr>
      <w:r w:rsidRPr="00935E0F">
        <w:rPr>
          <w:rFonts w:ascii="Century Gothic" w:hAnsi="Century Gothic" w:cs="Arial"/>
          <w:bCs/>
          <w:noProof/>
          <w:sz w:val="24"/>
          <w:szCs w:val="24"/>
        </w:rPr>
        <w:fldChar w:fldCharType="end"/>
      </w:r>
    </w:p>
    <w:p w14:paraId="69CCBB3B" w14:textId="77777777" w:rsidR="00453AF6" w:rsidRDefault="00453AF6" w:rsidP="00102194">
      <w:pPr>
        <w:pStyle w:val="Heading2"/>
        <w:keepNext/>
        <w:tabs>
          <w:tab w:val="left" w:pos="9498"/>
        </w:tabs>
        <w:spacing w:before="240" w:after="120"/>
        <w:rPr>
          <w:rFonts w:ascii="Century Gothic" w:hAnsi="Century Gothic"/>
          <w:b/>
          <w:noProof/>
          <w:lang w:val="en-US" w:eastAsia="en-US"/>
        </w:rPr>
        <w:sectPr w:rsidR="00453AF6" w:rsidSect="00A56999">
          <w:pgSz w:w="11900" w:h="16840"/>
          <w:pgMar w:top="851" w:right="845" w:bottom="992" w:left="851" w:header="709" w:footer="709" w:gutter="0"/>
          <w:cols w:space="708"/>
          <w:docGrid w:linePitch="360"/>
        </w:sectPr>
      </w:pPr>
    </w:p>
    <w:p w14:paraId="69CCBB3C" w14:textId="36A8733A" w:rsidR="00453AF6" w:rsidRDefault="0095278E" w:rsidP="00F66E05">
      <w:pPr>
        <w:pStyle w:val="BodyTextNumbering"/>
        <w:rPr>
          <w:noProof/>
          <w:lang w:val="en-US"/>
        </w:rPr>
        <w:sectPr w:rsidR="00453AF6" w:rsidSect="00453AF6">
          <w:pgSz w:w="11900" w:h="16840"/>
          <w:pgMar w:top="0" w:right="0" w:bottom="0" w:left="0" w:header="706" w:footer="706" w:gutter="0"/>
          <w:cols w:space="708"/>
          <w:docGrid w:linePitch="360"/>
        </w:sectPr>
      </w:pPr>
      <w:r>
        <w:rPr>
          <w:noProof/>
        </w:rPr>
        <w:lastRenderedPageBreak/>
        <w:pict w14:anchorId="3910054F">
          <v:shape id="_x0000_s1155" type="#_x0000_t75" alt="Close-up picture of a snorkeler completing a survey tablet over a reef-scape." style="position:absolute;margin-left:0;margin-top:-48.95pt;width:595.65pt;height:847pt;z-index:251666468;mso-position-horizontal-relative:text;mso-position-vertical-relative:text;mso-width-relative:page;mso-height-relative:page">
            <v:imagedata r:id="rId20" o:title="Pics Cumulative Diver"/>
            <w10:wrap type="square"/>
          </v:shape>
        </w:pict>
      </w:r>
    </w:p>
    <w:p w14:paraId="69CCBB3D" w14:textId="77777777" w:rsidR="00102194" w:rsidRPr="00102194" w:rsidRDefault="00102194" w:rsidP="00102194">
      <w:pPr>
        <w:pStyle w:val="Heading2"/>
        <w:keepNext/>
        <w:tabs>
          <w:tab w:val="left" w:pos="9498"/>
        </w:tabs>
        <w:spacing w:before="240" w:after="120"/>
        <w:rPr>
          <w:rFonts w:ascii="Century Gothic" w:hAnsi="Century Gothic"/>
          <w:b/>
        </w:rPr>
      </w:pPr>
      <w:bookmarkStart w:id="1" w:name="_Toc482002019"/>
      <w:r w:rsidRPr="00102194">
        <w:rPr>
          <w:rFonts w:ascii="Century Gothic" w:hAnsi="Century Gothic"/>
          <w:b/>
        </w:rPr>
        <w:t>Purpose</w:t>
      </w:r>
      <w:bookmarkEnd w:id="1"/>
      <w:r w:rsidRPr="00102194">
        <w:rPr>
          <w:rFonts w:ascii="Century Gothic" w:hAnsi="Century Gothic"/>
          <w:b/>
        </w:rPr>
        <w:tab/>
      </w:r>
    </w:p>
    <w:p w14:paraId="69CCBB3E" w14:textId="77777777" w:rsidR="00102194"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To provide a systematic and consistent approach to managing and reducing cumulative impacts on the Great Barrier Reef.</w:t>
      </w:r>
    </w:p>
    <w:tbl>
      <w:tblPr>
        <w:tblW w:w="9626" w:type="dxa"/>
        <w:tblInd w:w="675" w:type="dxa"/>
        <w:shd w:val="clear" w:color="auto" w:fill="A7EAFF"/>
        <w:tblLook w:val="04A0" w:firstRow="1" w:lastRow="0" w:firstColumn="1" w:lastColumn="0" w:noHBand="0" w:noVBand="1"/>
      </w:tblPr>
      <w:tblGrid>
        <w:gridCol w:w="9626"/>
      </w:tblGrid>
      <w:tr w:rsidR="00102194" w:rsidRPr="00C27317" w14:paraId="69CCBB40" w14:textId="77777777" w:rsidTr="005C3CDA">
        <w:trPr>
          <w:trHeight w:val="895"/>
        </w:trPr>
        <w:tc>
          <w:tcPr>
            <w:tcW w:w="9626" w:type="dxa"/>
            <w:shd w:val="clear" w:color="auto" w:fill="ACF2F0"/>
          </w:tcPr>
          <w:p w14:paraId="69CCBB3F" w14:textId="5B2E1724" w:rsidR="00102194" w:rsidRPr="00C27317" w:rsidRDefault="00102194" w:rsidP="00E149B9">
            <w:pPr>
              <w:spacing w:before="120" w:after="120"/>
              <w:jc w:val="center"/>
              <w:rPr>
                <w:rFonts w:ascii="Century Gothic" w:hAnsi="Century Gothic"/>
                <w:color w:val="000000"/>
                <w:sz w:val="20"/>
                <w:szCs w:val="20"/>
              </w:rPr>
            </w:pPr>
            <w:r w:rsidRPr="00C27317">
              <w:rPr>
                <w:rFonts w:ascii="Century Gothic" w:hAnsi="Century Gothic"/>
                <w:sz w:val="20"/>
                <w:szCs w:val="20"/>
              </w:rPr>
              <w:t>Cumulative impacts are defined as the interaction of effects between one or more impacts</w:t>
            </w:r>
            <w:r w:rsidR="00E149B9">
              <w:rPr>
                <w:rFonts w:ascii="Century Gothic" w:hAnsi="Century Gothic"/>
                <w:sz w:val="20"/>
                <w:szCs w:val="20"/>
              </w:rPr>
              <w:br/>
            </w:r>
            <w:r w:rsidRPr="00C27317">
              <w:rPr>
                <w:rFonts w:ascii="Century Gothic" w:hAnsi="Century Gothic"/>
                <w:sz w:val="20"/>
                <w:szCs w:val="20"/>
              </w:rPr>
              <w:t xml:space="preserve"> and past, present and reasonably foreseeable future pressures.</w:t>
            </w:r>
          </w:p>
        </w:tc>
      </w:tr>
    </w:tbl>
    <w:p w14:paraId="69CCBB41" w14:textId="77777777" w:rsidR="00102194" w:rsidRPr="00102194" w:rsidRDefault="00102194" w:rsidP="00102194">
      <w:pPr>
        <w:pStyle w:val="Heading2"/>
        <w:keepNext/>
        <w:tabs>
          <w:tab w:val="left" w:pos="9498"/>
        </w:tabs>
        <w:spacing w:before="240" w:after="120"/>
        <w:rPr>
          <w:rFonts w:ascii="Century Gothic" w:hAnsi="Century Gothic"/>
          <w:b/>
        </w:rPr>
      </w:pPr>
      <w:bookmarkStart w:id="2" w:name="_Toc482002020"/>
      <w:r w:rsidRPr="00102194">
        <w:rPr>
          <w:rFonts w:ascii="Century Gothic" w:hAnsi="Century Gothic"/>
          <w:b/>
        </w:rPr>
        <w:t>Target audience</w:t>
      </w:r>
      <w:bookmarkEnd w:id="2"/>
      <w:r w:rsidRPr="00102194">
        <w:rPr>
          <w:rFonts w:ascii="Century Gothic" w:hAnsi="Century Gothic"/>
          <w:b/>
        </w:rPr>
        <w:tab/>
      </w:r>
    </w:p>
    <w:p w14:paraId="69CCBB42" w14:textId="77354134" w:rsidR="00102194"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The target audience for this policy is the Great Barrier Reef Marine Park Authority and other Australian and Queensland government agencies making decisions that may affect the values of the Great Barrier Reef</w:t>
      </w:r>
      <w:r w:rsidR="00A8398B">
        <w:rPr>
          <w:rFonts w:ascii="Century Gothic" w:hAnsi="Century Gothic"/>
          <w:szCs w:val="20"/>
        </w:rPr>
        <w:t xml:space="preserve"> environment</w:t>
      </w:r>
      <w:r w:rsidR="00C6581D">
        <w:rPr>
          <w:rFonts w:ascii="Century Gothic" w:hAnsi="Century Gothic"/>
          <w:szCs w:val="20"/>
        </w:rPr>
        <w:t xml:space="preserve"> (refer to </w:t>
      </w:r>
      <w:hyperlink w:anchor="_Definitions" w:history="1">
        <w:r w:rsidR="00C6581D" w:rsidRPr="00C6581D">
          <w:rPr>
            <w:rStyle w:val="Hyperlink"/>
            <w:rFonts w:ascii="Century Gothic" w:hAnsi="Century Gothic"/>
            <w:szCs w:val="20"/>
          </w:rPr>
          <w:t>Definitions</w:t>
        </w:r>
      </w:hyperlink>
      <w:r w:rsidR="00C6581D">
        <w:rPr>
          <w:rFonts w:ascii="Century Gothic" w:hAnsi="Century Gothic"/>
          <w:szCs w:val="20"/>
        </w:rPr>
        <w:t xml:space="preserve"> for ‘environment’, ‘Great Barrier Reef’ and ‘values’)</w:t>
      </w:r>
      <w:r w:rsidRPr="00C27317">
        <w:rPr>
          <w:rFonts w:ascii="Century Gothic" w:hAnsi="Century Gothic"/>
          <w:szCs w:val="20"/>
        </w:rPr>
        <w:t>.</w:t>
      </w:r>
    </w:p>
    <w:p w14:paraId="69CCBB43" w14:textId="77777777" w:rsidR="00102194"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Government agencies and authorities should apply this policy when:</w:t>
      </w:r>
    </w:p>
    <w:p w14:paraId="69CCBB44" w14:textId="77777777" w:rsidR="00102194" w:rsidRPr="00C27317" w:rsidRDefault="00102194" w:rsidP="00102194">
      <w:pPr>
        <w:pStyle w:val="BodyTextNumbering"/>
        <w:numPr>
          <w:ilvl w:val="1"/>
          <w:numId w:val="2"/>
        </w:numPr>
        <w:spacing w:before="0" w:after="60"/>
        <w:ind w:left="788" w:hanging="431"/>
        <w:rPr>
          <w:rFonts w:ascii="Century Gothic" w:hAnsi="Century Gothic"/>
          <w:szCs w:val="20"/>
        </w:rPr>
      </w:pPr>
      <w:r w:rsidRPr="00C27317">
        <w:rPr>
          <w:rFonts w:ascii="Century Gothic" w:hAnsi="Century Gothic"/>
          <w:szCs w:val="20"/>
        </w:rPr>
        <w:t>revising or preparing relevant agreements, policies, plans, strategies and programs when they are likely to interact with Great Barrier Reef values</w:t>
      </w:r>
    </w:p>
    <w:p w14:paraId="69CCBB45" w14:textId="77777777" w:rsidR="00102194" w:rsidRPr="00C27317" w:rsidRDefault="00102194" w:rsidP="00102194">
      <w:pPr>
        <w:pStyle w:val="BodyTextNumbering"/>
        <w:numPr>
          <w:ilvl w:val="1"/>
          <w:numId w:val="2"/>
        </w:numPr>
        <w:spacing w:before="0" w:after="60"/>
        <w:ind w:left="788" w:hanging="431"/>
        <w:rPr>
          <w:rFonts w:ascii="Century Gothic" w:hAnsi="Century Gothic"/>
          <w:szCs w:val="20"/>
        </w:rPr>
      </w:pPr>
      <w:r w:rsidRPr="00C27317">
        <w:rPr>
          <w:rFonts w:ascii="Century Gothic" w:hAnsi="Century Gothic"/>
          <w:szCs w:val="20"/>
        </w:rPr>
        <w:t>making a decision likely to interact with Great Barrier Reef values</w:t>
      </w:r>
    </w:p>
    <w:p w14:paraId="69CCBB46" w14:textId="77777777" w:rsidR="00102194"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 xml:space="preserve">Proponents should apply this policy when seeking approvals – under the </w:t>
      </w:r>
      <w:r w:rsidRPr="00C27317">
        <w:rPr>
          <w:rFonts w:ascii="Century Gothic" w:hAnsi="Century Gothic"/>
          <w:i/>
          <w:szCs w:val="20"/>
        </w:rPr>
        <w:t>Environment Protection and Biodiversity Conservation Act 1999</w:t>
      </w:r>
      <w:r w:rsidRPr="00C27317">
        <w:rPr>
          <w:rFonts w:ascii="Century Gothic" w:hAnsi="Century Gothic"/>
          <w:szCs w:val="20"/>
        </w:rPr>
        <w:t xml:space="preserve">, the </w:t>
      </w:r>
      <w:r w:rsidRPr="00C27317">
        <w:rPr>
          <w:rFonts w:ascii="Century Gothic" w:hAnsi="Century Gothic"/>
          <w:i/>
          <w:szCs w:val="20"/>
        </w:rPr>
        <w:t>Great Barrier Reef Marine Park Act 1975</w:t>
      </w:r>
      <w:r w:rsidRPr="00C27317">
        <w:rPr>
          <w:rFonts w:ascii="Century Gothic" w:hAnsi="Century Gothic"/>
          <w:szCs w:val="20"/>
        </w:rPr>
        <w:t xml:space="preserve"> or relevant Queensland legislation – for actions that are likely to adversely affect attainment of the desired outcomes for Great Barrier Reef values.</w:t>
      </w:r>
    </w:p>
    <w:p w14:paraId="69CCBB47" w14:textId="77777777" w:rsidR="00102194"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Local government, businesses, industry, community groups and other people are encouraged to use this policy to better understand the different types of pressures and impacts affecting the Great Barrier Reef, and to provide guidance on actions to reduce impacts either through taking direct action, partnering or influencing others. Small positive actions can have a cumulative positive impact for the Reef.</w:t>
      </w:r>
    </w:p>
    <w:tbl>
      <w:tblPr>
        <w:tblW w:w="9747" w:type="dxa"/>
        <w:tblInd w:w="675" w:type="dxa"/>
        <w:shd w:val="clear" w:color="auto" w:fill="A7EAFF"/>
        <w:tblLook w:val="04A0" w:firstRow="1" w:lastRow="0" w:firstColumn="1" w:lastColumn="0" w:noHBand="0" w:noVBand="1"/>
      </w:tblPr>
      <w:tblGrid>
        <w:gridCol w:w="9747"/>
      </w:tblGrid>
      <w:tr w:rsidR="00102194" w:rsidRPr="00C27317" w14:paraId="69CCBB4D" w14:textId="77777777" w:rsidTr="005C3CDA">
        <w:tc>
          <w:tcPr>
            <w:tcW w:w="9747" w:type="dxa"/>
            <w:shd w:val="clear" w:color="auto" w:fill="ACF2F0"/>
          </w:tcPr>
          <w:p w14:paraId="69CCBB48" w14:textId="77777777" w:rsidR="00102194" w:rsidRPr="00C27317" w:rsidRDefault="00102194" w:rsidP="00A312D4">
            <w:pPr>
              <w:spacing w:before="120" w:after="120" w:line="240" w:lineRule="auto"/>
              <w:rPr>
                <w:rFonts w:ascii="Century Gothic" w:hAnsi="Century Gothic"/>
                <w:i/>
                <w:sz w:val="20"/>
                <w:szCs w:val="20"/>
              </w:rPr>
            </w:pPr>
            <w:r w:rsidRPr="00C27317">
              <w:rPr>
                <w:rFonts w:ascii="Century Gothic" w:hAnsi="Century Gothic"/>
                <w:i/>
                <w:sz w:val="20"/>
                <w:szCs w:val="20"/>
              </w:rPr>
              <w:t xml:space="preserve">Community attitudes can directly affect decisions that are made about the Great Barrier Reef’s health by governments, communities, industry and others. </w:t>
            </w:r>
          </w:p>
          <w:p w14:paraId="69CCBB49" w14:textId="77777777" w:rsidR="00102194" w:rsidRPr="00D13874" w:rsidRDefault="00102194" w:rsidP="00A312D4">
            <w:pPr>
              <w:spacing w:before="120" w:after="120" w:line="240" w:lineRule="auto"/>
              <w:rPr>
                <w:rFonts w:ascii="Century Gothic" w:hAnsi="Century Gothic"/>
                <w:i/>
                <w:sz w:val="20"/>
                <w:szCs w:val="20"/>
              </w:rPr>
            </w:pPr>
            <w:r w:rsidRPr="00C27317">
              <w:rPr>
                <w:rFonts w:ascii="Century Gothic" w:hAnsi="Century Gothic"/>
                <w:i/>
                <w:sz w:val="20"/>
                <w:szCs w:val="20"/>
              </w:rPr>
              <w:t>Opportunities to apply this influence include:</w:t>
            </w:r>
          </w:p>
          <w:p w14:paraId="69CCBB4A" w14:textId="77777777" w:rsidR="00102194" w:rsidRPr="00152FA5" w:rsidRDefault="00102194" w:rsidP="00A312D4">
            <w:pPr>
              <w:spacing w:before="120" w:after="120" w:line="240" w:lineRule="auto"/>
              <w:ind w:left="601" w:hanging="567"/>
              <w:rPr>
                <w:rFonts w:ascii="Century Gothic" w:hAnsi="Century Gothic"/>
                <w:i/>
                <w:sz w:val="20"/>
                <w:szCs w:val="20"/>
              </w:rPr>
            </w:pPr>
            <w:r w:rsidRPr="00D13874">
              <w:rPr>
                <w:rFonts w:ascii="Century Gothic" w:hAnsi="Century Gothic"/>
                <w:i/>
                <w:sz w:val="20"/>
                <w:szCs w:val="20"/>
              </w:rPr>
              <w:t>-</w:t>
            </w:r>
            <w:r w:rsidRPr="00D13874">
              <w:rPr>
                <w:rFonts w:ascii="Century Gothic" w:hAnsi="Century Gothic"/>
                <w:i/>
                <w:sz w:val="20"/>
                <w:szCs w:val="20"/>
              </w:rPr>
              <w:tab/>
            </w:r>
            <w:r w:rsidRPr="006163CC">
              <w:rPr>
                <w:rFonts w:ascii="Century Gothic" w:hAnsi="Century Gothic"/>
                <w:sz w:val="20"/>
                <w:szCs w:val="20"/>
              </w:rPr>
              <w:t>using</w:t>
            </w:r>
            <w:r w:rsidRPr="00D13874">
              <w:rPr>
                <w:rFonts w:ascii="Century Gothic" w:hAnsi="Century Gothic"/>
                <w:i/>
                <w:sz w:val="20"/>
                <w:szCs w:val="20"/>
              </w:rPr>
              <w:t xml:space="preserve"> networks and partnerships to build understanding of the social, economic and environmental factors influencing the health of the Great Barrier Reef</w:t>
            </w:r>
          </w:p>
          <w:p w14:paraId="69CCBB4B" w14:textId="77777777" w:rsidR="00102194" w:rsidRPr="00D13874" w:rsidRDefault="00102194" w:rsidP="00A312D4">
            <w:pPr>
              <w:spacing w:before="120" w:after="120" w:line="240" w:lineRule="auto"/>
              <w:ind w:left="601" w:hanging="567"/>
              <w:rPr>
                <w:rFonts w:ascii="Century Gothic" w:hAnsi="Century Gothic"/>
                <w:i/>
                <w:sz w:val="20"/>
                <w:szCs w:val="20"/>
              </w:rPr>
            </w:pPr>
            <w:r w:rsidRPr="00E11469">
              <w:rPr>
                <w:rFonts w:ascii="Century Gothic" w:hAnsi="Century Gothic"/>
                <w:i/>
                <w:sz w:val="20"/>
                <w:szCs w:val="20"/>
              </w:rPr>
              <w:t>-</w:t>
            </w:r>
            <w:r w:rsidRPr="00E11469">
              <w:rPr>
                <w:rFonts w:ascii="Century Gothic" w:hAnsi="Century Gothic"/>
                <w:i/>
                <w:sz w:val="20"/>
                <w:szCs w:val="20"/>
              </w:rPr>
              <w:tab/>
            </w:r>
            <w:r w:rsidRPr="006163CC">
              <w:rPr>
                <w:rFonts w:ascii="Century Gothic" w:hAnsi="Century Gothic"/>
                <w:sz w:val="20"/>
                <w:szCs w:val="20"/>
              </w:rPr>
              <w:t>showcasing</w:t>
            </w:r>
            <w:r w:rsidRPr="00D13874">
              <w:rPr>
                <w:rFonts w:ascii="Century Gothic" w:hAnsi="Century Gothic"/>
                <w:i/>
                <w:sz w:val="20"/>
                <w:szCs w:val="20"/>
              </w:rPr>
              <w:t xml:space="preserve"> activities that reduce pressures on the Great Barrier Reef</w:t>
            </w:r>
          </w:p>
          <w:p w14:paraId="69CCBB4C" w14:textId="77777777" w:rsidR="00102194" w:rsidRPr="00C27317" w:rsidRDefault="00102194" w:rsidP="00A312D4">
            <w:pPr>
              <w:spacing w:before="120" w:after="120" w:line="240" w:lineRule="auto"/>
              <w:ind w:left="601" w:hanging="567"/>
              <w:rPr>
                <w:rFonts w:ascii="Century Gothic" w:hAnsi="Century Gothic"/>
                <w:sz w:val="20"/>
                <w:szCs w:val="20"/>
              </w:rPr>
            </w:pPr>
            <w:r w:rsidRPr="00152FA5">
              <w:rPr>
                <w:rFonts w:ascii="Century Gothic" w:hAnsi="Century Gothic"/>
                <w:i/>
                <w:sz w:val="20"/>
                <w:szCs w:val="20"/>
              </w:rPr>
              <w:t>-</w:t>
            </w:r>
            <w:r w:rsidRPr="00152FA5">
              <w:rPr>
                <w:rFonts w:ascii="Century Gothic" w:hAnsi="Century Gothic"/>
                <w:i/>
                <w:sz w:val="20"/>
                <w:szCs w:val="20"/>
              </w:rPr>
              <w:tab/>
            </w:r>
            <w:r w:rsidRPr="006163CC">
              <w:rPr>
                <w:rFonts w:ascii="Century Gothic" w:hAnsi="Century Gothic"/>
                <w:sz w:val="20"/>
                <w:szCs w:val="20"/>
              </w:rPr>
              <w:t>showcasing</w:t>
            </w:r>
            <w:r w:rsidRPr="00D13874">
              <w:rPr>
                <w:rFonts w:ascii="Century Gothic" w:hAnsi="Century Gothic"/>
                <w:i/>
                <w:sz w:val="20"/>
                <w:szCs w:val="20"/>
              </w:rPr>
              <w:t xml:space="preserve"> activities that improve the resilience of the Great Barrier Reef</w:t>
            </w:r>
          </w:p>
        </w:tc>
      </w:tr>
    </w:tbl>
    <w:p w14:paraId="69CCBB4E" w14:textId="77777777" w:rsidR="00102194" w:rsidRPr="00724B10" w:rsidRDefault="00102194" w:rsidP="00102194">
      <w:pPr>
        <w:pStyle w:val="Heading2"/>
        <w:keepNext/>
        <w:tabs>
          <w:tab w:val="left" w:pos="9498"/>
        </w:tabs>
        <w:spacing w:before="240" w:after="120"/>
        <w:rPr>
          <w:rFonts w:ascii="Century Gothic" w:hAnsi="Century Gothic"/>
          <w:b/>
          <w:color w:val="1F497D"/>
        </w:rPr>
      </w:pPr>
      <w:bookmarkStart w:id="3" w:name="_Toc482002021"/>
      <w:r w:rsidRPr="00724B10">
        <w:rPr>
          <w:rFonts w:ascii="Century Gothic" w:hAnsi="Century Gothic"/>
          <w:b/>
          <w:color w:val="1F497D"/>
        </w:rPr>
        <w:t>Context</w:t>
      </w:r>
      <w:bookmarkEnd w:id="3"/>
      <w:r w:rsidRPr="00724B10">
        <w:rPr>
          <w:rFonts w:ascii="Century Gothic" w:hAnsi="Century Gothic"/>
          <w:b/>
          <w:color w:val="1F497D"/>
        </w:rPr>
        <w:tab/>
      </w:r>
    </w:p>
    <w:p w14:paraId="69CCBB4F" w14:textId="77777777" w:rsidR="00102194" w:rsidRPr="00C27317" w:rsidRDefault="00102194" w:rsidP="00AD52B7">
      <w:pPr>
        <w:pStyle w:val="BodyTextNumbering"/>
        <w:spacing w:before="0" w:after="120"/>
        <w:rPr>
          <w:rFonts w:ascii="Century Gothic" w:hAnsi="Century Gothic"/>
          <w:szCs w:val="20"/>
        </w:rPr>
      </w:pPr>
      <w:r w:rsidRPr="00C27317">
        <w:rPr>
          <w:rFonts w:ascii="Century Gothic" w:hAnsi="Century Gothic"/>
          <w:szCs w:val="20"/>
        </w:rPr>
        <w:t xml:space="preserve">Impacts on the Great Barrier Reef rarely occur in isolation but often overlap and may interact with each other. Where impacts accumulate over time and space, they can lower the resilience of the ecosystem and its ability to recover from disturbance. </w:t>
      </w:r>
    </w:p>
    <w:p w14:paraId="69CCBB50" w14:textId="77777777" w:rsidR="00102194" w:rsidRPr="00C27317" w:rsidRDefault="00102194" w:rsidP="00AD52B7">
      <w:pPr>
        <w:pStyle w:val="BodyTextNumbering"/>
        <w:keepNext/>
        <w:spacing w:before="0" w:after="120"/>
        <w:rPr>
          <w:rFonts w:ascii="Century Gothic" w:hAnsi="Century Gothic"/>
          <w:szCs w:val="20"/>
        </w:rPr>
      </w:pPr>
      <w:r w:rsidRPr="00C27317">
        <w:rPr>
          <w:rFonts w:ascii="Century Gothic" w:hAnsi="Century Gothic" w:cs="Arial"/>
          <w:szCs w:val="20"/>
        </w:rPr>
        <w:t xml:space="preserve">The </w:t>
      </w:r>
      <w:r w:rsidRPr="00C27317">
        <w:rPr>
          <w:rFonts w:ascii="Century Gothic" w:hAnsi="Century Gothic" w:cs="Arial"/>
          <w:color w:val="333333"/>
          <w:szCs w:val="20"/>
          <w:shd w:val="clear" w:color="auto" w:fill="FFFFFF"/>
        </w:rPr>
        <w:t>Great Barrier Reef Outlook Report 2014 (</w:t>
      </w:r>
      <w:r w:rsidRPr="00C27317">
        <w:rPr>
          <w:rFonts w:ascii="Century Gothic" w:hAnsi="Century Gothic" w:cs="Arial"/>
          <w:szCs w:val="20"/>
        </w:rPr>
        <w:t>Outlook</w:t>
      </w:r>
      <w:r w:rsidRPr="00C27317">
        <w:rPr>
          <w:rFonts w:ascii="Century Gothic" w:hAnsi="Century Gothic"/>
          <w:szCs w:val="20"/>
        </w:rPr>
        <w:t xml:space="preserve"> Report) identified the four main pressures on the Great Barrier Reef as: </w:t>
      </w:r>
    </w:p>
    <w:p w14:paraId="69CCBB51" w14:textId="77777777" w:rsidR="00102194" w:rsidRPr="00C27317" w:rsidRDefault="00102194" w:rsidP="00102194">
      <w:pPr>
        <w:pStyle w:val="BodyTextNumbering"/>
        <w:numPr>
          <w:ilvl w:val="1"/>
          <w:numId w:val="2"/>
        </w:numPr>
        <w:spacing w:before="0" w:after="60"/>
        <w:ind w:left="788" w:hanging="431"/>
        <w:rPr>
          <w:rFonts w:ascii="Century Gothic" w:hAnsi="Century Gothic"/>
          <w:szCs w:val="20"/>
        </w:rPr>
      </w:pPr>
      <w:r w:rsidRPr="00C27317">
        <w:rPr>
          <w:rFonts w:ascii="Century Gothic" w:hAnsi="Century Gothic"/>
          <w:szCs w:val="20"/>
        </w:rPr>
        <w:t>climate change (global scale)</w:t>
      </w:r>
    </w:p>
    <w:p w14:paraId="69CCBB52" w14:textId="77777777" w:rsidR="00102194" w:rsidRPr="00C27317" w:rsidRDefault="00102194" w:rsidP="00102194">
      <w:pPr>
        <w:pStyle w:val="BodyTextNumbering"/>
        <w:numPr>
          <w:ilvl w:val="1"/>
          <w:numId w:val="2"/>
        </w:numPr>
        <w:spacing w:before="0" w:after="60"/>
        <w:ind w:left="788" w:hanging="431"/>
        <w:rPr>
          <w:rFonts w:ascii="Century Gothic" w:hAnsi="Century Gothic"/>
          <w:szCs w:val="20"/>
        </w:rPr>
      </w:pPr>
      <w:r w:rsidRPr="00C27317">
        <w:rPr>
          <w:rFonts w:ascii="Century Gothic" w:hAnsi="Century Gothic"/>
          <w:szCs w:val="20"/>
        </w:rPr>
        <w:t>coastal land-use change (Great Barrier Reef catchment scale)</w:t>
      </w:r>
    </w:p>
    <w:p w14:paraId="69CCBB53" w14:textId="77777777" w:rsidR="00102194" w:rsidRPr="00C27317" w:rsidRDefault="00102194" w:rsidP="00102194">
      <w:pPr>
        <w:pStyle w:val="BodyTextNumbering"/>
        <w:numPr>
          <w:ilvl w:val="1"/>
          <w:numId w:val="2"/>
        </w:numPr>
        <w:spacing w:before="0" w:after="60"/>
        <w:ind w:left="788" w:hanging="431"/>
        <w:rPr>
          <w:rFonts w:ascii="Century Gothic" w:hAnsi="Century Gothic"/>
          <w:szCs w:val="20"/>
        </w:rPr>
      </w:pPr>
      <w:r w:rsidRPr="00C27317">
        <w:rPr>
          <w:rFonts w:ascii="Century Gothic" w:hAnsi="Century Gothic"/>
          <w:szCs w:val="20"/>
        </w:rPr>
        <w:t>poor water quality from land-based run-off (Great Barrier Reef catchment scale)</w:t>
      </w:r>
    </w:p>
    <w:p w14:paraId="69CCBB54" w14:textId="77777777" w:rsidR="00102194" w:rsidRPr="00C27317" w:rsidRDefault="00102194" w:rsidP="00102194">
      <w:pPr>
        <w:pStyle w:val="BodyTextNumbering"/>
        <w:numPr>
          <w:ilvl w:val="1"/>
          <w:numId w:val="4"/>
        </w:numPr>
        <w:spacing w:before="0" w:after="120"/>
        <w:rPr>
          <w:rFonts w:ascii="Century Gothic" w:hAnsi="Century Gothic"/>
          <w:szCs w:val="20"/>
        </w:rPr>
      </w:pPr>
      <w:r w:rsidRPr="00C27317">
        <w:rPr>
          <w:rFonts w:ascii="Century Gothic" w:hAnsi="Century Gothic"/>
          <w:szCs w:val="20"/>
        </w:rPr>
        <w:t>some remaining impacts of fishing (Great Barrier Reef Region scale).</w:t>
      </w:r>
    </w:p>
    <w:p w14:paraId="69CCBB57" w14:textId="308DC514" w:rsidR="00A56999" w:rsidRDefault="00A56999" w:rsidP="00A312D4">
      <w:pPr>
        <w:pStyle w:val="BodyTextNumbering"/>
        <w:spacing w:before="0" w:after="120"/>
        <w:rPr>
          <w:rFonts w:ascii="Century Gothic" w:hAnsi="Century Gothic"/>
          <w:szCs w:val="20"/>
        </w:rPr>
      </w:pPr>
    </w:p>
    <w:p w14:paraId="69CCBB58" w14:textId="77777777" w:rsidR="009E5C8C" w:rsidRPr="00A74957" w:rsidRDefault="0095278E" w:rsidP="00A74957">
      <w:pPr>
        <w:pStyle w:val="BodyTextNumbering"/>
        <w:spacing w:before="0" w:after="120"/>
        <w:rPr>
          <w:rFonts w:ascii="Century Gothic" w:hAnsi="Century Gothic"/>
          <w:i/>
          <w:sz w:val="18"/>
          <w:szCs w:val="18"/>
        </w:rPr>
      </w:pPr>
      <w:r>
        <w:rPr>
          <w:noProof/>
          <w:szCs w:val="20"/>
          <w:lang w:eastAsia="en-US"/>
        </w:rPr>
        <w:pict w14:anchorId="69CCC3E1">
          <v:shape id="Picture 7" o:spid="_x0000_s1026" type="#_x0000_t75" alt="Diagram showing examples of multiple threats within the spatial context of a local coastal and marine landscape. Threats featured include: altered weather patterns; temperature increase; acidification; incidental catch of species of conservation concern; discarded catch; illegal fishing and poaching; extraction from spawning aggregation; modifying coastal habitats; outbreak of crown-of-thorns starfish; disposal of dredge material; sediments, nutrients and pesticides in land-based run-off; marine debris; sea level rise; barriers to flow; and outbreak of disease." style="position:absolute;margin-left:2.75pt;margin-top:9.85pt;width:510.4pt;height:308.15pt;z-index:-251658240;visibility:visible">
            <v:imagedata r:id="rId21" o:title=""/>
            <w10:wrap type="topAndBottom"/>
          </v:shape>
        </w:pict>
      </w:r>
      <w:r w:rsidR="009E5C8C" w:rsidRPr="00A74957">
        <w:rPr>
          <w:rFonts w:ascii="Century Gothic" w:hAnsi="Century Gothic"/>
          <w:b/>
          <w:i/>
          <w:sz w:val="18"/>
          <w:szCs w:val="18"/>
        </w:rPr>
        <w:t>Example of multiple impacts within an area</w:t>
      </w:r>
      <w:r w:rsidR="009E5C8C" w:rsidRPr="00A74957">
        <w:rPr>
          <w:rFonts w:ascii="Century Gothic" w:hAnsi="Century Gothic"/>
          <w:i/>
          <w:sz w:val="18"/>
          <w:szCs w:val="18"/>
        </w:rPr>
        <w:t xml:space="preserve"> – multiple impacts, including those presenting high and very high risks to the Reef’s values, can overlap and interact within an area. They can combine to present a serious cumulative risk to local habitats and species, and the community and economic benefits they support. </w:t>
      </w:r>
    </w:p>
    <w:p w14:paraId="69CCBB59" w14:textId="77777777" w:rsidR="009E5C8C" w:rsidRPr="00102194" w:rsidRDefault="009E5C8C" w:rsidP="00102194">
      <w:pPr>
        <w:pStyle w:val="BodyTextNumbering"/>
        <w:spacing w:before="0" w:after="120"/>
        <w:ind w:left="792"/>
        <w:rPr>
          <w:rFonts w:ascii="Century Gothic" w:hAnsi="Century Gothic"/>
          <w:sz w:val="22"/>
          <w:szCs w:val="22"/>
        </w:rPr>
      </w:pPr>
    </w:p>
    <w:p w14:paraId="69CCBB5A"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Existing management measures have not been sufficient to reverse the decline in the health of the Great Barrier Reef. Greater reductions in threats at all levels are required to improve the condition of the values and build resilience.</w:t>
      </w:r>
    </w:p>
    <w:p w14:paraId="69CCBB5B"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Pressures can originate at the local, Marine Park, catchment and global scales. This underscores the need for integrated actions at different spatial and time scales to mitigate and manage their impacts on the Great Barrier Reef. Attachment 1 lists drivers and pressures affecting the Great Barrier Reef.</w:t>
      </w:r>
    </w:p>
    <w:p w14:paraId="69CCBB5C"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lang w:val="en-GB"/>
        </w:rPr>
        <w:t>The impact is not just on the Great Barrier Reef ecosystem, but also impacts on the cultural values of Traditional Owners; economic values to the tourism and fishing industries which rely on a healthy Reef; social values for communities along the coast for whom the Reef is part of their daily life; together with the broader Australian and international community who consider it to be an irreplaceable icon – belonging to the global community.</w:t>
      </w:r>
    </w:p>
    <w:p w14:paraId="69CCBB5D" w14:textId="24085D9F"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 xml:space="preserve">It is critical for reefs worldwide, including the Great Barrier Reef, that global scale efforts to reduce climate change pressures are effective. While international action to reduce greenhouse gas emissions </w:t>
      </w:r>
      <w:r w:rsidR="00A97D56">
        <w:rPr>
          <w:rFonts w:ascii="Century Gothic" w:hAnsi="Century Gothic"/>
          <w:szCs w:val="20"/>
        </w:rPr>
        <w:t>is</w:t>
      </w:r>
      <w:r w:rsidR="00A97D56" w:rsidRPr="00A312D4">
        <w:rPr>
          <w:rFonts w:ascii="Century Gothic" w:hAnsi="Century Gothic"/>
          <w:szCs w:val="20"/>
        </w:rPr>
        <w:t xml:space="preserve"> </w:t>
      </w:r>
      <w:r w:rsidRPr="00A312D4">
        <w:rPr>
          <w:rFonts w:ascii="Century Gothic" w:hAnsi="Century Gothic"/>
          <w:szCs w:val="20"/>
        </w:rPr>
        <w:t>underway through the Paris Climate Agreement, this needs to be supported by improving the Reef’s resilience to climate change through reducing local pressures.</w:t>
      </w:r>
    </w:p>
    <w:p w14:paraId="69CCBB5E"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 xml:space="preserve">The Outlook Report found that understanding of the Reef’s values and impacts on it has significantly improved; however, knowledge of cumulative impacts, and how they are best managed, is limited. </w:t>
      </w:r>
    </w:p>
    <w:p w14:paraId="69CCBB5F"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Improving management of cumulative impacts to reduce pressures, together with delivering decisions which result in an improvement in the condition of values, is critical to the future health and resilience of the Great Barrier Reef.</w:t>
      </w:r>
    </w:p>
    <w:p w14:paraId="69CCBB60"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 xml:space="preserve">The Reef 2050 Plan provides an overarching strategy for long-term management of the Great Barrier Reef, including cumulative impacts. It brings together actions across government, Traditional Owners, industry, researchers and the community. The Plan provides an agreed outcomes-based, target-driven framework for protecting the Great Barrier Reef’s health and resilience while allowing for ecologically sustainable use. </w:t>
      </w:r>
    </w:p>
    <w:p w14:paraId="69CCBB61" w14:textId="77777777" w:rsidR="00A74957" w:rsidRDefault="00A74957" w:rsidP="00AD52B7">
      <w:pPr>
        <w:pStyle w:val="BodyTextNumbering"/>
        <w:spacing w:before="0" w:after="120"/>
        <w:rPr>
          <w:rFonts w:ascii="Century Gothic" w:hAnsi="Century Gothic"/>
          <w:szCs w:val="20"/>
        </w:rPr>
      </w:pPr>
    </w:p>
    <w:p w14:paraId="69CCBB62"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The Plan details primary principles to consider in all decision-making that affects the Great Barrier Reef which are:</w:t>
      </w:r>
    </w:p>
    <w:p w14:paraId="69CCBB63" w14:textId="77777777" w:rsidR="00102194" w:rsidRPr="00A312D4" w:rsidRDefault="00102194" w:rsidP="00102194">
      <w:pPr>
        <w:pStyle w:val="BodyTextNumbering"/>
        <w:numPr>
          <w:ilvl w:val="1"/>
          <w:numId w:val="2"/>
        </w:numPr>
        <w:spacing w:before="0" w:after="60"/>
        <w:ind w:left="788" w:hanging="431"/>
        <w:rPr>
          <w:rFonts w:ascii="Century Gothic" w:hAnsi="Century Gothic"/>
          <w:szCs w:val="20"/>
        </w:rPr>
      </w:pPr>
      <w:r w:rsidRPr="00A312D4">
        <w:rPr>
          <w:rFonts w:ascii="Century Gothic" w:hAnsi="Century Gothic"/>
          <w:szCs w:val="20"/>
        </w:rPr>
        <w:t>maintaining and enhancing outstanding universal value in every action</w:t>
      </w:r>
    </w:p>
    <w:p w14:paraId="69CCBB64" w14:textId="77777777" w:rsidR="00102194" w:rsidRPr="00A312D4" w:rsidRDefault="00102194" w:rsidP="00102194">
      <w:pPr>
        <w:pStyle w:val="BodyTextNumbering"/>
        <w:numPr>
          <w:ilvl w:val="1"/>
          <w:numId w:val="2"/>
        </w:numPr>
        <w:spacing w:before="0" w:after="60"/>
        <w:ind w:left="788" w:hanging="431"/>
        <w:rPr>
          <w:rFonts w:ascii="Century Gothic" w:hAnsi="Century Gothic"/>
          <w:szCs w:val="20"/>
        </w:rPr>
      </w:pPr>
      <w:r w:rsidRPr="00A312D4">
        <w:rPr>
          <w:rFonts w:ascii="Century Gothic" w:hAnsi="Century Gothic"/>
          <w:szCs w:val="20"/>
        </w:rPr>
        <w:t>basing decisions on the best available science</w:t>
      </w:r>
    </w:p>
    <w:p w14:paraId="69CCBB65" w14:textId="77777777" w:rsidR="00102194" w:rsidRPr="00A312D4" w:rsidRDefault="00102194" w:rsidP="00102194">
      <w:pPr>
        <w:pStyle w:val="BodyTextNumbering"/>
        <w:numPr>
          <w:ilvl w:val="1"/>
          <w:numId w:val="2"/>
        </w:numPr>
        <w:spacing w:before="0" w:after="60"/>
        <w:ind w:left="788" w:hanging="431"/>
        <w:rPr>
          <w:rFonts w:ascii="Century Gothic" w:hAnsi="Century Gothic"/>
          <w:szCs w:val="20"/>
        </w:rPr>
      </w:pPr>
      <w:r w:rsidRPr="00A312D4">
        <w:rPr>
          <w:rFonts w:ascii="Century Gothic" w:hAnsi="Century Gothic"/>
          <w:szCs w:val="20"/>
        </w:rPr>
        <w:t xml:space="preserve">delivering a net benefit to the ecosystem </w:t>
      </w:r>
    </w:p>
    <w:p w14:paraId="69CCBB66" w14:textId="77777777" w:rsidR="00102194" w:rsidRPr="00A312D4" w:rsidRDefault="00102194" w:rsidP="00102194">
      <w:pPr>
        <w:pStyle w:val="BodyTextNumbering"/>
        <w:numPr>
          <w:ilvl w:val="1"/>
          <w:numId w:val="3"/>
        </w:numPr>
        <w:spacing w:before="0" w:after="120"/>
        <w:rPr>
          <w:rFonts w:ascii="Century Gothic" w:hAnsi="Century Gothic"/>
          <w:szCs w:val="20"/>
        </w:rPr>
      </w:pPr>
      <w:r w:rsidRPr="00A312D4">
        <w:rPr>
          <w:rFonts w:ascii="Century Gothic" w:hAnsi="Century Gothic"/>
          <w:szCs w:val="20"/>
        </w:rPr>
        <w:t>adopting a partnership approach to management.</w:t>
      </w:r>
    </w:p>
    <w:p w14:paraId="69CCBB67" w14:textId="77777777" w:rsidR="00102194" w:rsidRPr="00A312D4" w:rsidRDefault="00102194" w:rsidP="00AD52B7">
      <w:pPr>
        <w:pStyle w:val="BodyTextNumbering"/>
        <w:spacing w:before="0" w:after="120"/>
        <w:rPr>
          <w:rFonts w:ascii="Century Gothic" w:hAnsi="Century Gothic"/>
          <w:szCs w:val="20"/>
        </w:rPr>
      </w:pPr>
      <w:r w:rsidRPr="00A312D4">
        <w:rPr>
          <w:rFonts w:ascii="Century Gothic" w:hAnsi="Century Gothic"/>
          <w:szCs w:val="20"/>
        </w:rPr>
        <w:t xml:space="preserve">Practical approaches for addressing these principles are contained in the Reef 2050 Policy Guideline for Decision Makers. </w:t>
      </w:r>
    </w:p>
    <w:p w14:paraId="69CCBB68" w14:textId="77777777" w:rsidR="00AD52B7" w:rsidRDefault="00AD52B7" w:rsidP="00AD52B7">
      <w:pPr>
        <w:pStyle w:val="BodyTextNumbering"/>
        <w:spacing w:before="0" w:after="120"/>
        <w:rPr>
          <w:rFonts w:ascii="Century Gothic" w:hAnsi="Century Gothic"/>
          <w:sz w:val="22"/>
          <w:szCs w:val="22"/>
        </w:rPr>
      </w:pPr>
    </w:p>
    <w:p w14:paraId="69CCBB69" w14:textId="56A2E072" w:rsidR="00204F34" w:rsidRDefault="0095278E" w:rsidP="005C0F84">
      <w:pPr>
        <w:jc w:val="center"/>
        <w:rPr>
          <w:rFonts w:ascii="Century Gothic" w:hAnsi="Century Gothic"/>
          <w:noProof/>
          <w:lang w:val="en-US"/>
        </w:rPr>
      </w:pPr>
      <w:r>
        <w:rPr>
          <w:rFonts w:ascii="Century Gothic" w:hAnsi="Century Gothic"/>
          <w:noProof/>
          <w:lang w:val="en-US"/>
        </w:rPr>
        <w:pict w14:anchorId="69CCC3E2">
          <v:shape id="_x0000_i1027" type="#_x0000_t75" alt="Picture of a school of reef fish gliding within staghorn coral" style="width:489.75pt;height:526.5pt;visibility:visible">
            <v:imagedata r:id="rId22" o:title="" croptop="3960f" cropleft="19439f"/>
          </v:shape>
        </w:pict>
      </w:r>
    </w:p>
    <w:p w14:paraId="69CCBB6A" w14:textId="77777777" w:rsidR="00AD52B7" w:rsidRPr="00724B10" w:rsidRDefault="00FC05EC" w:rsidP="00BC4666">
      <w:pPr>
        <w:pStyle w:val="Heading2"/>
        <w:keepNext/>
        <w:tabs>
          <w:tab w:val="left" w:pos="9498"/>
        </w:tabs>
        <w:spacing w:before="240" w:after="120"/>
        <w:rPr>
          <w:rFonts w:ascii="Century Gothic" w:hAnsi="Century Gothic"/>
          <w:b/>
          <w:color w:val="1F497D"/>
        </w:rPr>
      </w:pPr>
      <w:r w:rsidRPr="00FC05EC">
        <w:rPr>
          <w:rFonts w:ascii="Century Gothic" w:hAnsi="Century Gothic"/>
          <w:sz w:val="28"/>
          <w:szCs w:val="28"/>
        </w:rPr>
        <w:br w:type="page"/>
      </w:r>
      <w:bookmarkStart w:id="4" w:name="_Toc479240254"/>
      <w:bookmarkStart w:id="5" w:name="_Toc482002022"/>
      <w:r w:rsidR="00AD52B7" w:rsidRPr="00724B10">
        <w:rPr>
          <w:rFonts w:ascii="Century Gothic" w:hAnsi="Century Gothic"/>
          <w:b/>
          <w:color w:val="1F497D"/>
        </w:rPr>
        <w:t>Foundational policy statements</w:t>
      </w:r>
      <w:bookmarkEnd w:id="4"/>
      <w:bookmarkEnd w:id="5"/>
      <w:r w:rsidR="00AD52B7" w:rsidRPr="00724B10">
        <w:rPr>
          <w:rFonts w:ascii="Century Gothic" w:hAnsi="Century Gothic"/>
          <w:b/>
          <w:color w:val="1F497D"/>
        </w:rPr>
        <w:tab/>
      </w:r>
    </w:p>
    <w:p w14:paraId="69CCBB6B" w14:textId="5C5AC9E7" w:rsidR="00DC1F67" w:rsidRPr="006A2095" w:rsidRDefault="00AD52B7" w:rsidP="00DC1F67">
      <w:pPr>
        <w:pStyle w:val="BodyTextNumbering"/>
        <w:spacing w:before="0" w:after="120"/>
        <w:rPr>
          <w:sz w:val="22"/>
          <w:szCs w:val="22"/>
        </w:rPr>
      </w:pPr>
      <w:r w:rsidRPr="00DC1F67">
        <w:rPr>
          <w:rFonts w:ascii="Century Gothic" w:hAnsi="Century Gothic"/>
          <w:sz w:val="22"/>
          <w:szCs w:val="22"/>
        </w:rPr>
        <w:t>These foundational policy statements also apply to the draft Net Benefit Policy</w:t>
      </w:r>
      <w:r>
        <w:rPr>
          <w:sz w:val="22"/>
          <w:szCs w:val="22"/>
        </w:rPr>
        <w:t>.</w:t>
      </w:r>
    </w:p>
    <w:tbl>
      <w:tblPr>
        <w:tblW w:w="10206" w:type="dxa"/>
        <w:tblInd w:w="108" w:type="dxa"/>
        <w:tblBorders>
          <w:insideH w:val="single" w:sz="18" w:space="0" w:color="FFFFFF"/>
          <w:insideV w:val="single" w:sz="8" w:space="0" w:color="FFFFFF"/>
        </w:tblBorders>
        <w:shd w:val="clear" w:color="auto" w:fill="DBE5F1"/>
        <w:tblLayout w:type="fixed"/>
        <w:tblLook w:val="04A0" w:firstRow="1" w:lastRow="0" w:firstColumn="1" w:lastColumn="0" w:noHBand="0" w:noVBand="1"/>
      </w:tblPr>
      <w:tblGrid>
        <w:gridCol w:w="2880"/>
        <w:gridCol w:w="1800"/>
        <w:gridCol w:w="270"/>
        <w:gridCol w:w="5256"/>
      </w:tblGrid>
      <w:tr w:rsidR="00670E24" w:rsidRPr="003F4005" w14:paraId="69CCBB6D" w14:textId="77777777" w:rsidTr="005C3CDA">
        <w:tc>
          <w:tcPr>
            <w:tcW w:w="10206" w:type="dxa"/>
            <w:gridSpan w:val="4"/>
            <w:shd w:val="clear" w:color="auto" w:fill="ACF2F0"/>
          </w:tcPr>
          <w:p w14:paraId="69CCBB6C" w14:textId="77777777" w:rsidR="00DC1F67" w:rsidRPr="002203A9" w:rsidRDefault="00DC1F67" w:rsidP="0066478D">
            <w:pPr>
              <w:spacing w:before="120" w:after="120" w:line="240" w:lineRule="auto"/>
              <w:rPr>
                <w:rFonts w:ascii="Arial" w:eastAsia="Times New Roman" w:hAnsi="Arial" w:cs="Arial"/>
                <w:sz w:val="16"/>
                <w:szCs w:val="16"/>
                <w:lang w:eastAsia="en-AU"/>
              </w:rPr>
            </w:pPr>
            <w:r w:rsidRPr="00765DC7">
              <w:rPr>
                <w:rFonts w:ascii="Century Gothic" w:hAnsi="Century Gothic" w:cs="Arial"/>
                <w:b/>
                <w:i/>
                <w:sz w:val="16"/>
                <w:szCs w:val="16"/>
              </w:rPr>
              <w:t>Maximising avoidance of impacts</w:t>
            </w:r>
            <w:r w:rsidRPr="00765DC7">
              <w:rPr>
                <w:rFonts w:ascii="Century Gothic" w:hAnsi="Century Gothic" w:cs="Arial"/>
                <w:sz w:val="16"/>
                <w:szCs w:val="16"/>
              </w:rPr>
              <w:t xml:space="preserve"> - the highest priority is to avoid impacts. Measures to avoid impacts should be documented and consider prudent and feasible alternatives, including the alternative of not carrying out the proposed action. </w:t>
            </w:r>
            <w:r w:rsidRPr="002203A9">
              <w:rPr>
                <w:rFonts w:ascii="Century Gothic" w:eastAsia="Times New Roman" w:hAnsi="Century Gothic" w:cs="Arial"/>
                <w:sz w:val="16"/>
                <w:szCs w:val="16"/>
                <w:lang w:eastAsia="en-AU"/>
              </w:rPr>
              <w:t xml:space="preserve">Measures to mitigate impacts to reduce the likely significance of any residual effects should be </w:t>
            </w:r>
            <w:r w:rsidRPr="002203A9">
              <w:rPr>
                <w:rFonts w:ascii="Century Gothic" w:eastAsia="Times New Roman" w:hAnsi="Century Gothic"/>
                <w:sz w:val="16"/>
                <w:szCs w:val="16"/>
                <w:lang w:eastAsia="en-AU"/>
              </w:rPr>
              <w:t>clearly</w:t>
            </w:r>
            <w:r w:rsidRPr="002203A9">
              <w:rPr>
                <w:rFonts w:ascii="Century Gothic" w:eastAsia="Times New Roman" w:hAnsi="Century Gothic" w:cs="Arial"/>
                <w:sz w:val="16"/>
                <w:szCs w:val="16"/>
                <w:lang w:eastAsia="en-AU"/>
              </w:rPr>
              <w:t xml:space="preserve"> documented as part of the avoid–mitigate–offset hierarchy</w:t>
            </w:r>
            <w:r w:rsidRPr="002203A9">
              <w:rPr>
                <w:rFonts w:ascii="Arial" w:eastAsia="Times New Roman" w:hAnsi="Arial" w:cs="Arial"/>
                <w:sz w:val="16"/>
                <w:szCs w:val="16"/>
                <w:lang w:eastAsia="en-AU"/>
              </w:rPr>
              <w:t xml:space="preserve">. </w:t>
            </w:r>
          </w:p>
        </w:tc>
      </w:tr>
      <w:tr w:rsidR="00670E24" w:rsidRPr="003F4005" w14:paraId="69CCBB8C" w14:textId="77777777" w:rsidTr="005C3CDA">
        <w:tc>
          <w:tcPr>
            <w:tcW w:w="10206" w:type="dxa"/>
            <w:gridSpan w:val="4"/>
            <w:shd w:val="clear" w:color="auto" w:fill="ACF2F0"/>
          </w:tcPr>
          <w:p w14:paraId="69CCBB6E" w14:textId="51135BF4" w:rsidR="00DC1F67" w:rsidRPr="002203A9" w:rsidRDefault="00DC1F67" w:rsidP="0066478D">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 xml:space="preserve">Focusing on outcomes </w:t>
            </w:r>
            <w:r w:rsidRPr="00765DC7">
              <w:rPr>
                <w:rFonts w:ascii="Century Gothic" w:hAnsi="Century Gothic" w:cs="Arial"/>
                <w:sz w:val="16"/>
                <w:szCs w:val="16"/>
              </w:rPr>
              <w:t xml:space="preserve">- </w:t>
            </w:r>
            <w:r w:rsidRPr="00765DC7">
              <w:rPr>
                <w:rFonts w:ascii="Century Gothic" w:eastAsia="Times New Roman" w:hAnsi="Century Gothic" w:cs="Arial"/>
                <w:sz w:val="16"/>
                <w:szCs w:val="16"/>
                <w:lang w:eastAsia="en-AU"/>
              </w:rPr>
              <w:t>adopting an outcomes-based approach was a key recommendation of the Great Barrier Reef Region Strategic Assessment, and underpins the Reef 2050 Plan’s delivery. The condition and trend o</w:t>
            </w:r>
            <w:r w:rsidRPr="002203A9">
              <w:rPr>
                <w:rFonts w:ascii="Century Gothic" w:eastAsia="Times New Roman" w:hAnsi="Century Gothic" w:cs="Arial"/>
                <w:sz w:val="16"/>
                <w:szCs w:val="16"/>
                <w:lang w:eastAsia="en-AU"/>
              </w:rPr>
              <w:t>f the Great Barrier Reef’s values are reported every five years in the Outlook Report and provide an assessment of ‘very good’, ‘good’, ‘poor’ or ‘very poor’ for each of the values. Desired outcomes for the Great Barrier Reef seek to restore the condition of values assessed as ‘poor’ or ‘very poor’, and to maintain and enhance where condition is assessed as ‘good’ or ‘very good’. This is set out below (Table 1).</w:t>
            </w:r>
          </w:p>
          <w:tbl>
            <w:tblPr>
              <w:tblW w:w="3893" w:type="pct"/>
              <w:jc w:val="center"/>
              <w:tblBorders>
                <w:top w:val="single" w:sz="4" w:space="0" w:color="A6A6A6"/>
                <w:bottom w:val="single" w:sz="4" w:space="0" w:color="A6A6A6"/>
                <w:insideH w:val="single" w:sz="4" w:space="0" w:color="A6A6A6"/>
              </w:tblBorders>
              <w:tblLayout w:type="fixed"/>
              <w:tblLook w:val="04A0" w:firstRow="1" w:lastRow="0" w:firstColumn="1" w:lastColumn="0" w:noHBand="0" w:noVBand="1"/>
            </w:tblPr>
            <w:tblGrid>
              <w:gridCol w:w="2951"/>
              <w:gridCol w:w="4827"/>
            </w:tblGrid>
            <w:tr w:rsidR="00DC1F67" w:rsidRPr="002203A9" w14:paraId="69CCBB71" w14:textId="77777777" w:rsidTr="00724B10">
              <w:trPr>
                <w:jc w:val="center"/>
              </w:trPr>
              <w:tc>
                <w:tcPr>
                  <w:tcW w:w="1897" w:type="pct"/>
                  <w:tcBorders>
                    <w:top w:val="single" w:sz="4" w:space="0" w:color="A6A6A6"/>
                    <w:left w:val="nil"/>
                    <w:bottom w:val="single" w:sz="4" w:space="0" w:color="A6A6A6"/>
                    <w:right w:val="nil"/>
                  </w:tcBorders>
                  <w:shd w:val="clear" w:color="auto" w:fill="4BACC6"/>
                  <w:hideMark/>
                </w:tcPr>
                <w:p w14:paraId="69CCBB6F" w14:textId="77777777" w:rsidR="00DC1F67" w:rsidRPr="002203A9" w:rsidRDefault="00DC1F67" w:rsidP="00724B10">
                  <w:pPr>
                    <w:spacing w:before="40" w:after="40" w:line="240" w:lineRule="auto"/>
                    <w:ind w:left="357" w:right="425"/>
                    <w:rPr>
                      <w:rFonts w:ascii="Century Gothic" w:hAnsi="Century Gothic" w:cs="Arial"/>
                      <w:b/>
                      <w:color w:val="FFFFFF"/>
                      <w:sz w:val="16"/>
                      <w:szCs w:val="16"/>
                    </w:rPr>
                  </w:pPr>
                  <w:r w:rsidRPr="002203A9">
                    <w:rPr>
                      <w:rFonts w:ascii="Century Gothic" w:hAnsi="Century Gothic" w:cs="Arial"/>
                      <w:b/>
                      <w:color w:val="FFFFFF"/>
                      <w:sz w:val="16"/>
                      <w:szCs w:val="16"/>
                    </w:rPr>
                    <w:t>Current condition</w:t>
                  </w:r>
                </w:p>
              </w:tc>
              <w:tc>
                <w:tcPr>
                  <w:tcW w:w="3103" w:type="pct"/>
                  <w:tcBorders>
                    <w:top w:val="single" w:sz="4" w:space="0" w:color="A6A6A6"/>
                    <w:left w:val="nil"/>
                    <w:bottom w:val="single" w:sz="4" w:space="0" w:color="A6A6A6"/>
                    <w:right w:val="nil"/>
                  </w:tcBorders>
                  <w:shd w:val="clear" w:color="auto" w:fill="4BACC6"/>
                  <w:hideMark/>
                </w:tcPr>
                <w:p w14:paraId="69CCBB70" w14:textId="77777777" w:rsidR="00DC1F67" w:rsidRPr="002203A9" w:rsidRDefault="00DC1F67" w:rsidP="00724B10">
                  <w:pPr>
                    <w:spacing w:before="40" w:after="40" w:line="240" w:lineRule="auto"/>
                    <w:ind w:left="357" w:right="425"/>
                    <w:rPr>
                      <w:rFonts w:ascii="Century Gothic" w:hAnsi="Century Gothic" w:cs="Arial"/>
                      <w:b/>
                      <w:color w:val="FFFFFF"/>
                      <w:sz w:val="16"/>
                      <w:szCs w:val="16"/>
                    </w:rPr>
                  </w:pPr>
                  <w:r w:rsidRPr="002203A9">
                    <w:rPr>
                      <w:rFonts w:ascii="Century Gothic" w:hAnsi="Century Gothic" w:cs="Arial"/>
                      <w:b/>
                      <w:color w:val="FFFFFF"/>
                      <w:sz w:val="16"/>
                      <w:szCs w:val="16"/>
                    </w:rPr>
                    <w:t>Desired outcome</w:t>
                  </w:r>
                </w:p>
              </w:tc>
            </w:tr>
            <w:tr w:rsidR="00DC1F67" w:rsidRPr="002203A9" w14:paraId="69CCBB74" w14:textId="77777777" w:rsidTr="00724B10">
              <w:trPr>
                <w:jc w:val="center"/>
              </w:trPr>
              <w:tc>
                <w:tcPr>
                  <w:tcW w:w="1897" w:type="pct"/>
                  <w:tcBorders>
                    <w:top w:val="single" w:sz="4" w:space="0" w:color="A6A6A6"/>
                    <w:left w:val="nil"/>
                    <w:bottom w:val="single" w:sz="4" w:space="0" w:color="A6A6A6"/>
                    <w:right w:val="nil"/>
                  </w:tcBorders>
                  <w:shd w:val="clear" w:color="auto" w:fill="E5F4F7"/>
                  <w:hideMark/>
                </w:tcPr>
                <w:p w14:paraId="69CCBB72"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Very good</w:t>
                  </w:r>
                </w:p>
              </w:tc>
              <w:tc>
                <w:tcPr>
                  <w:tcW w:w="3103" w:type="pct"/>
                  <w:tcBorders>
                    <w:top w:val="single" w:sz="4" w:space="0" w:color="A6A6A6"/>
                    <w:left w:val="nil"/>
                    <w:bottom w:val="single" w:sz="4" w:space="0" w:color="A6A6A6"/>
                    <w:right w:val="nil"/>
                  </w:tcBorders>
                  <w:shd w:val="clear" w:color="auto" w:fill="E5F4F7"/>
                  <w:hideMark/>
                </w:tcPr>
                <w:p w14:paraId="69CCBB73"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The condition is maintained</w:t>
                  </w:r>
                </w:p>
              </w:tc>
            </w:tr>
            <w:tr w:rsidR="00DC1F67" w:rsidRPr="002203A9" w14:paraId="69CCBB77" w14:textId="77777777" w:rsidTr="00724B10">
              <w:trPr>
                <w:jc w:val="center"/>
              </w:trPr>
              <w:tc>
                <w:tcPr>
                  <w:tcW w:w="1897" w:type="pct"/>
                  <w:tcBorders>
                    <w:top w:val="single" w:sz="4" w:space="0" w:color="A6A6A6"/>
                    <w:left w:val="nil"/>
                    <w:bottom w:val="single" w:sz="4" w:space="0" w:color="A6A6A6"/>
                    <w:right w:val="nil"/>
                  </w:tcBorders>
                  <w:shd w:val="clear" w:color="auto" w:fill="E5F4F7"/>
                  <w:hideMark/>
                </w:tcPr>
                <w:p w14:paraId="69CCBB75"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Good</w:t>
                  </w:r>
                </w:p>
              </w:tc>
              <w:tc>
                <w:tcPr>
                  <w:tcW w:w="3103" w:type="pct"/>
                  <w:tcBorders>
                    <w:top w:val="single" w:sz="4" w:space="0" w:color="A6A6A6"/>
                    <w:left w:val="nil"/>
                    <w:bottom w:val="single" w:sz="4" w:space="0" w:color="A6A6A6"/>
                    <w:right w:val="nil"/>
                  </w:tcBorders>
                  <w:shd w:val="clear" w:color="auto" w:fill="E5F4F7"/>
                  <w:hideMark/>
                </w:tcPr>
                <w:p w14:paraId="69CCBB76"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The condition is maintained and enhanced</w:t>
                  </w:r>
                </w:p>
              </w:tc>
            </w:tr>
            <w:tr w:rsidR="00DC1F67" w:rsidRPr="002203A9" w14:paraId="69CCBB7A" w14:textId="77777777" w:rsidTr="00724B10">
              <w:trPr>
                <w:jc w:val="center"/>
              </w:trPr>
              <w:tc>
                <w:tcPr>
                  <w:tcW w:w="1897" w:type="pct"/>
                  <w:tcBorders>
                    <w:top w:val="single" w:sz="4" w:space="0" w:color="A6A6A6"/>
                    <w:left w:val="nil"/>
                    <w:bottom w:val="single" w:sz="4" w:space="0" w:color="A6A6A6"/>
                    <w:right w:val="nil"/>
                  </w:tcBorders>
                  <w:shd w:val="clear" w:color="auto" w:fill="E5F4F7"/>
                  <w:hideMark/>
                </w:tcPr>
                <w:p w14:paraId="69CCBB78"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Poor</w:t>
                  </w:r>
                </w:p>
              </w:tc>
              <w:tc>
                <w:tcPr>
                  <w:tcW w:w="3103" w:type="pct"/>
                  <w:tcBorders>
                    <w:top w:val="single" w:sz="4" w:space="0" w:color="A6A6A6"/>
                    <w:left w:val="nil"/>
                    <w:bottom w:val="single" w:sz="4" w:space="0" w:color="A6A6A6"/>
                    <w:right w:val="nil"/>
                  </w:tcBorders>
                  <w:shd w:val="clear" w:color="auto" w:fill="E5F4F7"/>
                  <w:hideMark/>
                </w:tcPr>
                <w:p w14:paraId="69CCBB79"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The condition is restored to good</w:t>
                  </w:r>
                </w:p>
              </w:tc>
            </w:tr>
            <w:tr w:rsidR="00DC1F67" w:rsidRPr="002203A9" w14:paraId="69CCBB7D" w14:textId="77777777" w:rsidTr="00724B10">
              <w:trPr>
                <w:jc w:val="center"/>
              </w:trPr>
              <w:tc>
                <w:tcPr>
                  <w:tcW w:w="1897" w:type="pct"/>
                  <w:tcBorders>
                    <w:top w:val="single" w:sz="4" w:space="0" w:color="A6A6A6"/>
                    <w:left w:val="nil"/>
                    <w:bottom w:val="single" w:sz="4" w:space="0" w:color="A6A6A6"/>
                    <w:right w:val="nil"/>
                  </w:tcBorders>
                  <w:shd w:val="clear" w:color="auto" w:fill="E5F4F7"/>
                  <w:hideMark/>
                </w:tcPr>
                <w:p w14:paraId="69CCBB7B"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Very poor</w:t>
                  </w:r>
                </w:p>
              </w:tc>
              <w:tc>
                <w:tcPr>
                  <w:tcW w:w="3103" w:type="pct"/>
                  <w:tcBorders>
                    <w:top w:val="single" w:sz="4" w:space="0" w:color="A6A6A6"/>
                    <w:left w:val="nil"/>
                    <w:bottom w:val="single" w:sz="4" w:space="0" w:color="A6A6A6"/>
                    <w:right w:val="nil"/>
                  </w:tcBorders>
                  <w:shd w:val="clear" w:color="auto" w:fill="E5F4F7"/>
                  <w:hideMark/>
                </w:tcPr>
                <w:p w14:paraId="69CCBB7C" w14:textId="77777777" w:rsidR="00DC1F67" w:rsidRPr="002203A9" w:rsidRDefault="00DC1F67" w:rsidP="00724B10">
                  <w:pPr>
                    <w:spacing w:before="40" w:after="40" w:line="240" w:lineRule="auto"/>
                    <w:ind w:left="357" w:right="425"/>
                    <w:rPr>
                      <w:rFonts w:ascii="Century Gothic" w:hAnsi="Century Gothic" w:cs="Arial"/>
                      <w:sz w:val="16"/>
                      <w:szCs w:val="16"/>
                    </w:rPr>
                  </w:pPr>
                  <w:r w:rsidRPr="002203A9">
                    <w:rPr>
                      <w:rFonts w:ascii="Century Gothic" w:hAnsi="Century Gothic" w:cs="Arial"/>
                      <w:sz w:val="16"/>
                      <w:szCs w:val="16"/>
                    </w:rPr>
                    <w:t>The condition is restored to good</w:t>
                  </w:r>
                </w:p>
              </w:tc>
            </w:tr>
            <w:tr w:rsidR="00DC1F67" w:rsidRPr="002203A9" w14:paraId="69CCBB80" w14:textId="77777777" w:rsidTr="00724B10">
              <w:trPr>
                <w:jc w:val="center"/>
              </w:trPr>
              <w:tc>
                <w:tcPr>
                  <w:tcW w:w="1897" w:type="pct"/>
                  <w:tcBorders>
                    <w:top w:val="single" w:sz="4" w:space="0" w:color="A6A6A6"/>
                    <w:left w:val="nil"/>
                    <w:bottom w:val="single" w:sz="4" w:space="0" w:color="A6A6A6"/>
                    <w:right w:val="nil"/>
                  </w:tcBorders>
                  <w:shd w:val="clear" w:color="auto" w:fill="4BACC6"/>
                  <w:hideMark/>
                </w:tcPr>
                <w:p w14:paraId="69CCBB7E" w14:textId="77777777" w:rsidR="00DC1F67" w:rsidRPr="002203A9" w:rsidRDefault="00DC1F67" w:rsidP="00724B10">
                  <w:pPr>
                    <w:spacing w:before="40" w:after="40" w:line="240" w:lineRule="auto"/>
                    <w:ind w:left="357" w:right="425"/>
                    <w:rPr>
                      <w:rFonts w:ascii="Century Gothic" w:hAnsi="Century Gothic" w:cs="Arial"/>
                      <w:b/>
                      <w:color w:val="FFFFFF"/>
                      <w:sz w:val="16"/>
                      <w:szCs w:val="16"/>
                    </w:rPr>
                  </w:pPr>
                  <w:r w:rsidRPr="002203A9">
                    <w:rPr>
                      <w:rFonts w:ascii="Century Gothic" w:hAnsi="Century Gothic" w:cs="Arial"/>
                      <w:b/>
                      <w:color w:val="FFFFFF"/>
                      <w:sz w:val="16"/>
                      <w:szCs w:val="16"/>
                    </w:rPr>
                    <w:t>Trend in condition</w:t>
                  </w:r>
                </w:p>
              </w:tc>
              <w:tc>
                <w:tcPr>
                  <w:tcW w:w="3103" w:type="pct"/>
                  <w:tcBorders>
                    <w:top w:val="single" w:sz="4" w:space="0" w:color="A6A6A6"/>
                    <w:left w:val="nil"/>
                    <w:bottom w:val="single" w:sz="4" w:space="0" w:color="A6A6A6"/>
                    <w:right w:val="nil"/>
                  </w:tcBorders>
                  <w:shd w:val="clear" w:color="auto" w:fill="4BACC6"/>
                  <w:hideMark/>
                </w:tcPr>
                <w:p w14:paraId="69CCBB7F" w14:textId="77777777" w:rsidR="00DC1F67" w:rsidRPr="002203A9" w:rsidRDefault="00DC1F67" w:rsidP="00724B10">
                  <w:pPr>
                    <w:spacing w:before="40" w:after="40" w:line="240" w:lineRule="auto"/>
                    <w:ind w:left="357" w:right="425"/>
                    <w:rPr>
                      <w:rFonts w:ascii="Century Gothic" w:hAnsi="Century Gothic" w:cs="Arial"/>
                      <w:b/>
                      <w:color w:val="FFFFFF"/>
                      <w:sz w:val="16"/>
                      <w:szCs w:val="16"/>
                    </w:rPr>
                  </w:pPr>
                  <w:r w:rsidRPr="002203A9">
                    <w:rPr>
                      <w:rFonts w:ascii="Century Gothic" w:hAnsi="Century Gothic" w:cs="Arial"/>
                      <w:b/>
                      <w:color w:val="FFFFFF"/>
                      <w:sz w:val="16"/>
                      <w:szCs w:val="16"/>
                    </w:rPr>
                    <w:t>Desired outcome</w:t>
                  </w:r>
                </w:p>
              </w:tc>
            </w:tr>
            <w:tr w:rsidR="00DC1F67" w:rsidRPr="002203A9" w14:paraId="69CCBB83" w14:textId="77777777" w:rsidTr="00724B10">
              <w:trPr>
                <w:jc w:val="center"/>
              </w:trPr>
              <w:tc>
                <w:tcPr>
                  <w:tcW w:w="1897" w:type="pct"/>
                  <w:tcBorders>
                    <w:top w:val="single" w:sz="4" w:space="0" w:color="A6A6A6"/>
                    <w:left w:val="nil"/>
                    <w:bottom w:val="single" w:sz="4" w:space="0" w:color="A6A6A6"/>
                    <w:right w:val="nil"/>
                  </w:tcBorders>
                  <w:shd w:val="clear" w:color="auto" w:fill="E5F4F7"/>
                  <w:hideMark/>
                </w:tcPr>
                <w:p w14:paraId="69CCBB81"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Improving</w:t>
                  </w:r>
                </w:p>
              </w:tc>
              <w:tc>
                <w:tcPr>
                  <w:tcW w:w="3103" w:type="pct"/>
                  <w:tcBorders>
                    <w:top w:val="single" w:sz="4" w:space="0" w:color="A6A6A6"/>
                    <w:left w:val="nil"/>
                    <w:bottom w:val="single" w:sz="4" w:space="0" w:color="A6A6A6"/>
                    <w:right w:val="nil"/>
                  </w:tcBorders>
                  <w:shd w:val="clear" w:color="auto" w:fill="E5F4F7"/>
                  <w:hideMark/>
                </w:tcPr>
                <w:p w14:paraId="69CCBB82"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The trend is maintained</w:t>
                  </w:r>
                </w:p>
              </w:tc>
            </w:tr>
            <w:tr w:rsidR="00DC1F67" w:rsidRPr="002203A9" w14:paraId="69CCBB86" w14:textId="77777777" w:rsidTr="00724B10">
              <w:trPr>
                <w:jc w:val="center"/>
              </w:trPr>
              <w:tc>
                <w:tcPr>
                  <w:tcW w:w="1897" w:type="pct"/>
                  <w:tcBorders>
                    <w:top w:val="single" w:sz="4" w:space="0" w:color="A6A6A6"/>
                    <w:left w:val="nil"/>
                    <w:bottom w:val="single" w:sz="4" w:space="0" w:color="A6A6A6"/>
                    <w:right w:val="nil"/>
                  </w:tcBorders>
                  <w:shd w:val="clear" w:color="auto" w:fill="E5F4F7"/>
                  <w:hideMark/>
                </w:tcPr>
                <w:p w14:paraId="69CCBB84"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Stable</w:t>
                  </w:r>
                </w:p>
              </w:tc>
              <w:tc>
                <w:tcPr>
                  <w:tcW w:w="3103" w:type="pct"/>
                  <w:tcBorders>
                    <w:top w:val="single" w:sz="4" w:space="0" w:color="A6A6A6"/>
                    <w:left w:val="nil"/>
                    <w:bottom w:val="single" w:sz="4" w:space="0" w:color="A6A6A6"/>
                    <w:right w:val="nil"/>
                  </w:tcBorders>
                  <w:shd w:val="clear" w:color="auto" w:fill="E5F4F7"/>
                  <w:hideMark/>
                </w:tcPr>
                <w:p w14:paraId="69CCBB85"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The trend is maintained and improved</w:t>
                  </w:r>
                </w:p>
              </w:tc>
            </w:tr>
            <w:tr w:rsidR="00DC1F67" w:rsidRPr="002203A9" w14:paraId="69CCBB89" w14:textId="77777777" w:rsidTr="00724B10">
              <w:trPr>
                <w:jc w:val="center"/>
              </w:trPr>
              <w:tc>
                <w:tcPr>
                  <w:tcW w:w="1897" w:type="pct"/>
                  <w:tcBorders>
                    <w:top w:val="single" w:sz="4" w:space="0" w:color="A6A6A6"/>
                    <w:left w:val="nil"/>
                    <w:bottom w:val="single" w:sz="4" w:space="0" w:color="A6A6A6"/>
                    <w:right w:val="nil"/>
                  </w:tcBorders>
                  <w:shd w:val="clear" w:color="auto" w:fill="E5F4F7"/>
                  <w:hideMark/>
                </w:tcPr>
                <w:p w14:paraId="69CCBB87"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Deteriorating</w:t>
                  </w:r>
                </w:p>
              </w:tc>
              <w:tc>
                <w:tcPr>
                  <w:tcW w:w="3103" w:type="pct"/>
                  <w:tcBorders>
                    <w:top w:val="single" w:sz="4" w:space="0" w:color="A6A6A6"/>
                    <w:left w:val="nil"/>
                    <w:bottom w:val="single" w:sz="4" w:space="0" w:color="A6A6A6"/>
                    <w:right w:val="nil"/>
                  </w:tcBorders>
                  <w:shd w:val="clear" w:color="auto" w:fill="E5F4F7"/>
                  <w:hideMark/>
                </w:tcPr>
                <w:p w14:paraId="69CCBB88" w14:textId="77777777" w:rsidR="00DC1F67" w:rsidRPr="002203A9" w:rsidRDefault="00DC1F67" w:rsidP="00724B10">
                  <w:pPr>
                    <w:spacing w:before="40" w:after="40" w:line="240" w:lineRule="auto"/>
                    <w:ind w:left="357" w:right="425"/>
                    <w:outlineLvl w:val="7"/>
                    <w:rPr>
                      <w:rFonts w:ascii="Century Gothic" w:hAnsi="Century Gothic" w:cs="Arial"/>
                      <w:sz w:val="16"/>
                      <w:szCs w:val="16"/>
                    </w:rPr>
                  </w:pPr>
                  <w:r w:rsidRPr="002203A9">
                    <w:rPr>
                      <w:rFonts w:ascii="Century Gothic" w:hAnsi="Century Gothic" w:cs="Arial"/>
                      <w:sz w:val="16"/>
                      <w:szCs w:val="16"/>
                    </w:rPr>
                    <w:t>The decline is halted and reversed</w:t>
                  </w:r>
                </w:p>
              </w:tc>
            </w:tr>
          </w:tbl>
          <w:p w14:paraId="69CCBB8A" w14:textId="58A4AD1C" w:rsidR="00DC1F67" w:rsidRPr="002203A9" w:rsidRDefault="00DC1F67" w:rsidP="0066478D">
            <w:pPr>
              <w:spacing w:after="120"/>
              <w:ind w:left="1979"/>
              <w:rPr>
                <w:rFonts w:ascii="Century Gothic" w:hAnsi="Century Gothic" w:cs="Arial"/>
                <w:b/>
                <w:i/>
                <w:sz w:val="16"/>
                <w:szCs w:val="16"/>
              </w:rPr>
            </w:pPr>
            <w:r w:rsidRPr="002203A9">
              <w:rPr>
                <w:rFonts w:ascii="Century Gothic" w:hAnsi="Century Gothic" w:cs="Arial"/>
                <w:b/>
                <w:sz w:val="16"/>
                <w:szCs w:val="16"/>
              </w:rPr>
              <w:t xml:space="preserve">Table </w:t>
            </w:r>
            <w:r w:rsidRPr="00765DC7">
              <w:rPr>
                <w:rFonts w:ascii="Century Gothic" w:hAnsi="Century Gothic" w:cs="Arial"/>
                <w:b/>
                <w:sz w:val="16"/>
                <w:szCs w:val="16"/>
              </w:rPr>
              <w:fldChar w:fldCharType="begin"/>
            </w:r>
            <w:r w:rsidRPr="002203A9">
              <w:rPr>
                <w:rFonts w:ascii="Century Gothic" w:hAnsi="Century Gothic" w:cs="Arial"/>
                <w:b/>
                <w:sz w:val="16"/>
                <w:szCs w:val="16"/>
              </w:rPr>
              <w:instrText xml:space="preserve"> SEQ Table \* ARABIC </w:instrText>
            </w:r>
            <w:r w:rsidRPr="00765DC7">
              <w:rPr>
                <w:rFonts w:ascii="Century Gothic" w:hAnsi="Century Gothic" w:cs="Arial"/>
                <w:b/>
                <w:sz w:val="16"/>
                <w:szCs w:val="16"/>
              </w:rPr>
              <w:fldChar w:fldCharType="separate"/>
            </w:r>
            <w:r w:rsidR="00484A58" w:rsidRPr="00765DC7">
              <w:rPr>
                <w:rFonts w:ascii="Century Gothic" w:hAnsi="Century Gothic" w:cs="Arial"/>
                <w:b/>
                <w:noProof/>
                <w:sz w:val="16"/>
                <w:szCs w:val="16"/>
              </w:rPr>
              <w:t>1</w:t>
            </w:r>
            <w:r w:rsidRPr="00765DC7">
              <w:rPr>
                <w:rFonts w:ascii="Century Gothic" w:hAnsi="Century Gothic" w:cs="Arial"/>
                <w:b/>
                <w:sz w:val="16"/>
                <w:szCs w:val="16"/>
              </w:rPr>
              <w:fldChar w:fldCharType="end"/>
            </w:r>
            <w:r w:rsidRPr="00765DC7">
              <w:rPr>
                <w:rFonts w:ascii="Century Gothic" w:hAnsi="Century Gothic" w:cs="Arial"/>
                <w:b/>
                <w:sz w:val="16"/>
                <w:szCs w:val="16"/>
              </w:rPr>
              <w:t xml:space="preserve">: </w:t>
            </w:r>
            <w:r w:rsidRPr="00765DC7">
              <w:rPr>
                <w:rFonts w:ascii="Century Gothic" w:hAnsi="Century Gothic" w:cs="Arial"/>
                <w:sz w:val="16"/>
                <w:szCs w:val="16"/>
              </w:rPr>
              <w:t xml:space="preserve">Desired outcomes for </w:t>
            </w:r>
            <w:r w:rsidR="00C6581D" w:rsidRPr="00765DC7">
              <w:rPr>
                <w:rFonts w:ascii="Century Gothic" w:hAnsi="Century Gothic" w:cs="Arial"/>
                <w:sz w:val="16"/>
                <w:szCs w:val="16"/>
              </w:rPr>
              <w:t>G</w:t>
            </w:r>
            <w:r w:rsidR="00C6581D" w:rsidRPr="002203A9">
              <w:rPr>
                <w:rFonts w:ascii="Century Gothic" w:hAnsi="Century Gothic" w:cs="Arial"/>
                <w:sz w:val="16"/>
                <w:szCs w:val="16"/>
              </w:rPr>
              <w:t xml:space="preserve">reat Barrier </w:t>
            </w:r>
            <w:r w:rsidR="002C047F" w:rsidRPr="002203A9">
              <w:rPr>
                <w:rFonts w:ascii="Century Gothic" w:hAnsi="Century Gothic" w:cs="Arial"/>
                <w:sz w:val="16"/>
                <w:szCs w:val="16"/>
              </w:rPr>
              <w:t>Reef values</w:t>
            </w:r>
          </w:p>
          <w:p w14:paraId="69CCBB8B" w14:textId="3AFF73C0" w:rsidR="00DC1F67" w:rsidRPr="002203A9" w:rsidRDefault="00DC1F67" w:rsidP="00C6581D">
            <w:pPr>
              <w:spacing w:after="120" w:line="240" w:lineRule="auto"/>
              <w:rPr>
                <w:rFonts w:ascii="Century Gothic" w:eastAsia="Times New Roman" w:hAnsi="Century Gothic" w:cs="Arial"/>
                <w:sz w:val="16"/>
                <w:szCs w:val="16"/>
                <w:lang w:eastAsia="en-AU"/>
              </w:rPr>
            </w:pPr>
            <w:r w:rsidRPr="002203A9">
              <w:rPr>
                <w:rFonts w:ascii="Century Gothic" w:eastAsia="Times New Roman" w:hAnsi="Century Gothic" w:cs="Arial"/>
                <w:sz w:val="16"/>
                <w:szCs w:val="16"/>
                <w:lang w:eastAsia="en-AU"/>
              </w:rPr>
              <w:t xml:space="preserve">Decisions should align with the desired outcomes (Table 1) for the condition and trend of Great Barrier Reef values, including its outstanding universal value.  </w:t>
            </w:r>
            <w:r w:rsidRPr="002203A9">
              <w:rPr>
                <w:rFonts w:ascii="Century Gothic" w:hAnsi="Century Gothic" w:cs="Arial"/>
                <w:sz w:val="16"/>
                <w:szCs w:val="16"/>
              </w:rPr>
              <w:t>Management options should be compared with appropriate standards and guidelines, including desired outcomes for the state of the Great Barrier Reef’s values, to inform the acceptability of the proposed action. This includes considering the principles of ecologically sustainable use.</w:t>
            </w:r>
          </w:p>
        </w:tc>
      </w:tr>
      <w:tr w:rsidR="00670E24" w:rsidRPr="003F4005" w14:paraId="69CCBB92" w14:textId="77777777" w:rsidTr="005C3CDA">
        <w:tc>
          <w:tcPr>
            <w:tcW w:w="10206" w:type="dxa"/>
            <w:gridSpan w:val="4"/>
            <w:shd w:val="clear" w:color="auto" w:fill="ACF2F0"/>
          </w:tcPr>
          <w:p w14:paraId="69CCBB8D" w14:textId="14B6C90D" w:rsidR="00DC1F67" w:rsidRPr="00765DC7" w:rsidRDefault="00DC1F67" w:rsidP="0066478D">
            <w:pPr>
              <w:spacing w:before="120" w:after="120" w:line="240" w:lineRule="auto"/>
              <w:rPr>
                <w:rFonts w:ascii="Century Gothic" w:eastAsia="Times New Roman" w:hAnsi="Century Gothic" w:cs="Arial"/>
                <w:sz w:val="16"/>
                <w:szCs w:val="16"/>
                <w:lang w:eastAsia="en-AU"/>
              </w:rPr>
            </w:pPr>
            <w:r w:rsidRPr="00765DC7">
              <w:rPr>
                <w:rFonts w:ascii="Century Gothic" w:hAnsi="Century Gothic" w:cs="Arial"/>
                <w:b/>
                <w:i/>
                <w:sz w:val="16"/>
                <w:szCs w:val="16"/>
              </w:rPr>
              <w:t>Taking a systems perspective</w:t>
            </w:r>
            <w:r w:rsidRPr="00765DC7">
              <w:rPr>
                <w:rFonts w:ascii="Century Gothic" w:hAnsi="Century Gothic" w:cs="Arial"/>
                <w:sz w:val="16"/>
                <w:szCs w:val="16"/>
              </w:rPr>
              <w:t xml:space="preserve"> - healthy and resilient ecosystems are fundamental to </w:t>
            </w:r>
            <w:r w:rsidRPr="002203A9">
              <w:rPr>
                <w:rFonts w:ascii="Century Gothic" w:hAnsi="Century Gothic" w:cs="Arial"/>
                <w:sz w:val="16"/>
                <w:szCs w:val="16"/>
              </w:rPr>
              <w:t xml:space="preserve">protect </w:t>
            </w:r>
            <w:r w:rsidR="00C6581D" w:rsidRPr="002203A9">
              <w:rPr>
                <w:rFonts w:ascii="Century Gothic" w:hAnsi="Century Gothic" w:cs="Arial"/>
                <w:sz w:val="16"/>
                <w:szCs w:val="16"/>
              </w:rPr>
              <w:t>Great Barrier Reef</w:t>
            </w:r>
            <w:r w:rsidRPr="002203A9">
              <w:rPr>
                <w:rFonts w:ascii="Century Gothic" w:hAnsi="Century Gothic" w:cs="Arial"/>
                <w:sz w:val="16"/>
                <w:szCs w:val="16"/>
              </w:rPr>
              <w:t xml:space="preserve"> values</w:t>
            </w:r>
            <w:r w:rsidRPr="00765DC7">
              <w:rPr>
                <w:rFonts w:ascii="Century Gothic" w:hAnsi="Century Gothic" w:cs="Arial"/>
                <w:sz w:val="16"/>
                <w:szCs w:val="16"/>
              </w:rPr>
              <w:t xml:space="preserve">, and the community and economic benefits they support. The Driver, Pressure, State, Impact, Response (DPSIR) framework (Figure 2) should be used to understand links between drivers of, activities in and pressures on the state of the environment, and the impacts on the benefits it provides. </w:t>
            </w:r>
            <w:r w:rsidRPr="002203A9">
              <w:rPr>
                <w:rFonts w:ascii="Century Gothic" w:eastAsia="Times New Roman" w:hAnsi="Century Gothic" w:cs="Arial"/>
                <w:sz w:val="16"/>
                <w:szCs w:val="16"/>
                <w:lang w:eastAsia="en-AU"/>
              </w:rPr>
              <w:t>Adopting a systems perspective focused on affected Great Barrier Reef values provides a strong basis to design and deliver net benefits, reduce cumulative impacts, maintain the integrity of the Great Barrier Reef World Heritage Area and provide adequate offsets. Decisions should clearly:</w:t>
            </w:r>
          </w:p>
          <w:p w14:paraId="69CCBB8E"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specify the space and time scales in which the drivers, pressures and impacts affect Great Barrier Reef values, including its outstanding universal value</w:t>
            </w:r>
          </w:p>
          <w:p w14:paraId="69CCBB8F"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specify the space and time scales, including relevant animal and plant life-history traits, at which affected values operate</w:t>
            </w:r>
          </w:p>
          <w:p w14:paraId="69CCBB90"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identify cause and effect relationships between drivers, pressures and impacts on the environment’s constituent parts</w:t>
            </w:r>
          </w:p>
          <w:p w14:paraId="69CCBB91"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consider connections between land and sea, and within the marine environment.</w:t>
            </w:r>
          </w:p>
        </w:tc>
      </w:tr>
      <w:tr w:rsidR="00670E24" w:rsidRPr="003F4005" w14:paraId="69CCBB94" w14:textId="77777777" w:rsidTr="005C3CDA">
        <w:tc>
          <w:tcPr>
            <w:tcW w:w="10206" w:type="dxa"/>
            <w:gridSpan w:val="4"/>
            <w:tcBorders>
              <w:bottom w:val="single" w:sz="18" w:space="0" w:color="FFFFFF"/>
            </w:tcBorders>
            <w:shd w:val="clear" w:color="auto" w:fill="ACF2F0"/>
          </w:tcPr>
          <w:p w14:paraId="69CCBB93" w14:textId="77777777" w:rsidR="00DC1F67" w:rsidRPr="002203A9" w:rsidRDefault="00DC1F67" w:rsidP="0066478D">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Using the best available information</w:t>
            </w:r>
            <w:r w:rsidRPr="00765DC7">
              <w:rPr>
                <w:rFonts w:ascii="Century Gothic" w:hAnsi="Century Gothic" w:cs="Arial"/>
                <w:sz w:val="16"/>
                <w:szCs w:val="16"/>
              </w:rPr>
              <w:t xml:space="preserve"> - the best available information from the most appropriate sources should be used. This includes historical information, monitoring data, Traditional Owner and stakeholder knowledge, observation, modelling, forecasts, expert judgement, peer-reviewed literat</w:t>
            </w:r>
            <w:r w:rsidRPr="002203A9">
              <w:rPr>
                <w:rFonts w:ascii="Century Gothic" w:hAnsi="Century Gothic" w:cs="Arial"/>
                <w:sz w:val="16"/>
                <w:szCs w:val="16"/>
              </w:rPr>
              <w:t xml:space="preserve">ure and science. </w:t>
            </w:r>
            <w:r w:rsidRPr="002203A9">
              <w:rPr>
                <w:rFonts w:ascii="Century Gothic" w:eastAsia="Times New Roman" w:hAnsi="Century Gothic" w:cs="Arial"/>
                <w:sz w:val="16"/>
                <w:szCs w:val="16"/>
                <w:lang w:eastAsia="en-AU"/>
              </w:rPr>
              <w:t xml:space="preserve">Information should specify possible limitations of data and modelling; divergence in expert judgement, or uncertainty, availability, quality, quantity and ongoing relevance of information. </w:t>
            </w:r>
          </w:p>
        </w:tc>
      </w:tr>
      <w:tr w:rsidR="00670E24" w:rsidRPr="003F4005" w14:paraId="69CCBB96" w14:textId="77777777" w:rsidTr="005C3CDA">
        <w:tc>
          <w:tcPr>
            <w:tcW w:w="10206" w:type="dxa"/>
            <w:gridSpan w:val="4"/>
            <w:tcBorders>
              <w:top w:val="single" w:sz="18" w:space="0" w:color="FFFFFF"/>
              <w:bottom w:val="nil"/>
            </w:tcBorders>
            <w:shd w:val="clear" w:color="auto" w:fill="ACF2F0"/>
          </w:tcPr>
          <w:p w14:paraId="69CCBB95" w14:textId="434BA80D" w:rsidR="00DC1F67" w:rsidRPr="002203A9" w:rsidRDefault="00DC1F67" w:rsidP="00641CA4">
            <w:pPr>
              <w:spacing w:before="120" w:after="120" w:line="240" w:lineRule="auto"/>
              <w:rPr>
                <w:rFonts w:ascii="Century Gothic" w:eastAsia="Times New Roman" w:hAnsi="Century Gothic"/>
                <w:sz w:val="16"/>
                <w:szCs w:val="16"/>
                <w:lang w:eastAsia="en-AU"/>
              </w:rPr>
            </w:pPr>
            <w:r w:rsidRPr="00765DC7">
              <w:rPr>
                <w:rFonts w:ascii="Century Gothic" w:hAnsi="Century Gothic" w:cs="Arial"/>
                <w:b/>
                <w:i/>
                <w:sz w:val="16"/>
                <w:szCs w:val="16"/>
              </w:rPr>
              <w:t>Understanding and managing risk</w:t>
            </w:r>
            <w:r w:rsidRPr="00765DC7">
              <w:rPr>
                <w:rFonts w:ascii="Century Gothic" w:hAnsi="Century Gothic" w:cs="Arial"/>
                <w:sz w:val="16"/>
                <w:szCs w:val="16"/>
              </w:rPr>
              <w:t xml:space="preserve"> - </w:t>
            </w:r>
            <w:r w:rsidR="00641CA4" w:rsidRPr="00765DC7">
              <w:rPr>
                <w:rFonts w:ascii="Century Gothic" w:hAnsi="Century Gothic" w:cs="Arial"/>
                <w:sz w:val="16"/>
                <w:szCs w:val="16"/>
              </w:rPr>
              <w:t>risk</w:t>
            </w:r>
            <w:r w:rsidRPr="002203A9">
              <w:rPr>
                <w:rFonts w:ascii="Century Gothic" w:hAnsi="Century Gothic" w:cs="Arial"/>
                <w:sz w:val="16"/>
                <w:szCs w:val="16"/>
              </w:rPr>
              <w:t xml:space="preserve">-management processes should be integrated into decision-making and demonstrate consistency with the Australian/New Zealand/International Standard, AS/NZS ISO 31000:2009 Risk management – Principles and guidelines. </w:t>
            </w:r>
            <w:r w:rsidRPr="002203A9">
              <w:rPr>
                <w:rFonts w:ascii="Century Gothic" w:eastAsia="Times New Roman" w:hAnsi="Century Gothic" w:cs="Arial"/>
                <w:sz w:val="16"/>
                <w:szCs w:val="16"/>
                <w:lang w:eastAsia="en-AU"/>
              </w:rPr>
              <w:t>When</w:t>
            </w:r>
            <w:r w:rsidRPr="002203A9">
              <w:rPr>
                <w:rFonts w:ascii="Century Gothic" w:eastAsia="Times New Roman" w:hAnsi="Century Gothic"/>
                <w:sz w:val="16"/>
                <w:szCs w:val="16"/>
                <w:lang w:eastAsia="en-AU"/>
              </w:rPr>
              <w:t xml:space="preserve"> </w:t>
            </w:r>
            <w:r w:rsidRPr="002203A9">
              <w:rPr>
                <w:rFonts w:ascii="Century Gothic" w:eastAsia="Times New Roman" w:hAnsi="Century Gothic" w:cs="Arial"/>
                <w:sz w:val="16"/>
                <w:szCs w:val="16"/>
                <w:lang w:eastAsia="en-AU"/>
              </w:rPr>
              <w:t>identifying</w:t>
            </w:r>
            <w:r w:rsidRPr="002203A9">
              <w:rPr>
                <w:rFonts w:ascii="Century Gothic" w:eastAsia="Times New Roman" w:hAnsi="Century Gothic"/>
                <w:sz w:val="16"/>
                <w:szCs w:val="16"/>
                <w:lang w:eastAsia="en-AU"/>
              </w:rPr>
              <w:t xml:space="preserve"> and analysing risks, the following factors should be considered:</w:t>
            </w:r>
          </w:p>
        </w:tc>
      </w:tr>
      <w:tr w:rsidR="00DC1F67" w:rsidRPr="003F4005" w14:paraId="69CCBB9E" w14:textId="77777777" w:rsidTr="005C3CDA">
        <w:tc>
          <w:tcPr>
            <w:tcW w:w="4950" w:type="dxa"/>
            <w:gridSpan w:val="3"/>
            <w:tcBorders>
              <w:top w:val="nil"/>
              <w:bottom w:val="nil"/>
              <w:right w:val="nil"/>
            </w:tcBorders>
            <w:shd w:val="clear" w:color="auto" w:fill="ACF2F0"/>
          </w:tcPr>
          <w:p w14:paraId="69CCBB97" w14:textId="77777777" w:rsidR="00DC1F67" w:rsidRPr="00765DC7"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765DC7">
              <w:rPr>
                <w:rFonts w:ascii="Century Gothic" w:eastAsia="Times New Roman" w:hAnsi="Century Gothic"/>
                <w:sz w:val="16"/>
                <w:szCs w:val="16"/>
                <w:lang w:eastAsia="en-AU"/>
              </w:rPr>
              <w:t>time lags which may exist between cause and effect</w:t>
            </w:r>
          </w:p>
          <w:p w14:paraId="69CCBB98" w14:textId="04546D08"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765DC7">
              <w:rPr>
                <w:rFonts w:ascii="Century Gothic" w:eastAsia="Times New Roman" w:hAnsi="Century Gothic"/>
                <w:sz w:val="16"/>
                <w:szCs w:val="16"/>
                <w:lang w:eastAsia="en-AU"/>
              </w:rPr>
              <w:t xml:space="preserve">diversity, complexity and connectivity between </w:t>
            </w:r>
            <w:r w:rsidR="00641CA4" w:rsidRPr="002203A9">
              <w:rPr>
                <w:rFonts w:ascii="Century Gothic" w:eastAsia="Times New Roman" w:hAnsi="Century Gothic"/>
                <w:sz w:val="16"/>
                <w:szCs w:val="16"/>
                <w:lang w:eastAsia="en-AU"/>
              </w:rPr>
              <w:t>e</w:t>
            </w:r>
            <w:r w:rsidR="00641CA4" w:rsidRPr="00765DC7">
              <w:rPr>
                <w:rFonts w:ascii="Century Gothic" w:eastAsia="Times New Roman" w:hAnsi="Century Gothic"/>
                <w:sz w:val="16"/>
                <w:szCs w:val="16"/>
                <w:lang w:eastAsia="en-AU"/>
              </w:rPr>
              <w:t>nvironmental</w:t>
            </w:r>
            <w:r w:rsidRPr="00765DC7">
              <w:rPr>
                <w:rFonts w:ascii="Century Gothic" w:eastAsia="Times New Roman" w:hAnsi="Century Gothic"/>
                <w:sz w:val="16"/>
                <w:szCs w:val="16"/>
                <w:lang w:eastAsia="en-AU"/>
              </w:rPr>
              <w:t xml:space="preserve"> components and processes, including cumulative or synergistic effects</w:t>
            </w:r>
          </w:p>
          <w:p w14:paraId="69CCBB99"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effects that are prone to change if the context changes</w:t>
            </w:r>
          </w:p>
          <w:p w14:paraId="69CCBB9A"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lack of reliable data</w:t>
            </w:r>
          </w:p>
        </w:tc>
        <w:tc>
          <w:tcPr>
            <w:tcW w:w="5256" w:type="dxa"/>
            <w:tcBorders>
              <w:top w:val="nil"/>
              <w:left w:val="nil"/>
              <w:bottom w:val="nil"/>
            </w:tcBorders>
            <w:shd w:val="clear" w:color="auto" w:fill="ACF2F0"/>
          </w:tcPr>
          <w:p w14:paraId="69CCBB9B"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 xml:space="preserve">possibility of human error  </w:t>
            </w:r>
          </w:p>
          <w:p w14:paraId="69CCBB9C"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natural variation, where the likelihood of an outcome may depend on a variety of factors and the vulnerability of components of a system under study</w:t>
            </w:r>
          </w:p>
          <w:p w14:paraId="69CCBB9D" w14:textId="77777777" w:rsidR="00DC1F67" w:rsidRPr="002203A9" w:rsidRDefault="00DC1F67" w:rsidP="0066478D">
            <w:pPr>
              <w:numPr>
                <w:ilvl w:val="1"/>
                <w:numId w:val="5"/>
              </w:numPr>
              <w:spacing w:after="60" w:line="240" w:lineRule="auto"/>
              <w:ind w:left="230" w:hanging="144"/>
              <w:rPr>
                <w:rFonts w:ascii="Arial" w:eastAsia="Times New Roman" w:hAnsi="Arial"/>
                <w:sz w:val="17"/>
                <w:szCs w:val="17"/>
                <w:lang w:eastAsia="en-AU"/>
              </w:rPr>
            </w:pPr>
            <w:r w:rsidRPr="002203A9">
              <w:rPr>
                <w:rFonts w:ascii="Century Gothic" w:eastAsia="Times New Roman" w:hAnsi="Century Gothic"/>
                <w:sz w:val="16"/>
                <w:szCs w:val="16"/>
                <w:lang w:eastAsia="en-AU"/>
              </w:rPr>
              <w:t>uncertainties likely to have a material impact on decision-making.</w:t>
            </w:r>
          </w:p>
        </w:tc>
      </w:tr>
      <w:tr w:rsidR="00670E24" w:rsidRPr="003F4005" w14:paraId="69CCBBA0" w14:textId="77777777" w:rsidTr="005C3CDA">
        <w:tc>
          <w:tcPr>
            <w:tcW w:w="10206" w:type="dxa"/>
            <w:gridSpan w:val="4"/>
            <w:tcBorders>
              <w:top w:val="nil"/>
              <w:bottom w:val="single" w:sz="18" w:space="0" w:color="FFFFFF"/>
            </w:tcBorders>
            <w:shd w:val="clear" w:color="auto" w:fill="ACF2F0"/>
          </w:tcPr>
          <w:p w14:paraId="69CCBB9F" w14:textId="77777777" w:rsidR="00DC1F67" w:rsidRPr="00765DC7" w:rsidRDefault="00DC1F67" w:rsidP="0066478D">
            <w:pPr>
              <w:spacing w:before="120" w:after="60"/>
              <w:rPr>
                <w:rFonts w:ascii="Century Gothic" w:eastAsia="Times New Roman" w:hAnsi="Century Gothic"/>
                <w:sz w:val="16"/>
                <w:szCs w:val="16"/>
                <w:lang w:eastAsia="en-AU"/>
              </w:rPr>
            </w:pPr>
            <w:r w:rsidRPr="00765DC7">
              <w:rPr>
                <w:rFonts w:ascii="Century Gothic" w:eastAsia="Times New Roman" w:hAnsi="Century Gothic"/>
                <w:sz w:val="16"/>
                <w:szCs w:val="16"/>
                <w:lang w:eastAsia="en-AU"/>
              </w:rPr>
              <w:t xml:space="preserve">The </w:t>
            </w:r>
            <w:r w:rsidRPr="00765DC7">
              <w:rPr>
                <w:rFonts w:ascii="Century Gothic" w:eastAsia="Times New Roman" w:hAnsi="Century Gothic" w:cs="Arial"/>
                <w:sz w:val="16"/>
                <w:szCs w:val="16"/>
                <w:lang w:eastAsia="en-AU"/>
              </w:rPr>
              <w:t>Outlook</w:t>
            </w:r>
            <w:r w:rsidRPr="00765DC7">
              <w:rPr>
                <w:rFonts w:ascii="Century Gothic" w:eastAsia="Times New Roman" w:hAnsi="Century Gothic"/>
                <w:sz w:val="16"/>
                <w:szCs w:val="16"/>
                <w:lang w:eastAsia="en-AU"/>
              </w:rPr>
              <w:t xml:space="preserve"> Report should be used as a guide to the types and level of risks to the Great Barrier Reef from drivers, pressures and activities (refer Attachments 1 and 2).</w:t>
            </w:r>
          </w:p>
        </w:tc>
      </w:tr>
      <w:tr w:rsidR="00DC1F67" w:rsidRPr="003F4005" w14:paraId="69CCBBB1" w14:textId="77777777" w:rsidTr="005C3CDA">
        <w:trPr>
          <w:trHeight w:val="5265"/>
        </w:trPr>
        <w:tc>
          <w:tcPr>
            <w:tcW w:w="4680" w:type="dxa"/>
            <w:gridSpan w:val="2"/>
            <w:tcBorders>
              <w:top w:val="single" w:sz="18" w:space="0" w:color="FFFFFF"/>
              <w:bottom w:val="single" w:sz="18" w:space="0" w:color="FFFFFF"/>
              <w:right w:val="nil"/>
            </w:tcBorders>
            <w:shd w:val="clear" w:color="auto" w:fill="ACF2F0"/>
          </w:tcPr>
          <w:p w14:paraId="69CCBBA1" w14:textId="38EB4315" w:rsidR="00DC1F67" w:rsidRPr="002203A9" w:rsidRDefault="00DC1F67" w:rsidP="0066478D">
            <w:pPr>
              <w:spacing w:before="120" w:after="120" w:line="240" w:lineRule="auto"/>
              <w:rPr>
                <w:rFonts w:ascii="Century Gothic" w:hAnsi="Century Gothic" w:cs="Arial"/>
                <w:sz w:val="16"/>
                <w:szCs w:val="16"/>
              </w:rPr>
            </w:pPr>
            <w:r w:rsidRPr="00765DC7">
              <w:rPr>
                <w:rFonts w:ascii="Century Gothic" w:hAnsi="Century Gothic" w:cs="Arial"/>
                <w:b/>
                <w:i/>
                <w:sz w:val="16"/>
                <w:szCs w:val="16"/>
              </w:rPr>
              <w:t xml:space="preserve">Assessing vulnerability and resilience </w:t>
            </w:r>
            <w:r w:rsidRPr="00765DC7">
              <w:rPr>
                <w:rFonts w:ascii="Century Gothic" w:hAnsi="Century Gothic" w:cs="Arial"/>
                <w:i/>
                <w:sz w:val="16"/>
                <w:szCs w:val="16"/>
              </w:rPr>
              <w:t>-</w:t>
            </w:r>
            <w:r w:rsidRPr="00765DC7">
              <w:rPr>
                <w:rFonts w:ascii="Century Gothic" w:hAnsi="Century Gothic" w:cs="Arial"/>
                <w:b/>
                <w:i/>
                <w:sz w:val="16"/>
                <w:szCs w:val="16"/>
              </w:rPr>
              <w:t xml:space="preserve"> </w:t>
            </w:r>
            <w:r w:rsidR="00641CA4" w:rsidRPr="002203A9">
              <w:rPr>
                <w:rFonts w:ascii="Century Gothic" w:hAnsi="Century Gothic" w:cs="Arial"/>
                <w:sz w:val="16"/>
                <w:szCs w:val="16"/>
              </w:rPr>
              <w:t>t</w:t>
            </w:r>
            <w:r w:rsidR="00641CA4" w:rsidRPr="00765DC7">
              <w:rPr>
                <w:rFonts w:ascii="Century Gothic" w:hAnsi="Century Gothic" w:cs="Arial"/>
                <w:sz w:val="16"/>
                <w:szCs w:val="16"/>
              </w:rPr>
              <w:t xml:space="preserve">he </w:t>
            </w:r>
            <w:r w:rsidRPr="002203A9">
              <w:rPr>
                <w:rFonts w:ascii="Century Gothic" w:hAnsi="Century Gothic" w:cs="Arial"/>
                <w:sz w:val="16"/>
                <w:szCs w:val="16"/>
              </w:rPr>
              <w:t>vulnerability and resilience of the overall ecosystem and its values (Figure 1) should be assessed. Consider whether exposure of a value or process to impacts – including the interaction of effects between impacts and past, present and reasonably foreseeable future pressures – is material, by assessing:</w:t>
            </w:r>
          </w:p>
          <w:p w14:paraId="69CCBBA2"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the sensitivity of the value:</w:t>
            </w:r>
          </w:p>
          <w:p w14:paraId="69CCBBA3"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the life histories/processes that are impacted</w:t>
            </w:r>
          </w:p>
          <w:p w14:paraId="69CCBBA4"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the dependency on impacted resources</w:t>
            </w:r>
          </w:p>
          <w:p w14:paraId="69CCBBA5"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 xml:space="preserve">the current condition and trend </w:t>
            </w:r>
          </w:p>
          <w:p w14:paraId="69CCBBA6"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 xml:space="preserve">health thresholds </w:t>
            </w:r>
          </w:p>
          <w:p w14:paraId="69CCBBA7"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risk and uncertainty around assumptions</w:t>
            </w:r>
          </w:p>
          <w:p w14:paraId="69CCBBA8" w14:textId="77777777" w:rsidR="00DC1F67" w:rsidRPr="002203A9" w:rsidRDefault="00DC1F67" w:rsidP="0066478D">
            <w:pPr>
              <w:numPr>
                <w:ilvl w:val="1"/>
                <w:numId w:val="5"/>
              </w:numPr>
              <w:spacing w:after="60" w:line="240" w:lineRule="auto"/>
              <w:ind w:left="230"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the adaptive capacity of the value:</w:t>
            </w:r>
          </w:p>
          <w:p w14:paraId="69CCBBA9"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rate of recovery between disturbances, based on current condition</w:t>
            </w:r>
          </w:p>
          <w:p w14:paraId="69CCBBAA"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rate of change and reorganising of a system to a desirable functioning state</w:t>
            </w:r>
          </w:p>
          <w:p w14:paraId="69CCBBAB" w14:textId="77777777" w:rsidR="00DC1F67" w:rsidRPr="002203A9" w:rsidRDefault="00DC1F67" w:rsidP="0066478D">
            <w:pPr>
              <w:numPr>
                <w:ilvl w:val="2"/>
                <w:numId w:val="6"/>
              </w:numPr>
              <w:spacing w:after="60" w:line="240" w:lineRule="auto"/>
              <w:ind w:left="522" w:hanging="144"/>
              <w:rPr>
                <w:rFonts w:ascii="Century Gothic" w:eastAsia="Times New Roman" w:hAnsi="Century Gothic"/>
                <w:sz w:val="16"/>
                <w:szCs w:val="16"/>
                <w:lang w:eastAsia="en-AU"/>
              </w:rPr>
            </w:pPr>
            <w:r w:rsidRPr="002203A9">
              <w:rPr>
                <w:rFonts w:ascii="Century Gothic" w:eastAsia="Times New Roman" w:hAnsi="Century Gothic"/>
                <w:sz w:val="16"/>
                <w:szCs w:val="16"/>
                <w:lang w:eastAsia="en-AU"/>
              </w:rPr>
              <w:t>risk and uncertainty around assumptions.</w:t>
            </w:r>
          </w:p>
          <w:p w14:paraId="69CCBBAC" w14:textId="77777777" w:rsidR="00DC1F67" w:rsidRPr="002203A9" w:rsidRDefault="00DC1F67" w:rsidP="0066478D">
            <w:pPr>
              <w:spacing w:after="120" w:line="240" w:lineRule="auto"/>
              <w:rPr>
                <w:rFonts w:ascii="Century Gothic" w:hAnsi="Century Gothic" w:cs="Arial"/>
                <w:sz w:val="16"/>
                <w:szCs w:val="16"/>
              </w:rPr>
            </w:pPr>
            <w:r w:rsidRPr="002203A9">
              <w:rPr>
                <w:rFonts w:ascii="Century Gothic" w:eastAsia="Times New Roman" w:hAnsi="Century Gothic" w:cs="Arial"/>
                <w:sz w:val="16"/>
                <w:szCs w:val="16"/>
                <w:lang w:eastAsia="en-AU"/>
              </w:rPr>
              <w:t xml:space="preserve">Vulnerability and resilience should be considered when assessing the level of risk, identifying strategies for building resilience, assessing the urgency of action, evaluating the efficacy and cost-effectiveness of options, and for engaging and empowering stakeholders in adaptation processes. </w:t>
            </w:r>
          </w:p>
        </w:tc>
        <w:tc>
          <w:tcPr>
            <w:tcW w:w="5526" w:type="dxa"/>
            <w:gridSpan w:val="2"/>
            <w:tcBorders>
              <w:top w:val="single" w:sz="18" w:space="0" w:color="FFFFFF"/>
              <w:left w:val="nil"/>
              <w:bottom w:val="single" w:sz="18" w:space="0" w:color="FFFFFF"/>
            </w:tcBorders>
            <w:shd w:val="clear" w:color="auto" w:fill="ACF2F0"/>
          </w:tcPr>
          <w:p w14:paraId="69CCBBAD" w14:textId="77777777" w:rsidR="00DC1F67" w:rsidRPr="002203A9" w:rsidRDefault="00DC1F67" w:rsidP="0066478D">
            <w:pPr>
              <w:spacing w:after="120"/>
              <w:ind w:left="-18"/>
              <w:jc w:val="both"/>
              <w:rPr>
                <w:rFonts w:ascii="Arial" w:eastAsia="Times New Roman" w:hAnsi="Arial" w:cs="Arial"/>
                <w:sz w:val="8"/>
                <w:szCs w:val="8"/>
                <w:lang w:eastAsia="en-AU"/>
              </w:rPr>
            </w:pPr>
          </w:p>
          <w:p w14:paraId="69CCBBAE" w14:textId="77777777" w:rsidR="000A4D14" w:rsidRPr="002203A9" w:rsidRDefault="000A4D14" w:rsidP="000A4D14">
            <w:pPr>
              <w:spacing w:after="120"/>
              <w:jc w:val="both"/>
              <w:rPr>
                <w:rFonts w:ascii="Arial" w:eastAsia="Times New Roman" w:hAnsi="Arial" w:cs="Arial"/>
                <w:sz w:val="8"/>
                <w:szCs w:val="8"/>
                <w:lang w:eastAsia="en-AU"/>
              </w:rPr>
            </w:pPr>
          </w:p>
          <w:p w14:paraId="69CCBBAF" w14:textId="4B9CC694" w:rsidR="00DC1F67" w:rsidRPr="00765DC7" w:rsidRDefault="0095278E" w:rsidP="0066478D">
            <w:pPr>
              <w:spacing w:after="120"/>
              <w:rPr>
                <w:rFonts w:ascii="Century Gothic" w:hAnsi="Century Gothic" w:cs="Arial"/>
                <w:b/>
                <w:sz w:val="16"/>
                <w:szCs w:val="16"/>
              </w:rPr>
            </w:pPr>
            <w:r>
              <w:rPr>
                <w:rFonts w:ascii="Arial" w:hAnsi="Arial" w:cs="Arial"/>
                <w:noProof/>
                <w:sz w:val="17"/>
                <w:szCs w:val="17"/>
                <w:lang w:eastAsia="en-AU"/>
              </w:rPr>
              <w:pict w14:anchorId="69CCC3E3">
                <v:shape id="_x0000_i1028" type="#_x0000_t75" alt="Figure 1 comprising boxes in series.  Exposure and sensitivity are linked to describe potential impact.  Potential impact and adaptive capacity combine to describe ecological vulnerability.  Ecological vulnerability combines with resource dependency to describe potential impact, adaptive capacity and overall socioeconomic vulnerability.  The socioeconomic vulnerability then has a feedback arrow, influencing ecological vulnerability." style="width:242.25pt;height:209.25pt;visibility:visible">
                  <v:imagedata r:id="rId23" o:title=""/>
                </v:shape>
              </w:pict>
            </w:r>
          </w:p>
          <w:p w14:paraId="69CCBBB0" w14:textId="77777777" w:rsidR="00DC1F67" w:rsidRPr="002203A9" w:rsidRDefault="00DC1F67" w:rsidP="0066478D">
            <w:pPr>
              <w:spacing w:after="120"/>
              <w:rPr>
                <w:rFonts w:ascii="Century Gothic" w:hAnsi="Century Gothic" w:cs="Arial"/>
                <w:sz w:val="16"/>
                <w:szCs w:val="16"/>
              </w:rPr>
            </w:pPr>
            <w:r w:rsidRPr="002203A9">
              <w:rPr>
                <w:rFonts w:ascii="Century Gothic" w:hAnsi="Century Gothic" w:cs="Arial"/>
                <w:b/>
                <w:sz w:val="16"/>
                <w:szCs w:val="16"/>
              </w:rPr>
              <w:t>Figure 1:</w:t>
            </w:r>
            <w:r w:rsidRPr="002203A9">
              <w:rPr>
                <w:rFonts w:ascii="Century Gothic" w:hAnsi="Century Gothic" w:cs="Arial"/>
                <w:sz w:val="16"/>
                <w:szCs w:val="16"/>
              </w:rPr>
              <w:t xml:space="preserve"> Illustrating system vulnerability and resilience (Marshall, Tobin, Marshall, Gooch and Hobday, 2013).</w:t>
            </w:r>
          </w:p>
        </w:tc>
      </w:tr>
      <w:tr w:rsidR="00670E24" w:rsidRPr="003F4005" w14:paraId="69CCBBB3" w14:textId="77777777" w:rsidTr="005C3CDA">
        <w:tc>
          <w:tcPr>
            <w:tcW w:w="10206" w:type="dxa"/>
            <w:gridSpan w:val="4"/>
            <w:tcBorders>
              <w:top w:val="single" w:sz="18" w:space="0" w:color="FFFFFF"/>
              <w:bottom w:val="single" w:sz="18" w:space="0" w:color="FFFFFF"/>
            </w:tcBorders>
            <w:shd w:val="clear" w:color="auto" w:fill="ACF2F0"/>
          </w:tcPr>
          <w:p w14:paraId="69CCBBB2" w14:textId="1D67A9BE" w:rsidR="00DC1F67" w:rsidRPr="00765DC7" w:rsidRDefault="00DC1F67" w:rsidP="00765DC7">
            <w:pPr>
              <w:spacing w:before="120" w:after="120" w:line="240" w:lineRule="auto"/>
              <w:rPr>
                <w:rFonts w:ascii="Century Gothic" w:eastAsia="Times New Roman" w:hAnsi="Century Gothic" w:cs="Arial"/>
                <w:sz w:val="16"/>
                <w:szCs w:val="16"/>
                <w:lang w:eastAsia="en-AU"/>
              </w:rPr>
            </w:pPr>
            <w:r w:rsidRPr="00765DC7">
              <w:rPr>
                <w:rFonts w:ascii="Century Gothic" w:hAnsi="Century Gothic" w:cs="Arial"/>
                <w:b/>
                <w:i/>
                <w:sz w:val="16"/>
                <w:szCs w:val="16"/>
              </w:rPr>
              <w:t>Monitoring and review</w:t>
            </w:r>
            <w:r w:rsidRPr="00765DC7">
              <w:rPr>
                <w:rFonts w:ascii="Century Gothic" w:hAnsi="Century Gothic" w:cs="Arial"/>
                <w:sz w:val="16"/>
                <w:szCs w:val="16"/>
              </w:rPr>
              <w:t xml:space="preserve"> - </w:t>
            </w:r>
            <w:r w:rsidR="00641CA4" w:rsidRPr="002203A9">
              <w:rPr>
                <w:rFonts w:ascii="Century Gothic" w:hAnsi="Century Gothic" w:cs="Arial"/>
                <w:sz w:val="16"/>
                <w:szCs w:val="16"/>
              </w:rPr>
              <w:t>t</w:t>
            </w:r>
            <w:r w:rsidR="00641CA4" w:rsidRPr="00765DC7">
              <w:rPr>
                <w:rFonts w:ascii="Century Gothic" w:hAnsi="Century Gothic" w:cs="Arial"/>
                <w:sz w:val="16"/>
                <w:szCs w:val="16"/>
              </w:rPr>
              <w:t xml:space="preserve">he </w:t>
            </w:r>
            <w:r w:rsidRPr="00765DC7">
              <w:rPr>
                <w:rFonts w:ascii="Century Gothic" w:hAnsi="Century Gothic" w:cs="Arial"/>
                <w:sz w:val="16"/>
                <w:szCs w:val="16"/>
              </w:rPr>
              <w:t>Reef 2050 Integrated Monitoring and Reporting Program is establishing standard p</w:t>
            </w:r>
            <w:r w:rsidRPr="002203A9">
              <w:rPr>
                <w:rFonts w:ascii="Century Gothic" w:hAnsi="Century Gothic" w:cs="Arial"/>
                <w:sz w:val="16"/>
                <w:szCs w:val="16"/>
              </w:rPr>
              <w:t xml:space="preserve">rotocols for collecting, storing, accessing and reporting information. Monitoring and reporting should be consistent with these protocols and appropriate to the nature and level of risk. Reporting should not only focus on implementation of actions but achievements towards outcomes. </w:t>
            </w:r>
            <w:r w:rsidRPr="002203A9">
              <w:rPr>
                <w:rFonts w:ascii="Century Gothic" w:eastAsia="Times New Roman" w:hAnsi="Century Gothic" w:cs="Arial"/>
                <w:sz w:val="16"/>
                <w:szCs w:val="16"/>
                <w:lang w:eastAsia="en-AU"/>
              </w:rPr>
              <w:t xml:space="preserve">Monitoring and review should be systematically integrated into decisions and </w:t>
            </w:r>
            <w:r w:rsidRPr="002203A9">
              <w:rPr>
                <w:rFonts w:ascii="Century Gothic" w:eastAsia="Times New Roman" w:hAnsi="Century Gothic"/>
                <w:sz w:val="16"/>
                <w:szCs w:val="16"/>
                <w:lang w:eastAsia="en-AU"/>
              </w:rPr>
              <w:t>implementation</w:t>
            </w:r>
            <w:r w:rsidRPr="002203A9">
              <w:rPr>
                <w:rFonts w:ascii="Century Gothic" w:eastAsia="Times New Roman" w:hAnsi="Century Gothic" w:cs="Arial"/>
                <w:sz w:val="16"/>
                <w:szCs w:val="16"/>
                <w:lang w:eastAsia="en-AU"/>
              </w:rPr>
              <w:t xml:space="preserve"> concerned with net benefits, offsetting and cumulative impact assessment and management. It is then possible to detect change, maintain currency and evaluate the effectiveness of management interventions.</w:t>
            </w:r>
          </w:p>
        </w:tc>
      </w:tr>
      <w:tr w:rsidR="00DC1F67" w:rsidRPr="003F4005" w14:paraId="69CCBBB9" w14:textId="77777777" w:rsidTr="005C3CDA">
        <w:tc>
          <w:tcPr>
            <w:tcW w:w="2880" w:type="dxa"/>
            <w:tcBorders>
              <w:top w:val="single" w:sz="18" w:space="0" w:color="FFFFFF"/>
              <w:bottom w:val="single" w:sz="18" w:space="0" w:color="FFFFFF"/>
              <w:right w:val="nil"/>
            </w:tcBorders>
            <w:shd w:val="clear" w:color="auto" w:fill="ACF2F0"/>
          </w:tcPr>
          <w:p w14:paraId="69CCBBB4" w14:textId="4B91C3FD" w:rsidR="00DC1F67" w:rsidRPr="002203A9" w:rsidRDefault="00DC1F67" w:rsidP="0066478D">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 xml:space="preserve">Adaptively manage </w:t>
            </w:r>
            <w:r w:rsidRPr="00765DC7">
              <w:rPr>
                <w:rFonts w:ascii="Century Gothic" w:hAnsi="Century Gothic" w:cs="Arial"/>
                <w:sz w:val="16"/>
                <w:szCs w:val="16"/>
              </w:rPr>
              <w:t xml:space="preserve">- </w:t>
            </w:r>
            <w:r w:rsidR="00641CA4" w:rsidRPr="002203A9">
              <w:rPr>
                <w:rFonts w:ascii="Century Gothic" w:eastAsia="Times New Roman" w:hAnsi="Century Gothic" w:cs="Arial"/>
                <w:sz w:val="16"/>
                <w:szCs w:val="16"/>
                <w:lang w:eastAsia="en-AU"/>
              </w:rPr>
              <w:t>t</w:t>
            </w:r>
            <w:r w:rsidR="00641CA4" w:rsidRPr="00765DC7">
              <w:rPr>
                <w:rFonts w:ascii="Century Gothic" w:eastAsia="Times New Roman" w:hAnsi="Century Gothic" w:cs="Arial"/>
                <w:sz w:val="16"/>
                <w:szCs w:val="16"/>
                <w:lang w:eastAsia="en-AU"/>
              </w:rPr>
              <w:t xml:space="preserve">he </w:t>
            </w:r>
            <w:r w:rsidRPr="002203A9">
              <w:rPr>
                <w:rFonts w:ascii="Century Gothic" w:eastAsia="Times New Roman" w:hAnsi="Century Gothic" w:cs="Arial"/>
                <w:sz w:val="16"/>
                <w:szCs w:val="16"/>
                <w:lang w:eastAsia="en-AU"/>
              </w:rPr>
              <w:t>results of targeted research, modelling and monitoring should be used to evaluate the performance of actions and drive continuous improvement.</w:t>
            </w:r>
          </w:p>
          <w:p w14:paraId="69CCBBB5" w14:textId="77777777" w:rsidR="00DC1F67" w:rsidRPr="002203A9" w:rsidRDefault="00DC1F67" w:rsidP="0066478D">
            <w:pPr>
              <w:spacing w:before="240" w:after="120"/>
              <w:rPr>
                <w:rFonts w:ascii="Century Gothic" w:eastAsia="Times New Roman" w:hAnsi="Century Gothic" w:cs="Arial"/>
                <w:sz w:val="16"/>
                <w:szCs w:val="16"/>
                <w:lang w:eastAsia="en-AU"/>
              </w:rPr>
            </w:pPr>
            <w:r w:rsidRPr="002203A9">
              <w:rPr>
                <w:rFonts w:ascii="Century Gothic" w:eastAsia="Times New Roman" w:hAnsi="Century Gothic" w:cs="Arial"/>
                <w:sz w:val="16"/>
                <w:szCs w:val="16"/>
                <w:lang w:eastAsia="en-AU"/>
              </w:rPr>
              <w:t xml:space="preserve">Actions may need to be modified in response to new information, emerging issues or changing circumstances. </w:t>
            </w:r>
          </w:p>
          <w:p w14:paraId="69CCBBB6" w14:textId="77777777" w:rsidR="00DC1F67" w:rsidRPr="002203A9" w:rsidRDefault="00DC1F67" w:rsidP="0066478D">
            <w:pPr>
              <w:spacing w:before="240" w:after="120" w:line="240" w:lineRule="auto"/>
              <w:rPr>
                <w:rFonts w:ascii="Arial" w:eastAsia="Times New Roman" w:hAnsi="Arial" w:cs="Arial"/>
                <w:sz w:val="17"/>
                <w:szCs w:val="17"/>
                <w:lang w:eastAsia="en-AU"/>
              </w:rPr>
            </w:pPr>
            <w:r w:rsidRPr="002203A9">
              <w:rPr>
                <w:rFonts w:ascii="Century Gothic" w:eastAsia="Times New Roman" w:hAnsi="Century Gothic" w:cs="Arial"/>
                <w:sz w:val="16"/>
                <w:szCs w:val="16"/>
                <w:lang w:eastAsia="en-AU"/>
              </w:rPr>
              <w:t>The Reef 2050 Plan and the Reef 2050 Integrated Monitoring and Reporting Program provide an adaptive management framework to assess progress towards outcomes and targets, and reduce impacts, using the Driver Pressure State Impact Response framework</w:t>
            </w:r>
            <w:r w:rsidRPr="002203A9">
              <w:rPr>
                <w:rFonts w:ascii="Arial" w:eastAsia="Times New Roman" w:hAnsi="Arial" w:cs="Arial"/>
                <w:sz w:val="17"/>
                <w:szCs w:val="17"/>
                <w:lang w:eastAsia="en-AU"/>
              </w:rPr>
              <w:t>.</w:t>
            </w:r>
          </w:p>
        </w:tc>
        <w:tc>
          <w:tcPr>
            <w:tcW w:w="7326" w:type="dxa"/>
            <w:gridSpan w:val="3"/>
            <w:tcBorders>
              <w:top w:val="single" w:sz="18" w:space="0" w:color="FFFFFF"/>
              <w:left w:val="nil"/>
              <w:bottom w:val="single" w:sz="18" w:space="0" w:color="FFFFFF"/>
            </w:tcBorders>
            <w:shd w:val="clear" w:color="auto" w:fill="ACF2F0"/>
          </w:tcPr>
          <w:p w14:paraId="69CCBBB7" w14:textId="2D6BAF40" w:rsidR="00DC1F67" w:rsidRPr="00765DC7" w:rsidRDefault="0095278E" w:rsidP="0066478D">
            <w:pPr>
              <w:spacing w:before="60" w:after="60"/>
              <w:ind w:left="-18" w:right="144"/>
              <w:jc w:val="center"/>
              <w:rPr>
                <w:rFonts w:ascii="Arial" w:eastAsia="Times New Roman" w:hAnsi="Arial" w:cs="Arial"/>
                <w:b/>
                <w:sz w:val="17"/>
                <w:szCs w:val="17"/>
                <w:lang w:eastAsia="en-AU"/>
              </w:rPr>
            </w:pPr>
            <w:r>
              <w:rPr>
                <w:rFonts w:ascii="Arial" w:eastAsia="Calibri" w:hAnsi="Arial" w:cs="Arial"/>
                <w:noProof/>
                <w:sz w:val="17"/>
                <w:szCs w:val="17"/>
                <w:lang w:eastAsia="en-AU"/>
              </w:rPr>
              <w:pict w14:anchorId="69CCC3E4">
                <v:shape id="_x0000_i1029" type="#_x0000_t75" alt="Figure 2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style="width:322.5pt;height:209.25pt;visibility:visible">
                  <v:imagedata r:id="rId24" o:title="" croptop="6692f"/>
                </v:shape>
              </w:pict>
            </w:r>
          </w:p>
          <w:p w14:paraId="69CCBBB8" w14:textId="77777777" w:rsidR="00DC1F67" w:rsidRPr="002203A9" w:rsidRDefault="00DC1F67" w:rsidP="0066478D">
            <w:pPr>
              <w:spacing w:before="60" w:after="60"/>
              <w:ind w:left="-115" w:right="144"/>
              <w:jc w:val="center"/>
              <w:rPr>
                <w:rFonts w:ascii="Century Gothic" w:eastAsia="Times New Roman" w:hAnsi="Century Gothic" w:cs="Arial"/>
                <w:b/>
                <w:sz w:val="16"/>
                <w:szCs w:val="16"/>
                <w:lang w:eastAsia="en-AU"/>
              </w:rPr>
            </w:pPr>
            <w:r w:rsidRPr="002203A9">
              <w:rPr>
                <w:rFonts w:ascii="Century Gothic" w:eastAsia="Times New Roman" w:hAnsi="Century Gothic" w:cs="Arial"/>
                <w:b/>
                <w:sz w:val="16"/>
                <w:szCs w:val="16"/>
                <w:lang w:eastAsia="en-AU"/>
              </w:rPr>
              <w:t>Figure 2</w:t>
            </w:r>
            <w:r w:rsidRPr="002203A9">
              <w:rPr>
                <w:rFonts w:ascii="Century Gothic" w:eastAsia="Times New Roman" w:hAnsi="Century Gothic" w:cs="Arial"/>
                <w:sz w:val="16"/>
                <w:szCs w:val="16"/>
                <w:lang w:eastAsia="en-AU"/>
              </w:rPr>
              <w:t>: Reef 2050 Plan adaptive management framework.</w:t>
            </w:r>
          </w:p>
        </w:tc>
      </w:tr>
      <w:tr w:rsidR="00670E24" w:rsidRPr="003F4005" w14:paraId="69CCBBBB" w14:textId="77777777" w:rsidTr="005C3CDA">
        <w:tc>
          <w:tcPr>
            <w:tcW w:w="10206" w:type="dxa"/>
            <w:gridSpan w:val="4"/>
            <w:tcBorders>
              <w:top w:val="single" w:sz="18" w:space="0" w:color="FFFFFF"/>
            </w:tcBorders>
            <w:shd w:val="clear" w:color="auto" w:fill="ACF2F0"/>
          </w:tcPr>
          <w:p w14:paraId="69CCBBBA" w14:textId="7709517E" w:rsidR="00DC1F67" w:rsidRPr="002203A9" w:rsidRDefault="00DC1F67" w:rsidP="002C047F">
            <w:pPr>
              <w:spacing w:before="120" w:after="120"/>
              <w:rPr>
                <w:rFonts w:ascii="Century Gothic" w:eastAsia="Times New Roman" w:hAnsi="Century Gothic" w:cs="Arial"/>
                <w:sz w:val="16"/>
                <w:szCs w:val="16"/>
                <w:lang w:eastAsia="en-AU"/>
              </w:rPr>
            </w:pPr>
            <w:r w:rsidRPr="00765DC7">
              <w:rPr>
                <w:rFonts w:ascii="Century Gothic" w:hAnsi="Century Gothic" w:cs="Arial"/>
                <w:b/>
                <w:i/>
                <w:sz w:val="16"/>
                <w:szCs w:val="16"/>
              </w:rPr>
              <w:t xml:space="preserve">Ensuring transparent governance </w:t>
            </w:r>
            <w:r w:rsidRPr="00765DC7">
              <w:rPr>
                <w:rFonts w:ascii="Century Gothic" w:hAnsi="Century Gothic" w:cs="Arial"/>
                <w:sz w:val="16"/>
                <w:szCs w:val="16"/>
              </w:rPr>
              <w:t>-</w:t>
            </w:r>
            <w:r w:rsidRPr="00765DC7">
              <w:rPr>
                <w:rFonts w:ascii="Century Gothic" w:hAnsi="Century Gothic" w:cs="Arial"/>
                <w:b/>
                <w:i/>
                <w:sz w:val="16"/>
                <w:szCs w:val="16"/>
              </w:rPr>
              <w:t xml:space="preserve"> </w:t>
            </w:r>
            <w:r w:rsidR="00641CA4" w:rsidRPr="002203A9">
              <w:rPr>
                <w:rFonts w:ascii="Century Gothic" w:hAnsi="Century Gothic" w:cs="Arial"/>
                <w:sz w:val="16"/>
                <w:szCs w:val="16"/>
              </w:rPr>
              <w:t>i</w:t>
            </w:r>
            <w:r w:rsidRPr="00765DC7">
              <w:rPr>
                <w:rFonts w:ascii="Century Gothic" w:hAnsi="Century Gothic" w:cs="Arial"/>
                <w:sz w:val="16"/>
                <w:szCs w:val="16"/>
              </w:rPr>
              <w:t xml:space="preserve">mplementation should be supported by effective and transparent governance measures focused on ensuring specified outcomes are delivered to maintain Great Barrier Reef </w:t>
            </w:r>
            <w:r w:rsidRPr="002203A9">
              <w:rPr>
                <w:rFonts w:ascii="Century Gothic" w:hAnsi="Century Gothic" w:cs="Arial"/>
                <w:sz w:val="16"/>
                <w:szCs w:val="16"/>
              </w:rPr>
              <w:t xml:space="preserve">values. Clear governance arrangements are required to promote alignment, maximise efficient use of resources and reduce duplication of effort. </w:t>
            </w:r>
            <w:r w:rsidRPr="002203A9">
              <w:rPr>
                <w:rFonts w:ascii="Century Gothic" w:eastAsia="Times New Roman" w:hAnsi="Century Gothic" w:cs="Arial"/>
                <w:sz w:val="16"/>
                <w:szCs w:val="16"/>
                <w:lang w:eastAsia="en-AU"/>
              </w:rPr>
              <w:t xml:space="preserve">Methods of communicating information and consulting with relevant stakeholders should facilitate accurate and understandable exchanges of </w:t>
            </w:r>
            <w:r w:rsidRPr="002203A9">
              <w:rPr>
                <w:rFonts w:ascii="Century Gothic" w:eastAsia="Times New Roman" w:hAnsi="Century Gothic"/>
                <w:sz w:val="16"/>
                <w:szCs w:val="16"/>
                <w:lang w:eastAsia="en-AU"/>
              </w:rPr>
              <w:t>information</w:t>
            </w:r>
            <w:r w:rsidRPr="002203A9">
              <w:rPr>
                <w:rFonts w:ascii="Century Gothic" w:eastAsia="Times New Roman" w:hAnsi="Century Gothic" w:cs="Arial"/>
                <w:sz w:val="16"/>
                <w:szCs w:val="16"/>
                <w:lang w:eastAsia="en-AU"/>
              </w:rPr>
              <w:t>, while considering relevant information security requirements (such as privacy and confidentiality).  Accountability for achieving outcomes will occur through the Reef 2050 Integrated Monitoring and Reporting Program, the Outlook Report and review of the Reef 2050 Plan. Where relevant, regulatory compliance and enforcement programs may contribute to transparent and accountable governance by aligning and supporting the Reef 2050 Integrated Monitoring and Reporting Program.</w:t>
            </w:r>
          </w:p>
        </w:tc>
      </w:tr>
    </w:tbl>
    <w:p w14:paraId="69CCBBBC" w14:textId="77777777" w:rsidR="008526FE" w:rsidRPr="00BC4666" w:rsidRDefault="008526FE" w:rsidP="008526FE">
      <w:pPr>
        <w:pStyle w:val="Heading2"/>
        <w:keepNext/>
        <w:tabs>
          <w:tab w:val="left" w:pos="9498"/>
        </w:tabs>
        <w:spacing w:before="240" w:after="120"/>
        <w:rPr>
          <w:rFonts w:ascii="Century Gothic" w:hAnsi="Century Gothic"/>
          <w:b/>
        </w:rPr>
      </w:pPr>
      <w:bookmarkStart w:id="6" w:name="_Toc479240255"/>
      <w:bookmarkStart w:id="7" w:name="_Toc482002023"/>
      <w:r w:rsidRPr="00BC4666">
        <w:rPr>
          <w:rFonts w:ascii="Century Gothic" w:hAnsi="Century Gothic"/>
          <w:b/>
        </w:rPr>
        <w:t>Cumulative impact management policy statements</w:t>
      </w:r>
      <w:bookmarkEnd w:id="6"/>
      <w:bookmarkEnd w:id="7"/>
      <w:r w:rsidRPr="00BC4666">
        <w:rPr>
          <w:rFonts w:ascii="Century Gothic" w:hAnsi="Century Gothic"/>
          <w:b/>
        </w:rPr>
        <w:tab/>
      </w:r>
    </w:p>
    <w:p w14:paraId="69CCBBBD" w14:textId="77777777" w:rsidR="008526FE" w:rsidRPr="00A74957" w:rsidRDefault="008526FE" w:rsidP="008526FE">
      <w:pPr>
        <w:pStyle w:val="BodyTextNumbering"/>
        <w:keepNext/>
        <w:spacing w:after="120"/>
        <w:rPr>
          <w:rFonts w:ascii="Century Gothic" w:hAnsi="Century Gothic"/>
          <w:b/>
          <w:i/>
          <w:szCs w:val="20"/>
        </w:rPr>
      </w:pPr>
      <w:r w:rsidRPr="00A74957">
        <w:rPr>
          <w:rFonts w:ascii="Century Gothic" w:hAnsi="Century Gothic"/>
          <w:b/>
          <w:i/>
          <w:szCs w:val="20"/>
        </w:rPr>
        <w:t>Reducing pressures on the Reef’s values</w:t>
      </w:r>
    </w:p>
    <w:p w14:paraId="69CCBBBE" w14:textId="77777777" w:rsidR="008526FE" w:rsidRPr="00A74957" w:rsidRDefault="008526FE" w:rsidP="008526FE">
      <w:pPr>
        <w:pStyle w:val="BodyTextNumbering"/>
        <w:spacing w:before="0" w:after="120"/>
        <w:rPr>
          <w:rFonts w:ascii="Century Gothic" w:hAnsi="Century Gothic"/>
          <w:szCs w:val="20"/>
        </w:rPr>
      </w:pPr>
      <w:r w:rsidRPr="00A74957">
        <w:rPr>
          <w:rFonts w:ascii="Century Gothic" w:hAnsi="Century Gothic"/>
          <w:szCs w:val="20"/>
        </w:rPr>
        <w:t xml:space="preserve">Management of cumulative impacts should aim to reduce pressures from multiple sources (refer Attachment 1) to attain the desired outcomes for the condition and trend of Great Barrier Reef values and to protect its outstanding universal value (refer Table 1). </w:t>
      </w:r>
    </w:p>
    <w:p w14:paraId="69CCBBBF" w14:textId="77777777" w:rsidR="008526FE" w:rsidRPr="00A74957" w:rsidRDefault="008526FE" w:rsidP="008526FE">
      <w:pPr>
        <w:pStyle w:val="BodyTextNumbering"/>
        <w:spacing w:before="0" w:after="120"/>
        <w:rPr>
          <w:rFonts w:ascii="Century Gothic" w:hAnsi="Century Gothic"/>
          <w:szCs w:val="20"/>
        </w:rPr>
      </w:pPr>
      <w:r w:rsidRPr="00A74957">
        <w:rPr>
          <w:rFonts w:ascii="Century Gothic" w:hAnsi="Century Gothic"/>
          <w:szCs w:val="20"/>
        </w:rPr>
        <w:t xml:space="preserve">Cumulative impact management should be based on rigorous decision-making that demonstrably identifies past, present and reasonably foreseeable pressures, and examines their combined effect on Great Barrier Reef values. </w:t>
      </w:r>
    </w:p>
    <w:p w14:paraId="69CCBBC0" w14:textId="1DD596E5" w:rsidR="008526FE" w:rsidRPr="00A74957" w:rsidRDefault="008526FE" w:rsidP="0066478D">
      <w:pPr>
        <w:pStyle w:val="BodyTextNumbering"/>
        <w:spacing w:before="0" w:after="120"/>
        <w:rPr>
          <w:rFonts w:ascii="Century Gothic" w:hAnsi="Century Gothic"/>
          <w:szCs w:val="20"/>
        </w:rPr>
      </w:pPr>
      <w:r w:rsidRPr="00A74957">
        <w:rPr>
          <w:rFonts w:ascii="Century Gothic" w:hAnsi="Century Gothic"/>
          <w:szCs w:val="20"/>
        </w:rPr>
        <w:t xml:space="preserve">The Great Barrier Reef Strategic Assessment provides a comprehensive list and description of drivers, pressures and impacts affecting the Great Barrier Reef values. The risk of these pressures and impacts is updated five yearly in the Great Barrier Reef Outlook </w:t>
      </w:r>
      <w:r w:rsidRPr="002203A9">
        <w:rPr>
          <w:rFonts w:ascii="Century Gothic" w:hAnsi="Century Gothic"/>
          <w:szCs w:val="20"/>
        </w:rPr>
        <w:t>Report</w:t>
      </w:r>
      <w:r w:rsidR="00641CA4" w:rsidRPr="002203A9">
        <w:rPr>
          <w:rFonts w:ascii="Century Gothic" w:hAnsi="Century Gothic"/>
          <w:szCs w:val="20"/>
        </w:rPr>
        <w:t xml:space="preserve"> (refer Attachment 2)</w:t>
      </w:r>
      <w:r w:rsidRPr="002203A9">
        <w:rPr>
          <w:rFonts w:ascii="Century Gothic" w:hAnsi="Century Gothic"/>
          <w:szCs w:val="20"/>
        </w:rPr>
        <w:t>.</w:t>
      </w:r>
    </w:p>
    <w:p w14:paraId="69CCBBC1" w14:textId="77777777" w:rsidR="008526FE" w:rsidRPr="00A74957" w:rsidRDefault="008526FE" w:rsidP="008526FE">
      <w:pPr>
        <w:pStyle w:val="BodyTextNumbering"/>
        <w:keepNext/>
        <w:spacing w:after="120"/>
        <w:rPr>
          <w:rFonts w:ascii="Century Gothic" w:hAnsi="Century Gothic"/>
          <w:b/>
          <w:i/>
          <w:szCs w:val="20"/>
        </w:rPr>
      </w:pPr>
      <w:r w:rsidRPr="00A74957">
        <w:rPr>
          <w:rFonts w:ascii="Century Gothic" w:hAnsi="Century Gothic"/>
          <w:b/>
          <w:i/>
          <w:szCs w:val="20"/>
        </w:rPr>
        <w:t>Promoting participatory and collaborative approaches</w:t>
      </w:r>
    </w:p>
    <w:p w14:paraId="69CCBBC2" w14:textId="77777777" w:rsidR="008526FE" w:rsidRPr="00A74957" w:rsidRDefault="008526FE" w:rsidP="008526FE">
      <w:pPr>
        <w:pStyle w:val="BodyTextNumbering"/>
        <w:spacing w:before="0" w:after="120"/>
        <w:rPr>
          <w:rFonts w:ascii="Century Gothic" w:hAnsi="Century Gothic"/>
          <w:szCs w:val="20"/>
        </w:rPr>
      </w:pPr>
      <w:r w:rsidRPr="00A74957">
        <w:rPr>
          <w:rFonts w:ascii="Century Gothic" w:hAnsi="Century Gothic"/>
          <w:szCs w:val="20"/>
        </w:rPr>
        <w:t>Participatory approaches based on international best practice should be adopted to facilitate effective stakeholder input and consultation throughout the assessment and management process. This is of particular importance where decisions affect community and economic benefits derived from the Great Barrier Reef.</w:t>
      </w:r>
    </w:p>
    <w:p w14:paraId="69CCBBC3" w14:textId="77777777" w:rsidR="008526FE" w:rsidRPr="00A74957" w:rsidRDefault="008526FE" w:rsidP="008526FE">
      <w:pPr>
        <w:pStyle w:val="BodyTextNumbering"/>
        <w:keepNext/>
        <w:spacing w:after="120"/>
        <w:rPr>
          <w:rFonts w:ascii="Century Gothic" w:hAnsi="Century Gothic"/>
          <w:b/>
          <w:i/>
          <w:szCs w:val="20"/>
        </w:rPr>
      </w:pPr>
      <w:r w:rsidRPr="00A74957">
        <w:rPr>
          <w:rFonts w:ascii="Century Gothic" w:hAnsi="Century Gothic"/>
          <w:b/>
          <w:i/>
          <w:szCs w:val="20"/>
        </w:rPr>
        <w:t>Adopting a systematic and consistent approach to cumulative impact assessment terminology and methods</w:t>
      </w:r>
    </w:p>
    <w:p w14:paraId="69CCBBC4" w14:textId="77777777" w:rsidR="008526FE" w:rsidRPr="00A74957" w:rsidRDefault="008526FE" w:rsidP="008526FE">
      <w:pPr>
        <w:pStyle w:val="BodyTextNumbering"/>
        <w:spacing w:before="0" w:after="120"/>
        <w:rPr>
          <w:rFonts w:ascii="Century Gothic" w:hAnsi="Century Gothic"/>
          <w:szCs w:val="20"/>
        </w:rPr>
      </w:pPr>
      <w:r w:rsidRPr="00A74957">
        <w:rPr>
          <w:rFonts w:ascii="Century Gothic" w:hAnsi="Century Gothic"/>
          <w:szCs w:val="20"/>
        </w:rPr>
        <w:t xml:space="preserve">Terms used in the Great Barrier Reef Region Strategic Assessment Report and 2014 Outlook Report should be adopted to facilitate a consistent approach to assessing, monitoring and reporting on cumulative impacts at regional and Great Barrier Reef–wide scales. </w:t>
      </w:r>
    </w:p>
    <w:p w14:paraId="69CCBBC5" w14:textId="3B885366" w:rsidR="008526FE" w:rsidRPr="00A74957" w:rsidRDefault="008526FE" w:rsidP="008526FE">
      <w:pPr>
        <w:pStyle w:val="BodyTextNumbering"/>
        <w:spacing w:before="0" w:after="120"/>
        <w:rPr>
          <w:rFonts w:ascii="Century Gothic" w:hAnsi="Century Gothic"/>
          <w:szCs w:val="20"/>
        </w:rPr>
      </w:pPr>
      <w:r w:rsidRPr="00A74957">
        <w:rPr>
          <w:rFonts w:ascii="Century Gothic" w:hAnsi="Century Gothic"/>
          <w:szCs w:val="20"/>
        </w:rPr>
        <w:t xml:space="preserve">Methods used to assess cumulative impacts should build on approaches used in the Great Barrier Reef Region Strategic Assessment Report. Methods should be updated as new science and information becomes available, including standards and protocols being established as part of the Reef 2050 Integrated Monitoring and Reporting Program. </w:t>
      </w:r>
    </w:p>
    <w:p w14:paraId="69CCBBC6" w14:textId="77777777" w:rsidR="008526FE" w:rsidRPr="00A74957" w:rsidRDefault="008526FE" w:rsidP="00400F48">
      <w:pPr>
        <w:pStyle w:val="BodyTextNumbering"/>
        <w:keepNext/>
        <w:spacing w:after="120"/>
        <w:rPr>
          <w:rFonts w:ascii="Century Gothic" w:hAnsi="Century Gothic"/>
          <w:b/>
          <w:i/>
          <w:szCs w:val="20"/>
        </w:rPr>
      </w:pPr>
      <w:r w:rsidRPr="00A74957">
        <w:rPr>
          <w:rFonts w:ascii="Century Gothic" w:hAnsi="Century Gothic"/>
          <w:b/>
          <w:i/>
          <w:szCs w:val="20"/>
        </w:rPr>
        <w:t xml:space="preserve">Understanding issues of scale, and cause and effect </w:t>
      </w:r>
    </w:p>
    <w:p w14:paraId="69CCBBC7" w14:textId="77777777" w:rsidR="008526FE" w:rsidRPr="00A74957" w:rsidRDefault="008526FE" w:rsidP="006163CC">
      <w:pPr>
        <w:pStyle w:val="BodyTextNumbering"/>
        <w:spacing w:before="0" w:after="120"/>
        <w:rPr>
          <w:rFonts w:ascii="Century Gothic" w:hAnsi="Century Gothic"/>
          <w:color w:val="auto"/>
          <w:szCs w:val="20"/>
        </w:rPr>
      </w:pPr>
      <w:r w:rsidRPr="00A74957">
        <w:rPr>
          <w:rFonts w:ascii="Century Gothic" w:hAnsi="Century Gothic"/>
          <w:color w:val="auto"/>
          <w:szCs w:val="20"/>
        </w:rPr>
        <w:t xml:space="preserve">Assessment of cumulative impacts should specify: </w:t>
      </w:r>
    </w:p>
    <w:p w14:paraId="69CCBBC8" w14:textId="0C3DD490" w:rsidR="008526FE" w:rsidRPr="001C5577" w:rsidRDefault="008526FE" w:rsidP="006163CC">
      <w:pPr>
        <w:pStyle w:val="BodyTextNumbering"/>
        <w:numPr>
          <w:ilvl w:val="1"/>
          <w:numId w:val="6"/>
        </w:numPr>
        <w:tabs>
          <w:tab w:val="left" w:pos="426"/>
          <w:tab w:val="left" w:pos="709"/>
        </w:tabs>
        <w:spacing w:before="0" w:after="120"/>
        <w:rPr>
          <w:rFonts w:ascii="Century Gothic" w:eastAsia="Cambria" w:hAnsi="Century Gothic"/>
          <w:color w:val="auto"/>
          <w:szCs w:val="20"/>
          <w:lang w:eastAsia="en-US"/>
        </w:rPr>
      </w:pPr>
      <w:r w:rsidRPr="001C5577">
        <w:rPr>
          <w:rFonts w:ascii="Century Gothic" w:eastAsia="Cambria" w:hAnsi="Century Gothic"/>
          <w:color w:val="auto"/>
          <w:szCs w:val="20"/>
          <w:lang w:eastAsia="en-US"/>
        </w:rPr>
        <w:t>the space and time scales at which drivers, pressures and impacts – including direct, indire</w:t>
      </w:r>
      <w:r w:rsidR="00A74957" w:rsidRPr="001C5577">
        <w:rPr>
          <w:rFonts w:ascii="Century Gothic" w:eastAsia="Cambria" w:hAnsi="Century Gothic"/>
          <w:color w:val="auto"/>
          <w:szCs w:val="20"/>
          <w:lang w:eastAsia="en-US"/>
        </w:rPr>
        <w:t xml:space="preserve">ct and </w:t>
      </w:r>
      <w:r w:rsidRPr="001C5577">
        <w:rPr>
          <w:rFonts w:ascii="Century Gothic" w:eastAsia="Cambria" w:hAnsi="Century Gothic"/>
          <w:color w:val="auto"/>
          <w:szCs w:val="20"/>
          <w:lang w:eastAsia="en-US"/>
        </w:rPr>
        <w:t>consequential impacts – are operating (zone of influence – Figure 3) and the interactions or ‘overlaps’ between impacts (see Figure 4)</w:t>
      </w:r>
    </w:p>
    <w:p w14:paraId="69CCBBC9" w14:textId="080C552A" w:rsidR="00F40C12" w:rsidRDefault="0095278E" w:rsidP="006163CC">
      <w:pPr>
        <w:numPr>
          <w:ilvl w:val="1"/>
          <w:numId w:val="6"/>
        </w:numPr>
        <w:tabs>
          <w:tab w:val="left" w:pos="426"/>
          <w:tab w:val="left" w:pos="709"/>
        </w:tabs>
        <w:spacing w:line="180" w:lineRule="auto"/>
        <w:rPr>
          <w:rFonts w:ascii="Century Gothic" w:hAnsi="Century Gothic"/>
        </w:rPr>
      </w:pPr>
      <w:r>
        <w:rPr>
          <w:noProof/>
          <w:sz w:val="20"/>
          <w:szCs w:val="20"/>
        </w:rPr>
        <w:pict w14:anchorId="69CCC3E6">
          <v:shapetype id="_x0000_t202" coordsize="21600,21600" o:spt="202" path="m,l,21600r21600,l21600,xe">
            <v:stroke joinstyle="miter"/>
            <v:path gradientshapeok="t" o:connecttype="rect"/>
          </v:shapetype>
          <v:shape id="Text Box 2" o:spid="_x0000_s1028" type="#_x0000_t202" style="position:absolute;left:0;text-align:left;margin-left:226.65pt;margin-top:197.3pt;width:297.35pt;height:41.25pt;z-index:-251658238;visibility:visible;mso-width-relative:margin;mso-height-relative:margin" wrapcoords="-55 0 -55 21207 21600 21207 21600 0 -55 0" stroked="f">
            <v:textbox style="mso-next-textbox:#Text Box 2">
              <w:txbxContent>
                <w:p w14:paraId="69CCC418" w14:textId="77777777" w:rsidR="004B4957" w:rsidRPr="0066478D" w:rsidRDefault="004B4957" w:rsidP="0066478D">
                  <w:pPr>
                    <w:spacing w:after="120" w:line="240" w:lineRule="auto"/>
                    <w:ind w:right="-167"/>
                    <w:rPr>
                      <w:rFonts w:ascii="Century Gothic" w:eastAsia="Times New Roman" w:hAnsi="Century Gothic"/>
                      <w:sz w:val="16"/>
                      <w:szCs w:val="16"/>
                      <w:lang w:eastAsia="en-AU"/>
                    </w:rPr>
                  </w:pPr>
                  <w:r w:rsidRPr="0066478D">
                    <w:rPr>
                      <w:rFonts w:ascii="Century Gothic" w:eastAsia="Times New Roman" w:hAnsi="Century Gothic"/>
                      <w:b/>
                      <w:sz w:val="16"/>
                      <w:szCs w:val="16"/>
                      <w:lang w:eastAsia="en-AU"/>
                    </w:rPr>
                    <w:t>Figure 3:</w:t>
                  </w:r>
                  <w:r w:rsidRPr="0066478D">
                    <w:rPr>
                      <w:rFonts w:ascii="Century Gothic" w:eastAsia="Times New Roman" w:hAnsi="Century Gothic"/>
                      <w:sz w:val="16"/>
                      <w:szCs w:val="16"/>
                      <w:lang w:eastAsia="en-AU"/>
                    </w:rPr>
                    <w:t xml:space="preserve"> The zone of influence is the area in which an activity or pressure could directly or indirectly impact part of the environment. Source: Anthony et al. (2013) </w:t>
                  </w:r>
                </w:p>
                <w:p w14:paraId="69CCC419" w14:textId="77777777" w:rsidR="004B4957" w:rsidRDefault="004B4957"/>
              </w:txbxContent>
            </v:textbox>
            <w10:wrap type="tight"/>
          </v:shape>
        </w:pict>
      </w:r>
      <w:r>
        <w:rPr>
          <w:noProof/>
          <w:sz w:val="20"/>
          <w:szCs w:val="20"/>
        </w:rPr>
        <w:pict w14:anchorId="69CCC3E7">
          <v:shape id="_x0000_s1027" type="#_x0000_t75" alt="Figure 3 is a three dimensional, flat diamond shaped square – the top left edge represent the broader catchment, and the top right edge represents urban / and industrial coastal development, with both of these ‘discharging’ water and contaminants into the marine environment, which is the main body of the square.  Discharge of poor water quality from the catchment edge is represented by one small and one larger semi-circle in the marine zone, overlapping with another small and large semi-circle from the urban/industrial edge.  Using just the catchment and urban/industrial point sources, the semi-circles and areas of overlap represent a simple demonstration of different levels of cumulative impact that may occur within a marine environment e.g. where the smaller circles overlap represents a high impact environment from cumulative effects, with risk dropping if there is no overlap, the impact is in the larger semi-circle or is outside the effected area." style="position:absolute;left:0;text-align:left;margin-left:232.25pt;margin-top:17.2pt;width:291.75pt;height:184.5pt;z-index:-251658239" wrapcoords="-56 0 -56 21512 21600 21512 21600 0 -56 0">
            <v:imagedata r:id="rId25" o:title="Zone-of-influence_Cropped"/>
            <w10:wrap type="tight"/>
          </v:shape>
        </w:pict>
      </w:r>
      <w:r w:rsidR="008526FE" w:rsidRPr="00A74957">
        <w:rPr>
          <w:rFonts w:ascii="Century Gothic" w:hAnsi="Century Gothic"/>
          <w:sz w:val="20"/>
          <w:szCs w:val="20"/>
        </w:rPr>
        <w:t>the space and time scales of affected values, and the relationships between values</w:t>
      </w:r>
      <w:r w:rsidR="005767C5">
        <w:rPr>
          <w:rFonts w:ascii="Century Gothic" w:hAnsi="Century Gothic"/>
        </w:rPr>
        <w:t>.</w:t>
      </w:r>
    </w:p>
    <w:p w14:paraId="69CCBBCA" w14:textId="493A8EFD" w:rsidR="0066478D" w:rsidRPr="0066478D" w:rsidRDefault="0066478D" w:rsidP="0066478D">
      <w:pPr>
        <w:pStyle w:val="BodyTextNumbering"/>
        <w:spacing w:before="0" w:after="120"/>
        <w:rPr>
          <w:rFonts w:ascii="Century Gothic" w:hAnsi="Century Gothic"/>
          <w:sz w:val="22"/>
          <w:szCs w:val="22"/>
        </w:rPr>
      </w:pPr>
      <w:r w:rsidRPr="00A74957">
        <w:rPr>
          <w:rFonts w:ascii="Century Gothic" w:hAnsi="Century Gothic"/>
          <w:color w:val="auto"/>
          <w:szCs w:val="20"/>
        </w:rPr>
        <w:t xml:space="preserve">Assessment of cumulative impacts </w:t>
      </w:r>
      <w:r w:rsidRPr="00A74957">
        <w:rPr>
          <w:rFonts w:ascii="Century Gothic" w:hAnsi="Century Gothic"/>
          <w:szCs w:val="20"/>
        </w:rPr>
        <w:t>should establish cause and effect relationships between drivers, pressures and impacts and their effects on values to guide management interventions. Project-based, regional or strategic assessment of cumulative impacts may be required to manage the drivers and activities leading to pressures and consequent</w:t>
      </w:r>
      <w:r w:rsidR="00935E0F">
        <w:rPr>
          <w:rFonts w:ascii="Century Gothic" w:hAnsi="Century Gothic"/>
          <w:szCs w:val="20"/>
        </w:rPr>
        <w:t xml:space="preserve">ial </w:t>
      </w:r>
      <w:r w:rsidRPr="00A74957">
        <w:rPr>
          <w:rFonts w:ascii="Century Gothic" w:hAnsi="Century Gothic"/>
          <w:szCs w:val="20"/>
        </w:rPr>
        <w:t xml:space="preserve"> impacts within the zone of influence. Consideration also needs to be given to consequential impacts outside the example downstream consequences of altered connectivity</w:t>
      </w:r>
      <w:r w:rsidRPr="0066478D">
        <w:rPr>
          <w:rFonts w:ascii="Century Gothic" w:hAnsi="Century Gothic"/>
          <w:sz w:val="22"/>
          <w:szCs w:val="22"/>
        </w:rPr>
        <w:t>.</w:t>
      </w:r>
    </w:p>
    <w:p w14:paraId="69CCBBCC" w14:textId="77777777" w:rsidR="00F40C12" w:rsidRPr="008526FE" w:rsidRDefault="00F40C12" w:rsidP="008526FE">
      <w:pPr>
        <w:rPr>
          <w:rFonts w:ascii="Century Gothic" w:hAnsi="Century Gothic"/>
        </w:rPr>
      </w:pPr>
    </w:p>
    <w:p w14:paraId="69CCBBCE" w14:textId="21C13FAC" w:rsidR="003450EB" w:rsidRDefault="0095278E" w:rsidP="003C4E97">
      <w:pPr>
        <w:pStyle w:val="BodyTextNumbering"/>
        <w:keepNext/>
        <w:spacing w:after="120"/>
        <w:rPr>
          <w:rFonts w:ascii="Century Gothic" w:hAnsi="Century Gothic"/>
          <w:b/>
          <w:i/>
          <w:szCs w:val="20"/>
        </w:rPr>
      </w:pPr>
      <w:r>
        <w:rPr>
          <w:noProof/>
        </w:rPr>
        <w:pict w14:anchorId="69CCC3E8">
          <v:shape id="Text Box 1" o:spid="_x0000_s1076" type="#_x0000_t202" style="position:absolute;margin-left:21.15pt;margin-top:680.8pt;width:482.4pt;height:49.05pt;z-index:2516582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" stroked="f">
            <v:textbox style="mso-next-textbox:#Text Box 1;mso-fit-shape-to-text:t" inset="0,0,0,0">
              <w:txbxContent>
                <w:p w14:paraId="69CCC41A" w14:textId="77777777" w:rsidR="004B4957" w:rsidRPr="00976184" w:rsidRDefault="004B4957" w:rsidP="003450EB">
                  <w:pPr>
                    <w:pStyle w:val="Caption"/>
                    <w:rPr>
                      <w:rFonts w:ascii="Century Gothic" w:hAnsi="Century Gothic"/>
                      <w:noProof/>
                      <w:color w:val="auto"/>
                      <w:sz w:val="16"/>
                      <w:szCs w:val="16"/>
                    </w:rPr>
                  </w:pPr>
                  <w:r w:rsidRPr="00976184">
                    <w:rPr>
                      <w:rFonts w:ascii="Century Gothic" w:hAnsi="Century Gothic"/>
                      <w:color w:val="auto"/>
                      <w:sz w:val="16"/>
                      <w:szCs w:val="16"/>
                    </w:rPr>
                    <w:t xml:space="preserve">Figure 4: </w:t>
                  </w:r>
                  <w:r w:rsidRPr="00976184">
                    <w:rPr>
                      <w:rFonts w:ascii="Century Gothic" w:hAnsi="Century Gothic"/>
                      <w:b w:val="0"/>
                      <w:color w:val="auto"/>
                      <w:sz w:val="16"/>
                      <w:szCs w:val="16"/>
                    </w:rPr>
                    <w:t xml:space="preserve">Different types of cumulative pressures on marine ecosystems.  Adapted from page 10 of Uthicke, S., Fabricius, K., De’ath, G., Negri, A., Warne, M., Smith, R., Noonan, S., Johansson, C., Gorsuch, H. and Anthony, K. (2016). </w:t>
                  </w:r>
                  <w:r w:rsidRPr="00976184">
                    <w:rPr>
                      <w:rFonts w:ascii="Century Gothic" w:hAnsi="Century Gothic"/>
                      <w:b w:val="0"/>
                      <w:i/>
                      <w:color w:val="auto"/>
                      <w:sz w:val="16"/>
                      <w:szCs w:val="16"/>
                    </w:rPr>
                    <w:t>Multiple and cumulative impacts on the GBR: assessment of current status and development of improved approaches for management: Final Report Project 1.6</w:t>
                  </w:r>
                  <w:r w:rsidRPr="00976184">
                    <w:rPr>
                      <w:rFonts w:ascii="Century Gothic" w:hAnsi="Century Gothic"/>
                      <w:b w:val="0"/>
                      <w:color w:val="auto"/>
                      <w:sz w:val="16"/>
                      <w:szCs w:val="16"/>
                    </w:rPr>
                    <w:t>. Report to the National Environmental Science Programme. Reef and Rainforest Research Centre Limited, Cairns (144pp.).</w:t>
                  </w:r>
                </w:p>
              </w:txbxContent>
            </v:textbox>
          </v:shape>
        </w:pict>
      </w:r>
      <w:bookmarkStart w:id="8" w:name="_MON_1554811762"/>
      <w:bookmarkEnd w:id="8"/>
      <w:r w:rsidR="003A15A0">
        <w:rPr>
          <w:rFonts w:ascii="Century Gothic" w:hAnsi="Century Gothic"/>
          <w:b/>
          <w:i/>
          <w:szCs w:val="20"/>
        </w:rPr>
        <w:object w:dxaOrig="10102" w:dyaOrig="13562" w14:anchorId="69CCC3E9">
          <v:shape id="_x0000_i1030" type="#_x0000_t75" alt="Figure 4 describes two main types of pressure or impact: impacts or pressures from the same impact / pressure (e.g. seasonal catchment runoff), and multiple pressures / impacts with complex interactions (e.g. successive impacts from crown-of-thorns starfish, cyclones then bleaching).  The same pressure or impact may be repeated, may happen simultaneously (e.g. dredging in several areas at once), are chronic (e.g. catchment nutrient discharge) or may happen in combination or cumulative (e.g. continued urban development in-line with population growth).  Multiple different pressures may occur as chronic and acute (e.g. nutrient runoff and seas surface temperature), multiple chronic impacts (e.g. overfishing and nutrient runoff), acute with chronic accumulating (i.e. ramping; e.g. ocean acidification and flood plumes)." style="width:7in;height:678pt" o:ole="">
            <v:imagedata r:id="rId26" o:title=""/>
          </v:shape>
          <o:OLEObject Type="Embed" ProgID="Word.Document.12" ShapeID="_x0000_i1030" DrawAspect="Content" ObjectID="_1559641321" r:id="rId27">
            <o:FieldCodes>\s</o:FieldCodes>
          </o:OLEObject>
        </w:object>
      </w:r>
    </w:p>
    <w:p w14:paraId="69CCBBCF" w14:textId="77777777" w:rsidR="003450EB" w:rsidRDefault="003450EB" w:rsidP="003C4E97">
      <w:pPr>
        <w:pStyle w:val="BodyTextNumbering"/>
        <w:keepNext/>
        <w:spacing w:after="120"/>
      </w:pPr>
    </w:p>
    <w:p w14:paraId="69CCBBD0" w14:textId="77777777" w:rsidR="003450EB" w:rsidRDefault="003450EB" w:rsidP="003C4E97">
      <w:pPr>
        <w:pStyle w:val="BodyTextNumbering"/>
        <w:keepNext/>
        <w:spacing w:after="120"/>
      </w:pPr>
    </w:p>
    <w:p w14:paraId="69CCBBD1" w14:textId="77777777" w:rsidR="003C4E97" w:rsidRPr="003C4E97" w:rsidRDefault="003450EB" w:rsidP="003C4E97">
      <w:pPr>
        <w:pStyle w:val="BodyTextNumbering"/>
        <w:keepNext/>
        <w:spacing w:after="120"/>
        <w:rPr>
          <w:rFonts w:ascii="Century Gothic" w:hAnsi="Century Gothic"/>
          <w:b/>
          <w:i/>
          <w:szCs w:val="20"/>
        </w:rPr>
      </w:pPr>
      <w:r w:rsidRPr="003450EB">
        <w:br w:type="page"/>
      </w:r>
      <w:r w:rsidR="003C4E97" w:rsidRPr="003C4E97">
        <w:rPr>
          <w:rFonts w:ascii="Century Gothic" w:hAnsi="Century Gothic"/>
          <w:b/>
          <w:i/>
          <w:szCs w:val="20"/>
        </w:rPr>
        <w:t>Using integrated approaches and a range of management mechanisms</w:t>
      </w:r>
    </w:p>
    <w:p w14:paraId="69CCBBD2" w14:textId="6CBB6660" w:rsidR="003C4E97" w:rsidRPr="002203A9" w:rsidRDefault="003C4E97" w:rsidP="003C4E97">
      <w:pPr>
        <w:pStyle w:val="BodyTextNumbering"/>
        <w:spacing w:before="0" w:after="120"/>
        <w:rPr>
          <w:rFonts w:ascii="Century Gothic" w:hAnsi="Century Gothic"/>
          <w:szCs w:val="20"/>
        </w:rPr>
      </w:pPr>
      <w:r w:rsidRPr="003C4E97">
        <w:rPr>
          <w:rFonts w:ascii="Century Gothic" w:hAnsi="Century Gothic"/>
          <w:szCs w:val="20"/>
        </w:rPr>
        <w:t xml:space="preserve">Considering cumulative impacts should be done at all </w:t>
      </w:r>
      <w:r w:rsidRPr="002203A9">
        <w:rPr>
          <w:rFonts w:ascii="Century Gothic" w:hAnsi="Century Gothic"/>
          <w:szCs w:val="20"/>
        </w:rPr>
        <w:t xml:space="preserve">scales of </w:t>
      </w:r>
      <w:r w:rsidR="002203A9" w:rsidRPr="002203A9">
        <w:rPr>
          <w:rFonts w:ascii="Century Gothic" w:hAnsi="Century Gothic"/>
          <w:szCs w:val="20"/>
        </w:rPr>
        <w:t>decision making</w:t>
      </w:r>
      <w:r w:rsidRPr="002203A9">
        <w:rPr>
          <w:rFonts w:ascii="Century Gothic" w:hAnsi="Century Gothic"/>
          <w:szCs w:val="20"/>
        </w:rPr>
        <w:t xml:space="preserve"> and applied proportionately to the nature and scale and risk of likely impacts.</w:t>
      </w:r>
    </w:p>
    <w:p w14:paraId="69CCBBD3" w14:textId="77777777" w:rsidR="003C4E97" w:rsidRPr="002203A9" w:rsidRDefault="003C4E97" w:rsidP="003C4E97">
      <w:pPr>
        <w:pStyle w:val="BodyTextNumbering"/>
        <w:spacing w:before="0" w:after="120"/>
        <w:rPr>
          <w:rFonts w:ascii="Century Gothic" w:hAnsi="Century Gothic"/>
          <w:szCs w:val="20"/>
        </w:rPr>
      </w:pPr>
      <w:r w:rsidRPr="002203A9">
        <w:rPr>
          <w:rFonts w:ascii="Century Gothic" w:hAnsi="Century Gothic"/>
          <w:szCs w:val="20"/>
        </w:rPr>
        <w:t xml:space="preserve">Managing cumulative impacts should take into consideration how decisions about planning, assessment and on-ground actions within the Great Barrier Reef, along the coast, in coastal catchments and globally will impact Great Barrier Reef values. </w:t>
      </w:r>
    </w:p>
    <w:p w14:paraId="69CCBBD4" w14:textId="0295A12C" w:rsidR="003C4E97" w:rsidRPr="002203A9" w:rsidRDefault="003C4E97" w:rsidP="003C4E97">
      <w:pPr>
        <w:pStyle w:val="BodyTextNumbering"/>
        <w:spacing w:before="0" w:after="120"/>
        <w:rPr>
          <w:rFonts w:ascii="Century Gothic" w:hAnsi="Century Gothic"/>
          <w:szCs w:val="20"/>
        </w:rPr>
      </w:pPr>
      <w:r w:rsidRPr="002203A9">
        <w:rPr>
          <w:rFonts w:ascii="Century Gothic" w:hAnsi="Century Gothic"/>
          <w:szCs w:val="20"/>
        </w:rPr>
        <w:t>The Driver</w:t>
      </w:r>
      <w:r w:rsidR="009046DA">
        <w:rPr>
          <w:rFonts w:ascii="Century Gothic" w:hAnsi="Century Gothic"/>
          <w:szCs w:val="20"/>
        </w:rPr>
        <w:t>s</w:t>
      </w:r>
      <w:r w:rsidRPr="002203A9">
        <w:rPr>
          <w:rFonts w:ascii="Century Gothic" w:hAnsi="Century Gothic"/>
          <w:szCs w:val="20"/>
        </w:rPr>
        <w:t xml:space="preserve"> Pressures State Impact</w:t>
      </w:r>
      <w:r w:rsidR="009046DA">
        <w:rPr>
          <w:rFonts w:ascii="Century Gothic" w:hAnsi="Century Gothic"/>
          <w:szCs w:val="20"/>
        </w:rPr>
        <w:t>s</w:t>
      </w:r>
      <w:r w:rsidRPr="002203A9">
        <w:rPr>
          <w:rFonts w:ascii="Century Gothic" w:hAnsi="Century Gothic"/>
          <w:szCs w:val="20"/>
        </w:rPr>
        <w:t xml:space="preserve"> Response framework (Figure 2) should be used to identify the broadest range of opportunities to reduce cumulative impacts. Management interventions to reduce risks from drivers, pressures and impacts should be explicitly mapped to this framework. </w:t>
      </w:r>
    </w:p>
    <w:p w14:paraId="69CCBBD5" w14:textId="77777777" w:rsidR="003C4E97" w:rsidRPr="002203A9" w:rsidRDefault="003C4E97" w:rsidP="003C4E97">
      <w:pPr>
        <w:pStyle w:val="BodyTextNumbering"/>
        <w:spacing w:before="0" w:after="120"/>
        <w:rPr>
          <w:rFonts w:ascii="Century Gothic" w:hAnsi="Century Gothic"/>
          <w:szCs w:val="20"/>
        </w:rPr>
      </w:pPr>
      <w:r w:rsidRPr="002203A9">
        <w:rPr>
          <w:rFonts w:ascii="Century Gothic" w:hAnsi="Century Gothic"/>
          <w:szCs w:val="20"/>
        </w:rPr>
        <w:t>Management should be guided by risk assessment processes using scenarios (e.g. climate and global economy) and alternative strategies for intervention and planning. Those strategies should be integrated with strategic, regional and local management mechanisms.</w:t>
      </w:r>
    </w:p>
    <w:p w14:paraId="69CCBBD6" w14:textId="77777777" w:rsidR="00FC05EC" w:rsidRPr="002203A9" w:rsidRDefault="003C4E97" w:rsidP="003C4E97">
      <w:pPr>
        <w:pStyle w:val="BodyTextNumbering"/>
        <w:spacing w:before="0" w:after="120"/>
        <w:rPr>
          <w:rFonts w:ascii="Century Gothic" w:hAnsi="Century Gothic"/>
          <w:szCs w:val="20"/>
        </w:rPr>
      </w:pPr>
      <w:r w:rsidRPr="002203A9">
        <w:rPr>
          <w:rFonts w:ascii="Century Gothic" w:hAnsi="Century Gothic"/>
          <w:szCs w:val="20"/>
        </w:rPr>
        <w:t>A systems perspective should be adopted when developing plans at a regional or catchment scale to test existing and preferred land and sea use scenarios, and reflect constraints and opportunities associated with cumulative impacts.</w:t>
      </w:r>
    </w:p>
    <w:tbl>
      <w:tblPr>
        <w:tblW w:w="9747" w:type="dxa"/>
        <w:tblInd w:w="675" w:type="dxa"/>
        <w:shd w:val="clear" w:color="auto" w:fill="A7EAFF"/>
        <w:tblLook w:val="04A0" w:firstRow="1" w:lastRow="0" w:firstColumn="1" w:lastColumn="0" w:noHBand="0" w:noVBand="1"/>
      </w:tblPr>
      <w:tblGrid>
        <w:gridCol w:w="9747"/>
      </w:tblGrid>
      <w:tr w:rsidR="003C4E97" w:rsidRPr="002203A9" w14:paraId="69CCBBD8" w14:textId="77777777" w:rsidTr="005C3CDA">
        <w:tc>
          <w:tcPr>
            <w:tcW w:w="9747" w:type="dxa"/>
            <w:shd w:val="clear" w:color="auto" w:fill="ACF2F0"/>
          </w:tcPr>
          <w:p w14:paraId="69CCBBD7" w14:textId="77777777" w:rsidR="003C4E97" w:rsidRPr="002203A9" w:rsidRDefault="003C4E97" w:rsidP="003C4E97">
            <w:pPr>
              <w:spacing w:before="120" w:after="120"/>
              <w:rPr>
                <w:rFonts w:ascii="Century Gothic" w:hAnsi="Century Gothic"/>
                <w:sz w:val="20"/>
                <w:szCs w:val="20"/>
              </w:rPr>
            </w:pPr>
            <w:r w:rsidRPr="002203A9">
              <w:rPr>
                <w:rFonts w:ascii="Century Gothic" w:hAnsi="Century Gothic"/>
                <w:sz w:val="20"/>
                <w:szCs w:val="20"/>
              </w:rPr>
              <w:t>For example – under the Queensland Government’s planning framework – when local governments develop planning schemes, they may be encouraged to consider the preferred land uses for an area in the context of their potential cumulative impacts when taken as a whole. Should any development applications propose to vary from the preferred land uses set out in the planning scheme, the decision makers will be able to take an informed view on how this would contribute to cumulative impacts.</w:t>
            </w:r>
          </w:p>
        </w:tc>
      </w:tr>
    </w:tbl>
    <w:p w14:paraId="69CCBBD9" w14:textId="55DB7865" w:rsidR="003C4E97" w:rsidRPr="002203A9" w:rsidRDefault="003C4E97" w:rsidP="003C4E97">
      <w:pPr>
        <w:pStyle w:val="BodyTextNumbering"/>
        <w:spacing w:after="120"/>
        <w:rPr>
          <w:rFonts w:ascii="Century Gothic" w:hAnsi="Century Gothic"/>
          <w:szCs w:val="20"/>
        </w:rPr>
      </w:pPr>
      <w:r w:rsidRPr="002203A9">
        <w:rPr>
          <w:rFonts w:ascii="Century Gothic" w:hAnsi="Century Gothic"/>
          <w:szCs w:val="20"/>
        </w:rPr>
        <w:t xml:space="preserve">Project-based cumulative assessments should align with strategic and regional assessments and plans. Where an action is likely to have a significant impact on Great Barrier Reef values, environmental impact assessment processes should evaluate project-specific impact contributions on values in the context of cumulative impacts from other sources to determine their acceptability.  </w:t>
      </w:r>
    </w:p>
    <w:p w14:paraId="69CCBBDA" w14:textId="77777777" w:rsidR="003C4E97" w:rsidRPr="002203A9" w:rsidRDefault="003C4E97" w:rsidP="003C4E97">
      <w:pPr>
        <w:pStyle w:val="BodyTextNumbering"/>
        <w:spacing w:after="120"/>
        <w:rPr>
          <w:rFonts w:ascii="Century Gothic" w:hAnsi="Century Gothic"/>
          <w:szCs w:val="20"/>
        </w:rPr>
      </w:pPr>
      <w:r w:rsidRPr="002203A9">
        <w:rPr>
          <w:rFonts w:ascii="Century Gothic" w:hAnsi="Century Gothic"/>
          <w:szCs w:val="20"/>
        </w:rPr>
        <w:t>Transparent analyses of risks and consequences (including estimates of costs and net benefit) under alternative scenarios and options can help identify the most sustainable and effective options for managing cumulative impacts.</w:t>
      </w:r>
    </w:p>
    <w:p w14:paraId="69CCBBDB" w14:textId="77777777" w:rsidR="001C5577" w:rsidRPr="002203A9" w:rsidRDefault="001C5577" w:rsidP="001C5577">
      <w:pPr>
        <w:pStyle w:val="BodyTextNumbering"/>
        <w:keepNext/>
        <w:spacing w:after="120"/>
        <w:rPr>
          <w:rFonts w:ascii="Century Gothic" w:hAnsi="Century Gothic"/>
          <w:b/>
          <w:i/>
          <w:szCs w:val="20"/>
        </w:rPr>
      </w:pPr>
      <w:r w:rsidRPr="002203A9">
        <w:rPr>
          <w:rFonts w:ascii="Century Gothic" w:hAnsi="Century Gothic"/>
          <w:b/>
          <w:i/>
          <w:szCs w:val="20"/>
        </w:rPr>
        <w:t>Assessing against desired state, current condition, thresholds and standards</w:t>
      </w:r>
    </w:p>
    <w:p w14:paraId="69CCBBDC" w14:textId="6B79B779" w:rsidR="001C5577" w:rsidRPr="001C5577" w:rsidRDefault="001C5577" w:rsidP="001C5577">
      <w:pPr>
        <w:pStyle w:val="BodyTextNumbering"/>
        <w:spacing w:after="120"/>
        <w:rPr>
          <w:rFonts w:ascii="Century Gothic" w:hAnsi="Century Gothic"/>
          <w:szCs w:val="20"/>
        </w:rPr>
      </w:pPr>
      <w:r w:rsidRPr="002203A9">
        <w:rPr>
          <w:rFonts w:ascii="Century Gothic" w:hAnsi="Century Gothic"/>
          <w:szCs w:val="20"/>
        </w:rPr>
        <w:t xml:space="preserve">Cumulative impact assessments should establish the current condition and trend </w:t>
      </w:r>
      <w:r w:rsidR="001F4CCA" w:rsidRPr="002203A9">
        <w:rPr>
          <w:rFonts w:ascii="Century Gothic" w:hAnsi="Century Gothic"/>
          <w:szCs w:val="20"/>
        </w:rPr>
        <w:t>of affected values</w:t>
      </w:r>
      <w:r w:rsidR="001F4CCA">
        <w:rPr>
          <w:rFonts w:ascii="Century Gothic" w:hAnsi="Century Gothic"/>
          <w:szCs w:val="20"/>
        </w:rPr>
        <w:t xml:space="preserve"> </w:t>
      </w:r>
      <w:r w:rsidRPr="001C5577">
        <w:rPr>
          <w:rFonts w:ascii="Century Gothic" w:hAnsi="Century Gothic"/>
          <w:szCs w:val="20"/>
        </w:rPr>
        <w:t xml:space="preserve">within the zone of influence. This provides the reference point and context for assessing and managing cumulative impacts. </w:t>
      </w:r>
    </w:p>
    <w:p w14:paraId="69CCBBDD" w14:textId="77777777" w:rsidR="001C5577" w:rsidRPr="001C5577" w:rsidRDefault="001C5577" w:rsidP="00540DBB">
      <w:pPr>
        <w:pStyle w:val="BodyTextNumbering"/>
        <w:numPr>
          <w:ilvl w:val="1"/>
          <w:numId w:val="2"/>
        </w:numPr>
        <w:spacing w:before="0" w:after="60"/>
        <w:ind w:left="788" w:hanging="431"/>
        <w:rPr>
          <w:rFonts w:ascii="Century Gothic" w:hAnsi="Century Gothic"/>
          <w:szCs w:val="20"/>
        </w:rPr>
      </w:pPr>
      <w:r w:rsidRPr="001C5577">
        <w:rPr>
          <w:rFonts w:ascii="Century Gothic" w:hAnsi="Century Gothic"/>
          <w:szCs w:val="20"/>
        </w:rPr>
        <w:t xml:space="preserve">The Outlook Report identifies the condition and trend for values that contribute to the outstanding universal value of the Great Barrier Reef and that underpin Reef-related matters of national environmental significance (see Attachment 3). </w:t>
      </w:r>
    </w:p>
    <w:p w14:paraId="69CCBBDE" w14:textId="77777777" w:rsidR="001C5577" w:rsidRPr="001C5577" w:rsidRDefault="001C5577" w:rsidP="00540DBB">
      <w:pPr>
        <w:pStyle w:val="BodyTextNumbering"/>
        <w:numPr>
          <w:ilvl w:val="1"/>
          <w:numId w:val="2"/>
        </w:numPr>
        <w:spacing w:before="0" w:after="60"/>
        <w:ind w:left="788" w:hanging="431"/>
        <w:rPr>
          <w:rFonts w:ascii="Century Gothic" w:hAnsi="Century Gothic"/>
          <w:szCs w:val="20"/>
        </w:rPr>
      </w:pPr>
      <w:r w:rsidRPr="001C5577">
        <w:rPr>
          <w:rFonts w:ascii="Century Gothic" w:hAnsi="Century Gothic"/>
          <w:szCs w:val="20"/>
        </w:rPr>
        <w:t xml:space="preserve">The Great Barrier Reef Strategic Assessment Program Report established the desired state of these values by linking their current condition and trend to international and national obligations for protecting the Great Barrier Reef. </w:t>
      </w:r>
    </w:p>
    <w:p w14:paraId="69CCBBDF" w14:textId="77777777" w:rsidR="001C5577" w:rsidRPr="001C5577" w:rsidRDefault="001C5577" w:rsidP="00540DBB">
      <w:pPr>
        <w:pStyle w:val="BodyTextNumbering"/>
        <w:numPr>
          <w:ilvl w:val="1"/>
          <w:numId w:val="2"/>
        </w:numPr>
        <w:spacing w:before="0" w:after="60"/>
        <w:ind w:left="788" w:hanging="431"/>
        <w:rPr>
          <w:rFonts w:ascii="Century Gothic" w:hAnsi="Century Gothic"/>
          <w:szCs w:val="20"/>
        </w:rPr>
      </w:pPr>
      <w:r w:rsidRPr="001C5577">
        <w:rPr>
          <w:rFonts w:ascii="Century Gothic" w:hAnsi="Century Gothic"/>
          <w:szCs w:val="20"/>
        </w:rPr>
        <w:t xml:space="preserve">The Outlook Report assesses the condition and trend of the Reef’s values every five years. </w:t>
      </w:r>
    </w:p>
    <w:p w14:paraId="69CCBBE0" w14:textId="77777777" w:rsidR="00540DBB" w:rsidRDefault="001C5577" w:rsidP="001C5577">
      <w:pPr>
        <w:pStyle w:val="BodyTextNumbering"/>
        <w:spacing w:after="120"/>
        <w:rPr>
          <w:rFonts w:ascii="Century Gothic" w:hAnsi="Century Gothic"/>
          <w:szCs w:val="20"/>
        </w:rPr>
      </w:pPr>
      <w:r w:rsidRPr="001C5577">
        <w:rPr>
          <w:rFonts w:ascii="Century Gothic" w:hAnsi="Century Gothic"/>
          <w:szCs w:val="20"/>
        </w:rPr>
        <w:t xml:space="preserve">The desired outcomes for Great Barrier Reef values are outlined in Table 1. At a minimum, it should be considered whether cumulative impacts associated with any proposed decision will facilitate or restrict delivery of the desired outcome for specified values. </w:t>
      </w:r>
    </w:p>
    <w:p w14:paraId="65A18618" w14:textId="23DAAEE0" w:rsidR="008546EA" w:rsidRDefault="008546EA" w:rsidP="001C5577">
      <w:pPr>
        <w:pStyle w:val="BodyTextNumbering"/>
        <w:spacing w:after="120"/>
        <w:rPr>
          <w:rFonts w:ascii="Century Gothic" w:hAnsi="Century Gothic"/>
          <w:szCs w:val="20"/>
        </w:rPr>
      </w:pPr>
      <w:r w:rsidRPr="001C5577">
        <w:rPr>
          <w:rFonts w:ascii="Century Gothic" w:hAnsi="Century Gothic"/>
          <w:szCs w:val="20"/>
        </w:rPr>
        <w:t>Relevant standards, guidelines and thresholds for affected values should be considered. Currently there are standards for water quality, ecosystem health and limits of acceptable change for Ramsar wetlands.</w:t>
      </w:r>
    </w:p>
    <w:p w14:paraId="69CCBBE1" w14:textId="1E4255E6" w:rsidR="00CE56B7" w:rsidRDefault="00CE56B7" w:rsidP="00216E05">
      <w:pPr>
        <w:pStyle w:val="BodyTextNumbering"/>
        <w:spacing w:after="120"/>
        <w:sectPr w:rsidR="00CE56B7" w:rsidSect="00A56999">
          <w:pgSz w:w="11900" w:h="16840"/>
          <w:pgMar w:top="851" w:right="845" w:bottom="992" w:left="851" w:header="709" w:footer="709" w:gutter="0"/>
          <w:cols w:space="708"/>
          <w:docGrid w:linePitch="360"/>
        </w:sectPr>
      </w:pPr>
    </w:p>
    <w:p w14:paraId="69CCBBE2" w14:textId="23F2FDD4" w:rsidR="00CE56B7" w:rsidRDefault="0095278E" w:rsidP="00CE56B7">
      <w:pPr>
        <w:pStyle w:val="BodyTextNumbering"/>
      </w:pPr>
      <w:r>
        <w:rPr>
          <w:noProof/>
        </w:rPr>
        <w:pict w14:anchorId="0E1DAFEE">
          <v:shape id="_x0000_s1156" type="#_x0000_t75" alt="Full page picture of a catchment with agriculture and urban environments, surrounding a river discharging brown coloured freshwater into a blue marine environment." style="position:absolute;margin-left:0;margin-top:6.1pt;width:592.85pt;height:839.7pt;z-index:251668516;mso-position-horizontal:absolute;mso-position-horizontal-relative:text;mso-position-vertical:absolute;mso-position-vertical-relative:text;mso-width-relative:page;mso-height-relative:page">
            <v:imagedata r:id="rId28" o:title="Pics Cumulative Flood Plum"/>
            <w10:wrap type="square"/>
          </v:shape>
        </w:pict>
      </w:r>
    </w:p>
    <w:p w14:paraId="69CCBBE3" w14:textId="77777777" w:rsidR="00CE56B7" w:rsidRDefault="00CE56B7" w:rsidP="00FE0510">
      <w:pPr>
        <w:pStyle w:val="Heading2"/>
        <w:keepNext/>
        <w:tabs>
          <w:tab w:val="left" w:pos="9498"/>
        </w:tabs>
        <w:spacing w:before="240" w:after="120"/>
        <w:rPr>
          <w:rFonts w:ascii="Century Gothic" w:hAnsi="Century Gothic"/>
          <w:szCs w:val="20"/>
        </w:rPr>
        <w:sectPr w:rsidR="00CE56B7" w:rsidSect="00CE56B7">
          <w:pgSz w:w="11900" w:h="16840"/>
          <w:pgMar w:top="0" w:right="0" w:bottom="0" w:left="0" w:header="706" w:footer="706" w:gutter="0"/>
          <w:cols w:space="708"/>
          <w:docGrid w:linePitch="360"/>
        </w:sectPr>
      </w:pPr>
    </w:p>
    <w:p w14:paraId="69CCBBE4" w14:textId="77777777" w:rsidR="00FE0510" w:rsidRPr="00FE0510" w:rsidRDefault="00FE0510" w:rsidP="00FE0510">
      <w:pPr>
        <w:pStyle w:val="Heading2"/>
        <w:keepNext/>
        <w:tabs>
          <w:tab w:val="left" w:pos="9498"/>
        </w:tabs>
        <w:spacing w:before="240" w:after="120"/>
        <w:rPr>
          <w:rFonts w:ascii="Century Gothic" w:hAnsi="Century Gothic"/>
          <w:szCs w:val="20"/>
        </w:rPr>
      </w:pPr>
      <w:bookmarkStart w:id="9" w:name="_Toc482002024"/>
      <w:r w:rsidRPr="00FE0510">
        <w:rPr>
          <w:rFonts w:ascii="Century Gothic" w:hAnsi="Century Gothic"/>
          <w:b/>
        </w:rPr>
        <w:t>Process</w:t>
      </w:r>
      <w:bookmarkEnd w:id="9"/>
      <w:r w:rsidRPr="00BC4666">
        <w:rPr>
          <w:rFonts w:ascii="Century Gothic" w:hAnsi="Century Gothic"/>
          <w:b/>
        </w:rPr>
        <w:tab/>
      </w:r>
    </w:p>
    <w:p w14:paraId="69CCBBE5" w14:textId="77777777" w:rsidR="00FE0510" w:rsidRPr="00FE0510" w:rsidRDefault="00FE0510" w:rsidP="00FE0510">
      <w:pPr>
        <w:pStyle w:val="BodyTextNumbering"/>
        <w:spacing w:after="120"/>
        <w:rPr>
          <w:rFonts w:ascii="Century Gothic" w:hAnsi="Century Gothic"/>
          <w:szCs w:val="20"/>
        </w:rPr>
      </w:pPr>
      <w:r w:rsidRPr="00FE0510">
        <w:rPr>
          <w:rFonts w:ascii="Century Gothic" w:hAnsi="Century Gothic"/>
          <w:szCs w:val="20"/>
        </w:rPr>
        <w:t>The steps in cumulative impact assessment and management for the Great Barrier Reef are similar to best practice environmental impact assessment, with a broader focus on understanding the context and underlying pressures on the system, its values and desired outcomes. The steps should be used when:</w:t>
      </w:r>
    </w:p>
    <w:p w14:paraId="69CCBBE6" w14:textId="77777777" w:rsidR="00FE0510" w:rsidRPr="00FE0510" w:rsidRDefault="00FE0510" w:rsidP="00FE0510">
      <w:pPr>
        <w:pStyle w:val="BodyTextNumbering"/>
        <w:numPr>
          <w:ilvl w:val="1"/>
          <w:numId w:val="2"/>
        </w:numPr>
        <w:spacing w:before="0" w:after="60"/>
        <w:ind w:left="788" w:hanging="431"/>
        <w:rPr>
          <w:rFonts w:ascii="Century Gothic" w:hAnsi="Century Gothic"/>
          <w:szCs w:val="20"/>
        </w:rPr>
      </w:pPr>
      <w:r w:rsidRPr="00FE0510">
        <w:rPr>
          <w:rFonts w:ascii="Century Gothic" w:hAnsi="Century Gothic"/>
          <w:szCs w:val="20"/>
        </w:rPr>
        <w:t>scoping, with analysis based on a desktop assessment</w:t>
      </w:r>
    </w:p>
    <w:p w14:paraId="69CCBBE7" w14:textId="77777777" w:rsidR="00FE0510" w:rsidRPr="00FE0510" w:rsidRDefault="00FE0510" w:rsidP="00FE0510">
      <w:pPr>
        <w:pStyle w:val="BodyTextNumbering"/>
        <w:spacing w:before="0" w:after="60"/>
        <w:ind w:left="788"/>
        <w:rPr>
          <w:rFonts w:ascii="Century Gothic" w:hAnsi="Century Gothic"/>
          <w:szCs w:val="20"/>
        </w:rPr>
      </w:pPr>
      <w:r w:rsidRPr="00FE0510">
        <w:rPr>
          <w:rFonts w:ascii="Century Gothic" w:hAnsi="Century Gothic"/>
          <w:szCs w:val="20"/>
        </w:rPr>
        <w:t>or</w:t>
      </w:r>
    </w:p>
    <w:p w14:paraId="69CCBBE8" w14:textId="77777777" w:rsidR="00FE0510" w:rsidRPr="00FE0510" w:rsidRDefault="00FE0510" w:rsidP="00FE0510">
      <w:pPr>
        <w:pStyle w:val="BodyTextNumbering"/>
        <w:numPr>
          <w:ilvl w:val="1"/>
          <w:numId w:val="2"/>
        </w:numPr>
        <w:spacing w:before="0" w:after="60"/>
        <w:ind w:left="788" w:hanging="431"/>
        <w:rPr>
          <w:rFonts w:ascii="Century Gothic" w:hAnsi="Century Gothic"/>
          <w:szCs w:val="20"/>
        </w:rPr>
      </w:pPr>
      <w:r w:rsidRPr="00FE0510">
        <w:rPr>
          <w:rFonts w:ascii="Century Gothic" w:hAnsi="Century Gothic"/>
          <w:szCs w:val="20"/>
        </w:rPr>
        <w:t>undertaking a detailed assessment to improve information or reduce uncertainty in decision-making.</w:t>
      </w:r>
    </w:p>
    <w:p w14:paraId="69CCBBE9" w14:textId="77777777" w:rsidR="00FE0510" w:rsidRPr="00FE0510" w:rsidRDefault="00FE0510" w:rsidP="006163CC">
      <w:pPr>
        <w:pStyle w:val="BodyTextNumbering"/>
        <w:spacing w:after="0"/>
        <w:rPr>
          <w:rFonts w:ascii="Century Gothic" w:hAnsi="Century Gothic"/>
          <w:szCs w:val="20"/>
        </w:rPr>
      </w:pPr>
      <w:r w:rsidRPr="00FE0510">
        <w:rPr>
          <w:rFonts w:ascii="Century Gothic" w:hAnsi="Century Gothic"/>
          <w:szCs w:val="20"/>
        </w:rPr>
        <w:t>The following steps to undertake a cumulative impact assessment also include references to critical resources to be consulted for information about the Great Barrier Reef.</w:t>
      </w:r>
    </w:p>
    <w:p w14:paraId="69CCBBEA" w14:textId="3AE694C8" w:rsidR="00FE0510" w:rsidRDefault="00FE0510" w:rsidP="006163CC">
      <w:pPr>
        <w:pStyle w:val="BodyTextNumbering"/>
        <w:spacing w:before="0" w:after="120"/>
        <w:rPr>
          <w:rFonts w:ascii="Century Gothic" w:hAnsi="Century Gothic"/>
          <w:szCs w:val="20"/>
        </w:rPr>
      </w:pPr>
    </w:p>
    <w:p w14:paraId="69CCBBEB" w14:textId="7B8ED56E" w:rsidR="000A4D14" w:rsidRDefault="0095278E" w:rsidP="008546EA">
      <w:pPr>
        <w:pStyle w:val="BodyTextNumbering"/>
        <w:jc w:val="center"/>
        <w:rPr>
          <w:rFonts w:ascii="Century Gothic" w:hAnsi="Century Gothic"/>
          <w:szCs w:val="20"/>
        </w:rPr>
      </w:pPr>
      <w:r>
        <w:rPr>
          <w:noProof/>
        </w:rPr>
        <w:pict w14:anchorId="69CCC3EB">
          <v:shape id="_x0000_i1031" type="#_x0000_t75" alt="various corals Wheeler Reef, off Townsville" style="width:480.75pt;height:515.25pt;visibility:visible">
            <v:imagedata r:id="rId29" o:title="various corals Wheeler Reef, off Townsville" cropbottom="18844f"/>
          </v:shape>
        </w:pict>
      </w:r>
      <w:r w:rsidR="00FE0510">
        <w:rPr>
          <w:rFonts w:ascii="Century Gothic" w:hAnsi="Century Gothic"/>
          <w:szCs w:val="20"/>
        </w:rPr>
        <w:br w:type="page"/>
      </w:r>
      <w:r>
        <w:rPr>
          <w:rFonts w:ascii="Century Gothic" w:hAnsi="Century Gothic"/>
          <w:noProof/>
          <w:szCs w:val="20"/>
        </w:rPr>
        <w:pict w14:anchorId="22DD14CE">
          <v:rect id="_x0000_s1171" style="position:absolute;left:0;text-align:left;margin-left:-37pt;margin-top:-44.15pt;width:584.2pt;height:834.45pt;z-index:251669540" filled="f" strokecolor="white" strokeweight="11.25pt">
            <v:textbox>
              <w:txbxContent>
                <w:p w14:paraId="04EED3E6" w14:textId="77777777" w:rsidR="0095278E" w:rsidRDefault="0095278E"/>
              </w:txbxContent>
            </v:textbox>
          </v:rect>
        </w:pict>
      </w:r>
      <w:r>
        <w:rPr>
          <w:rFonts w:ascii="Century Gothic" w:hAnsi="Century Gothic"/>
          <w:noProof/>
          <w:szCs w:val="20"/>
        </w:rPr>
        <w:pict w14:anchorId="69CCC40A">
          <v:rect id="_x0000_s1082" style="position:absolute;left:0;text-align:left;margin-left:-42.8pt;margin-top:-48.5pt;width:597.15pt;height:845.1pt;z-index:251658244" fillcolor="#acf2f0" stroked="f">
            <v:textbox>
              <w:txbxContent>
                <w:p w14:paraId="6C82549F" w14:textId="77777777" w:rsidR="0095278E" w:rsidRDefault="0095278E"/>
              </w:txbxContent>
            </v:textbox>
          </v:rect>
        </w:pict>
      </w:r>
      <w:r>
        <w:rPr>
          <w:rFonts w:ascii="Century Gothic" w:hAnsi="Century Gothic"/>
          <w:noProof/>
          <w:szCs w:val="20"/>
        </w:rPr>
        <w:pict w14:anchorId="69CCC3EC">
          <v:shape id="_x0000_s1083" type="#_x0000_t202" style="position:absolute;left:0;text-align:left;margin-left:-26.75pt;margin-top:-39.5pt;width:168.3pt;height:35.95pt;z-index:251658245;mso-position-horizontal-relative:text;mso-position-vertical-relative:text" filled="f" stroked="f">
            <v:textbox style="mso-next-textbox:#_x0000_s1083">
              <w:txbxContent>
                <w:p w14:paraId="69CCC41B" w14:textId="77777777" w:rsidR="004B4957" w:rsidRPr="00CC128D" w:rsidRDefault="004B4957" w:rsidP="00CC128D">
                  <w:pPr>
                    <w:pStyle w:val="BodyTextNumbering"/>
                    <w:keepNext/>
                    <w:spacing w:after="120"/>
                    <w:rPr>
                      <w:rFonts w:ascii="Century Gothic" w:hAnsi="Century Gothic"/>
                      <w:b/>
                      <w:i/>
                      <w:szCs w:val="20"/>
                    </w:rPr>
                  </w:pPr>
                  <w:r>
                    <w:rPr>
                      <w:rFonts w:ascii="Century Gothic" w:hAnsi="Century Gothic"/>
                      <w:b/>
                      <w:i/>
                      <w:szCs w:val="20"/>
                    </w:rPr>
                    <w:t>Steps in applying this policy</w:t>
                  </w:r>
                </w:p>
              </w:txbxContent>
            </v:textbox>
          </v:shape>
        </w:pict>
      </w:r>
      <w:r>
        <w:rPr>
          <w:rFonts w:ascii="Century Gothic" w:hAnsi="Century Gothic"/>
          <w:noProof/>
          <w:szCs w:val="20"/>
        </w:rPr>
        <w:pict w14:anchorId="69CCC3ED">
          <v:roundrect id="_x0000_s1120" style="position:absolute;left:0;text-align:left;margin-left:215.3pt;margin-top:702.1pt;width:317.05pt;height:54.4pt;z-index:251658275;mso-position-horizontal-relative:text;mso-position-vertical-relative:text" arcsize="10923f" filled="f" strokecolor="white" strokeweight="2pt">
            <v:textbox style="mso-next-textbox:#_x0000_s1120">
              <w:txbxContent>
                <w:p w14:paraId="69CCC41C" w14:textId="43BD62C8" w:rsidR="004B4957" w:rsidRPr="00FF1707" w:rsidRDefault="004B4957" w:rsidP="00497910">
                  <w:pPr>
                    <w:spacing w:line="240" w:lineRule="auto"/>
                    <w:rPr>
                      <w:rFonts w:ascii="Century Gothic" w:hAnsi="Century Gothic"/>
                      <w:sz w:val="17"/>
                      <w:szCs w:val="17"/>
                    </w:rPr>
                  </w:pPr>
                  <w:r w:rsidRPr="00497910">
                    <w:rPr>
                      <w:rFonts w:ascii="Century Gothic" w:hAnsi="Century Gothic"/>
                      <w:sz w:val="17"/>
                      <w:szCs w:val="17"/>
                    </w:rPr>
                    <w:t>Refer to the Reef 2050 Integrated Monitoring and Reporting Program for review, monitoring and reporting processes. The program will inform adaptive management by considering the effect of decisions in managing cumulative impacts.</w:t>
                  </w:r>
                </w:p>
              </w:txbxContent>
            </v:textbox>
          </v:roundrect>
        </w:pict>
      </w:r>
      <w:r>
        <w:rPr>
          <w:rFonts w:ascii="Century Gothic" w:hAnsi="Century Gothic"/>
          <w:noProof/>
          <w:szCs w:val="20"/>
        </w:rPr>
        <w:pict w14:anchorId="69CCC3EE">
          <v:shape id="_x0000_s1119" type="#_x0000_t202" style="position:absolute;left:0;text-align:left;margin-left:-27.75pt;margin-top:706.95pt;width:31.95pt;height:45.2pt;z-index:251658274;mso-position-horizontal-relative:text;mso-position-vertical-relative:text" filled="f" stroked="f">
            <v:textbox style="mso-next-textbox:#_x0000_s1119">
              <w:txbxContent>
                <w:p w14:paraId="69CCC41D" w14:textId="77777777" w:rsidR="004B4957" w:rsidRPr="00D84BA2" w:rsidRDefault="004B4957" w:rsidP="00497910">
                  <w:pPr>
                    <w:pStyle w:val="BodyTextNumbering"/>
                    <w:keepNext/>
                    <w:spacing w:after="120"/>
                    <w:rPr>
                      <w:rFonts w:ascii="Century Gothic" w:hAnsi="Century Gothic"/>
                      <w:b/>
                      <w:sz w:val="32"/>
                    </w:rPr>
                  </w:pPr>
                  <w:r>
                    <w:rPr>
                      <w:rFonts w:ascii="Century Gothic" w:hAnsi="Century Gothic"/>
                      <w:b/>
                      <w:sz w:val="32"/>
                    </w:rPr>
                    <w:t>9</w:t>
                  </w:r>
                </w:p>
              </w:txbxContent>
            </v:textbox>
          </v:shape>
        </w:pict>
      </w:r>
      <w:r>
        <w:rPr>
          <w:rFonts w:ascii="Century Gothic" w:hAnsi="Century Gothic"/>
          <w:noProof/>
          <w:szCs w:val="20"/>
        </w:rPr>
        <w:pict w14:anchorId="69CCC3EF">
          <v:roundrect id="_x0000_s1118" style="position:absolute;left:0;text-align:left;margin-left:-2.25pt;margin-top:702.85pt;width:217.55pt;height:53.75pt;z-index:251658273;mso-position-horizontal-relative:text;mso-position-vertical-relative:text" arcsize="10923f" strokecolor="white" strokeweight="2pt">
            <v:textbox style="mso-next-textbox:#_x0000_s1118">
              <w:txbxContent>
                <w:p w14:paraId="69CCC41E" w14:textId="4C78AF1E" w:rsidR="004B4957" w:rsidRPr="00FF1707" w:rsidRDefault="004B4957" w:rsidP="00497910">
                  <w:pPr>
                    <w:spacing w:line="240" w:lineRule="auto"/>
                    <w:rPr>
                      <w:rFonts w:ascii="Century Gothic" w:hAnsi="Century Gothic"/>
                      <w:sz w:val="17"/>
                      <w:szCs w:val="17"/>
                    </w:rPr>
                  </w:pPr>
                  <w:r w:rsidRPr="00497910">
                    <w:rPr>
                      <w:rFonts w:ascii="Century Gothic" w:hAnsi="Century Gothic"/>
                      <w:b/>
                      <w:sz w:val="17"/>
                      <w:szCs w:val="17"/>
                    </w:rPr>
                    <w:t>Drive continuous improvement by adapting actions in response to new information, emerging issues and changing circumstances</w:t>
                  </w:r>
                  <w:r>
                    <w:rPr>
                      <w:rFonts w:ascii="Century Gothic" w:hAnsi="Century Gothic"/>
                      <w:b/>
                      <w:sz w:val="17"/>
                      <w:szCs w:val="17"/>
                    </w:rPr>
                    <w:t>.</w:t>
                  </w:r>
                </w:p>
              </w:txbxContent>
            </v:textbox>
          </v:roundrect>
        </w:pict>
      </w:r>
      <w:r>
        <w:rPr>
          <w:rFonts w:ascii="Century Gothic" w:hAnsi="Century Gothic"/>
          <w:noProof/>
          <w:szCs w:val="20"/>
        </w:rPr>
        <w:pict w14:anchorId="69CCC3F0">
          <v:roundrect id="_x0000_s1116" style="position:absolute;left:0;text-align:left;margin-left:100.6pt;margin-top:653.55pt;width:434.35pt;height:31.9pt;z-index:251658272;mso-position-horizontal-relative:text;mso-position-vertical-relative:text" arcsize="10923f" filled="f" strokecolor="white" strokeweight="2pt">
            <v:textbox style="mso-next-textbox:#_x0000_s1116">
              <w:txbxContent>
                <w:p w14:paraId="69CCC41F" w14:textId="2E02FAFD" w:rsidR="004B4957" w:rsidRPr="00FF1707" w:rsidRDefault="004B4957" w:rsidP="004B68FA">
                  <w:pPr>
                    <w:spacing w:line="240" w:lineRule="auto"/>
                    <w:rPr>
                      <w:rFonts w:ascii="Century Gothic" w:hAnsi="Century Gothic"/>
                      <w:sz w:val="17"/>
                      <w:szCs w:val="17"/>
                    </w:rPr>
                  </w:pPr>
                  <w:r w:rsidRPr="00C56E07">
                    <w:rPr>
                      <w:rFonts w:ascii="Century Gothic" w:hAnsi="Century Gothic"/>
                      <w:sz w:val="17"/>
                      <w:szCs w:val="17"/>
                    </w:rPr>
                    <w:t>Design targeted monitoring and reporting – consistent with the Reef 2050 Integrated Monitoring</w:t>
                  </w:r>
                  <w:r>
                    <w:rPr>
                      <w:rFonts w:ascii="Century Gothic" w:hAnsi="Century Gothic"/>
                      <w:sz w:val="17"/>
                      <w:szCs w:val="17"/>
                    </w:rPr>
                    <w:t xml:space="preserve"> </w:t>
                  </w:r>
                  <w:r w:rsidRPr="00C56E07">
                    <w:rPr>
                      <w:rFonts w:ascii="Century Gothic" w:hAnsi="Century Gothic"/>
                      <w:sz w:val="17"/>
                      <w:szCs w:val="17"/>
                    </w:rPr>
                    <w:t>and Reporting Program – to evaluate effectiveness and meet legislative obligations.</w:t>
                  </w:r>
                </w:p>
              </w:txbxContent>
            </v:textbox>
          </v:roundrect>
        </w:pict>
      </w:r>
      <w:r>
        <w:rPr>
          <w:rFonts w:ascii="Century Gothic" w:hAnsi="Century Gothic"/>
          <w:noProof/>
          <w:szCs w:val="20"/>
        </w:rPr>
        <w:pict w14:anchorId="69CCC3F1">
          <v:roundrect id="_x0000_s1114" style="position:absolute;left:0;text-align:left;margin-left:-2.25pt;margin-top:654.25pt;width:102.85pt;height:31pt;z-index:251658270;mso-position-horizontal-relative:text;mso-position-vertical-relative:text" arcsize="10923f" strokecolor="white" strokeweight="2pt">
            <v:textbox style="mso-next-textbox:#_x0000_s1114">
              <w:txbxContent>
                <w:p w14:paraId="69CCC420" w14:textId="388E7704" w:rsidR="004B4957" w:rsidRPr="00FF1707" w:rsidRDefault="004B4957" w:rsidP="004B68FA">
                  <w:pPr>
                    <w:spacing w:line="240" w:lineRule="auto"/>
                    <w:rPr>
                      <w:rFonts w:ascii="Century Gothic" w:hAnsi="Century Gothic"/>
                      <w:sz w:val="17"/>
                      <w:szCs w:val="17"/>
                    </w:rPr>
                  </w:pPr>
                  <w:r w:rsidRPr="00C56E07">
                    <w:rPr>
                      <w:rFonts w:ascii="Century Gothic" w:hAnsi="Century Gothic"/>
                      <w:b/>
                      <w:sz w:val="17"/>
                      <w:szCs w:val="17"/>
                    </w:rPr>
                    <w:t>Monitor, evaluate and report</w:t>
                  </w:r>
                  <w:r>
                    <w:rPr>
                      <w:rFonts w:ascii="Century Gothic" w:hAnsi="Century Gothic"/>
                      <w:b/>
                      <w:sz w:val="17"/>
                      <w:szCs w:val="17"/>
                    </w:rPr>
                    <w:t>.</w:t>
                  </w:r>
                </w:p>
              </w:txbxContent>
            </v:textbox>
          </v:roundrect>
        </w:pict>
      </w:r>
      <w:r>
        <w:rPr>
          <w:rFonts w:ascii="Century Gothic" w:hAnsi="Century Gothic"/>
          <w:noProof/>
          <w:szCs w:val="20"/>
        </w:rPr>
        <w:pict w14:anchorId="69CCC3F2">
          <v:shape id="_x0000_s1115" type="#_x0000_t202" style="position:absolute;left:0;text-align:left;margin-left:-28.6pt;margin-top:646.6pt;width:31.95pt;height:45.2pt;z-index:251658271;mso-position-horizontal-relative:text;mso-position-vertical-relative:text" filled="f" stroked="f">
            <v:textbox style="mso-next-textbox:#_x0000_s1115">
              <w:txbxContent>
                <w:p w14:paraId="69CCC421" w14:textId="77777777" w:rsidR="004B4957" w:rsidRPr="00D84BA2" w:rsidRDefault="004B4957" w:rsidP="00C56E07">
                  <w:pPr>
                    <w:pStyle w:val="BodyTextNumbering"/>
                    <w:keepNext/>
                    <w:spacing w:after="120"/>
                    <w:rPr>
                      <w:rFonts w:ascii="Century Gothic" w:hAnsi="Century Gothic"/>
                      <w:b/>
                      <w:sz w:val="32"/>
                    </w:rPr>
                  </w:pPr>
                  <w:r>
                    <w:rPr>
                      <w:rFonts w:ascii="Century Gothic" w:hAnsi="Century Gothic"/>
                      <w:b/>
                      <w:sz w:val="32"/>
                    </w:rPr>
                    <w:t>8</w:t>
                  </w:r>
                </w:p>
              </w:txbxContent>
            </v:textbox>
          </v:shape>
        </w:pict>
      </w:r>
      <w:r>
        <w:rPr>
          <w:rFonts w:ascii="Century Gothic" w:hAnsi="Century Gothic"/>
          <w:noProof/>
          <w:szCs w:val="20"/>
        </w:rPr>
        <w:pict w14:anchorId="69CCC3F3">
          <v:shape id="_x0000_s1110" type="#_x0000_t202" style="position:absolute;left:0;text-align:left;margin-left:-27.35pt;margin-top:593.45pt;width:31.95pt;height:45.2pt;z-index:251658269;mso-position-horizontal-relative:text;mso-position-vertical-relative:text" filled="f" stroked="f">
            <v:textbox style="mso-next-textbox:#_x0000_s1110">
              <w:txbxContent>
                <w:p w14:paraId="69CCC422" w14:textId="77777777" w:rsidR="004B4957" w:rsidRPr="00D84BA2" w:rsidRDefault="004B4957" w:rsidP="00EC260F">
                  <w:pPr>
                    <w:pStyle w:val="BodyTextNumbering"/>
                    <w:keepNext/>
                    <w:spacing w:after="120"/>
                    <w:rPr>
                      <w:rFonts w:ascii="Century Gothic" w:hAnsi="Century Gothic"/>
                      <w:b/>
                      <w:sz w:val="32"/>
                    </w:rPr>
                  </w:pPr>
                  <w:r>
                    <w:rPr>
                      <w:rFonts w:ascii="Century Gothic" w:hAnsi="Century Gothic"/>
                      <w:b/>
                      <w:sz w:val="32"/>
                    </w:rPr>
                    <w:t>7</w:t>
                  </w:r>
                </w:p>
              </w:txbxContent>
            </v:textbox>
          </v:shape>
        </w:pict>
      </w:r>
      <w:r>
        <w:rPr>
          <w:rFonts w:ascii="Century Gothic" w:hAnsi="Century Gothic"/>
          <w:noProof/>
          <w:szCs w:val="20"/>
        </w:rPr>
        <w:pict w14:anchorId="69CCC3F4">
          <v:roundrect id="_x0000_s1109" style="position:absolute;left:0;text-align:left;margin-left:-2.35pt;margin-top:593.45pt;width:534.6pt;height:45.2pt;z-index:251658268;mso-position-horizontal-relative:text;mso-position-vertical-relative:text" arcsize="10923f" strokecolor="white" strokeweight="2pt">
            <v:textbox style="mso-next-textbox:#_x0000_s1109">
              <w:txbxContent>
                <w:p w14:paraId="69CCC423" w14:textId="1478739B" w:rsidR="004B4957" w:rsidRPr="00FF1707" w:rsidRDefault="004B4957" w:rsidP="004B68FA">
                  <w:pPr>
                    <w:spacing w:line="240" w:lineRule="auto"/>
                    <w:rPr>
                      <w:rFonts w:ascii="Century Gothic" w:hAnsi="Century Gothic"/>
                      <w:sz w:val="17"/>
                      <w:szCs w:val="17"/>
                    </w:rPr>
                  </w:pPr>
                  <w:r w:rsidRPr="00EC260F">
                    <w:rPr>
                      <w:rFonts w:ascii="Century Gothic" w:hAnsi="Century Gothic"/>
                      <w:b/>
                      <w:sz w:val="17"/>
                      <w:szCs w:val="17"/>
                    </w:rPr>
                    <w:t>Design and apply management measures based on the mitigation hierarchy</w:t>
                  </w:r>
                  <w:r>
                    <w:rPr>
                      <w:rFonts w:ascii="Century Gothic" w:hAnsi="Century Gothic"/>
                      <w:b/>
                      <w:sz w:val="17"/>
                      <w:szCs w:val="17"/>
                    </w:rPr>
                    <w:t xml:space="preserve">.  </w:t>
                  </w:r>
                  <w:r w:rsidRPr="00EC260F">
                    <w:rPr>
                      <w:rFonts w:ascii="Century Gothic" w:hAnsi="Century Gothic"/>
                      <w:sz w:val="17"/>
                      <w:szCs w:val="17"/>
                    </w:rPr>
                    <w:t xml:space="preserve">Identify how any likely impacts may be avoided, such as through re-scoping, relocating or altering the timeframe. Identify potential alternatives to your proposed decision that mitigate impacts and reduce risk to acceptable levels for the desired outcomes for </w:t>
                  </w:r>
                  <w:r>
                    <w:rPr>
                      <w:rFonts w:ascii="Century Gothic" w:hAnsi="Century Gothic"/>
                      <w:sz w:val="17"/>
                      <w:szCs w:val="17"/>
                    </w:rPr>
                    <w:t xml:space="preserve">the Reef’s </w:t>
                  </w:r>
                  <w:r w:rsidRPr="00EC260F">
                    <w:rPr>
                      <w:rFonts w:ascii="Century Gothic" w:hAnsi="Century Gothic"/>
                      <w:sz w:val="17"/>
                      <w:szCs w:val="17"/>
                    </w:rPr>
                    <w:t>values.</w:t>
                  </w:r>
                </w:p>
              </w:txbxContent>
            </v:textbox>
          </v:roundrect>
        </w:pict>
      </w:r>
      <w:r>
        <w:rPr>
          <w:rFonts w:ascii="Century Gothic" w:hAnsi="Century Gothic"/>
          <w:noProof/>
          <w:szCs w:val="20"/>
        </w:rPr>
        <w:pict w14:anchorId="69CCC3F5">
          <v:shape id="_x0000_s1107" type="#_x0000_t202" style="position:absolute;left:0;text-align:left;margin-left:-27.85pt;margin-top:525.8pt;width:31.95pt;height:45.2pt;z-index:251658266;mso-position-horizontal-relative:text;mso-position-vertical-relative:text" filled="f" stroked="f">
            <v:textbox style="mso-next-textbox:#_x0000_s1107">
              <w:txbxContent>
                <w:p w14:paraId="69CCC424" w14:textId="77777777" w:rsidR="004B4957" w:rsidRPr="00D84BA2" w:rsidRDefault="004B4957" w:rsidP="0070583F">
                  <w:pPr>
                    <w:pStyle w:val="BodyTextNumbering"/>
                    <w:keepNext/>
                    <w:spacing w:after="120"/>
                    <w:rPr>
                      <w:rFonts w:ascii="Century Gothic" w:hAnsi="Century Gothic"/>
                      <w:b/>
                      <w:sz w:val="32"/>
                    </w:rPr>
                  </w:pPr>
                  <w:r>
                    <w:rPr>
                      <w:rFonts w:ascii="Century Gothic" w:hAnsi="Century Gothic"/>
                      <w:b/>
                      <w:sz w:val="32"/>
                    </w:rPr>
                    <w:t>6</w:t>
                  </w:r>
                </w:p>
              </w:txbxContent>
            </v:textbox>
          </v:shape>
        </w:pict>
      </w:r>
      <w:r>
        <w:rPr>
          <w:rFonts w:ascii="Century Gothic" w:hAnsi="Century Gothic"/>
          <w:noProof/>
          <w:szCs w:val="20"/>
        </w:rPr>
        <w:pict w14:anchorId="69CCC3F6">
          <v:roundrect id="_x0000_s1108" style="position:absolute;left:0;text-align:left;margin-left:266.4pt;margin-top:517.55pt;width:265.85pt;height:59.15pt;z-index:251658267;mso-position-horizontal-relative:text;mso-position-vertical-relative:text" arcsize="10923f" filled="f" strokecolor="white" strokeweight="2pt">
            <v:textbox style="mso-next-textbox:#_x0000_s1108">
              <w:txbxContent>
                <w:p w14:paraId="69CCC425" w14:textId="77777777" w:rsidR="004B4957" w:rsidRPr="00FF1707" w:rsidRDefault="004B4957" w:rsidP="004B68FA">
                  <w:pPr>
                    <w:spacing w:line="240" w:lineRule="auto"/>
                    <w:rPr>
                      <w:rFonts w:ascii="Century Gothic" w:hAnsi="Century Gothic"/>
                      <w:sz w:val="17"/>
                      <w:szCs w:val="17"/>
                    </w:rPr>
                  </w:pPr>
                  <w:r w:rsidRPr="00C56E07">
                    <w:rPr>
                      <w:rFonts w:ascii="Century Gothic" w:hAnsi="Century Gothic"/>
                      <w:sz w:val="17"/>
                      <w:szCs w:val="17"/>
                    </w:rPr>
                    <w:t>Refer to the Strategic Assessment and Outlook Report for information on how to assess resilience and vulnerability, and the Reef 2050 Integrated Monitoring and Reporting Program for relevant standards and guidelines.</w:t>
                  </w:r>
                </w:p>
              </w:txbxContent>
            </v:textbox>
          </v:roundrect>
        </w:pict>
      </w:r>
      <w:r>
        <w:rPr>
          <w:rFonts w:ascii="Century Gothic" w:hAnsi="Century Gothic"/>
          <w:noProof/>
          <w:szCs w:val="20"/>
        </w:rPr>
        <w:pict w14:anchorId="69CCC3F7">
          <v:roundrect id="_x0000_s1106" style="position:absolute;left:0;text-align:left;margin-left:-2.35pt;margin-top:518.3pt;width:268.75pt;height:58.45pt;z-index:251658265;mso-position-horizontal-relative:text;mso-position-vertical-relative:text" arcsize="10923f" strokecolor="white" strokeweight="2pt">
            <v:textbox style="mso-next-textbox:#_x0000_s1106">
              <w:txbxContent>
                <w:p w14:paraId="69CCC426" w14:textId="58F13516" w:rsidR="004B4957" w:rsidRPr="00FF1707" w:rsidRDefault="004B4957" w:rsidP="004B68FA">
                  <w:pPr>
                    <w:spacing w:line="240" w:lineRule="auto"/>
                    <w:rPr>
                      <w:rFonts w:ascii="Century Gothic" w:hAnsi="Century Gothic"/>
                      <w:sz w:val="17"/>
                      <w:szCs w:val="17"/>
                    </w:rPr>
                  </w:pPr>
                  <w:r w:rsidRPr="0070583F">
                    <w:rPr>
                      <w:rFonts w:ascii="Century Gothic" w:hAnsi="Century Gothic"/>
                      <w:b/>
                      <w:sz w:val="17"/>
                      <w:szCs w:val="17"/>
                    </w:rPr>
                    <w:t>Determine acceptability of impacts by comparing the outcome of the assessment with the desired outcome for the state of the value or process and relevant standards and guidelines</w:t>
                  </w:r>
                  <w:r>
                    <w:rPr>
                      <w:rFonts w:ascii="Century Gothic" w:hAnsi="Century Gothic"/>
                      <w:b/>
                      <w:sz w:val="17"/>
                      <w:szCs w:val="17"/>
                    </w:rPr>
                    <w:t>.</w:t>
                  </w:r>
                </w:p>
              </w:txbxContent>
            </v:textbox>
          </v:roundrect>
        </w:pict>
      </w:r>
      <w:r>
        <w:rPr>
          <w:rFonts w:ascii="Century Gothic" w:hAnsi="Century Gothic"/>
          <w:noProof/>
          <w:szCs w:val="20"/>
        </w:rPr>
        <w:pict w14:anchorId="69CCC3F8">
          <v:roundrect id="_x0000_s1105" style="position:absolute;left:0;text-align:left;margin-left:282.3pt;margin-top:447.05pt;width:252.65pt;height:55.7pt;z-index:251658264;mso-position-horizontal-relative:text;mso-position-vertical-relative:text" arcsize="10923f" filled="f" strokecolor="white" strokeweight="2pt">
            <v:textbox style="mso-next-textbox:#_x0000_s1105">
              <w:txbxContent>
                <w:p w14:paraId="69CCC427" w14:textId="77777777" w:rsidR="004B4957" w:rsidRPr="00FF1707" w:rsidRDefault="004B4957" w:rsidP="004B68FA">
                  <w:pPr>
                    <w:spacing w:line="240" w:lineRule="auto"/>
                    <w:rPr>
                      <w:rFonts w:ascii="Century Gothic" w:hAnsi="Century Gothic"/>
                      <w:sz w:val="17"/>
                      <w:szCs w:val="17"/>
                    </w:rPr>
                  </w:pPr>
                  <w:r w:rsidRPr="00C56E07">
                    <w:rPr>
                      <w:rFonts w:ascii="Century Gothic" w:hAnsi="Century Gothic"/>
                      <w:sz w:val="17"/>
                      <w:szCs w:val="17"/>
                    </w:rPr>
                    <w:t>Refer to Australian/New Zealand/International Standard, AS/NZS ISO 31000:2009 Risk management – Principles and guidelines, and risk assessments in the Strategic Assessment and Outlook Report.</w:t>
                  </w:r>
                </w:p>
              </w:txbxContent>
            </v:textbox>
          </v:roundrect>
        </w:pict>
      </w:r>
      <w:r>
        <w:rPr>
          <w:rFonts w:ascii="Century Gothic" w:hAnsi="Century Gothic"/>
          <w:noProof/>
          <w:szCs w:val="20"/>
        </w:rPr>
        <w:pict w14:anchorId="69CCC3F9">
          <v:roundrect id="_x0000_s1103" style="position:absolute;left:0;text-align:left;margin-left:-2.35pt;margin-top:449.45pt;width:284.65pt;height:53.6pt;z-index:251658262;mso-position-horizontal-relative:text;mso-position-vertical-relative:text" arcsize="10923f" strokecolor="white" strokeweight="2pt">
            <v:textbox style="mso-next-textbox:#_x0000_s1103">
              <w:txbxContent>
                <w:p w14:paraId="69CCC428" w14:textId="77777777" w:rsidR="004B4957" w:rsidRPr="00FF1707" w:rsidRDefault="004B4957" w:rsidP="004B68FA">
                  <w:pPr>
                    <w:spacing w:line="240" w:lineRule="auto"/>
                    <w:rPr>
                      <w:rFonts w:ascii="Century Gothic" w:hAnsi="Century Gothic"/>
                      <w:sz w:val="17"/>
                      <w:szCs w:val="17"/>
                    </w:rPr>
                  </w:pPr>
                  <w:r>
                    <w:rPr>
                      <w:rFonts w:ascii="Century Gothic" w:hAnsi="Century Gothic"/>
                      <w:b/>
                      <w:sz w:val="17"/>
                      <w:szCs w:val="17"/>
                    </w:rPr>
                    <w:t xml:space="preserve">Undertake a risk assessment. </w:t>
                  </w:r>
                  <w:r w:rsidRPr="0070583F">
                    <w:rPr>
                      <w:rFonts w:ascii="Century Gothic" w:hAnsi="Century Gothic"/>
                      <w:sz w:val="17"/>
                      <w:szCs w:val="17"/>
                    </w:rPr>
                    <w:t xml:space="preserve"> To identify and understand the likely scale and magnitude of any risks to Great Barrier Reef values, highlight uncertainties and the risk of any potentially irreversible impacts.</w:t>
                  </w:r>
                </w:p>
              </w:txbxContent>
            </v:textbox>
          </v:roundrect>
        </w:pict>
      </w:r>
      <w:r>
        <w:rPr>
          <w:rFonts w:ascii="Century Gothic" w:hAnsi="Century Gothic"/>
          <w:noProof/>
          <w:szCs w:val="20"/>
        </w:rPr>
        <w:pict w14:anchorId="69CCC3FA">
          <v:shape id="_x0000_s1104" type="#_x0000_t202" style="position:absolute;left:0;text-align:left;margin-left:-27.85pt;margin-top:454.55pt;width:31.95pt;height:45.2pt;z-index:251658263;mso-position-horizontal-relative:text;mso-position-vertical-relative:text" filled="f" stroked="f">
            <v:textbox style="mso-next-textbox:#_x0000_s1104">
              <w:txbxContent>
                <w:p w14:paraId="69CCC429" w14:textId="77777777" w:rsidR="004B4957" w:rsidRPr="00D84BA2" w:rsidRDefault="004B4957" w:rsidP="0070583F">
                  <w:pPr>
                    <w:pStyle w:val="BodyTextNumbering"/>
                    <w:keepNext/>
                    <w:spacing w:after="120"/>
                    <w:rPr>
                      <w:rFonts w:ascii="Century Gothic" w:hAnsi="Century Gothic"/>
                      <w:b/>
                      <w:sz w:val="32"/>
                    </w:rPr>
                  </w:pPr>
                  <w:r>
                    <w:rPr>
                      <w:rFonts w:ascii="Century Gothic" w:hAnsi="Century Gothic"/>
                      <w:b/>
                      <w:sz w:val="32"/>
                    </w:rPr>
                    <w:t>5</w:t>
                  </w:r>
                </w:p>
              </w:txbxContent>
            </v:textbox>
          </v:shape>
        </w:pict>
      </w:r>
      <w:r>
        <w:rPr>
          <w:rFonts w:ascii="Century Gothic" w:hAnsi="Century Gothic"/>
          <w:noProof/>
          <w:szCs w:val="20"/>
        </w:rPr>
        <w:pict w14:anchorId="69CCC3FB">
          <v:roundrect id="_x0000_s1102" style="position:absolute;left:0;text-align:left;margin-left:250.45pt;margin-top:380.45pt;width:281.8pt;height:52.4pt;z-index:251658261;mso-position-horizontal-relative:text;mso-position-vertical-relative:text" arcsize="10923f" filled="f" strokecolor="white" strokeweight="2pt">
            <v:textbox style="mso-next-textbox:#_x0000_s1102">
              <w:txbxContent>
                <w:p w14:paraId="69CCC42A" w14:textId="77777777" w:rsidR="004B4957" w:rsidRPr="00C56E07" w:rsidRDefault="004B4957" w:rsidP="004B68FA">
                  <w:pPr>
                    <w:spacing w:line="240" w:lineRule="auto"/>
                    <w:rPr>
                      <w:rFonts w:ascii="Century Gothic" w:hAnsi="Century Gothic"/>
                      <w:sz w:val="17"/>
                      <w:szCs w:val="17"/>
                    </w:rPr>
                  </w:pPr>
                  <w:r w:rsidRPr="00C56E07">
                    <w:rPr>
                      <w:rFonts w:ascii="Century Gothic" w:hAnsi="Century Gothic"/>
                      <w:sz w:val="17"/>
                      <w:szCs w:val="17"/>
                    </w:rPr>
                    <w:t>Where processes that ensure recovery and resistance to pressures can be influenced by management they are likely to help build resilience to cumulative impacts.</w:t>
                  </w:r>
                </w:p>
                <w:p w14:paraId="69CCC42B" w14:textId="77777777" w:rsidR="004B4957" w:rsidRPr="00FF1707" w:rsidRDefault="004B4957" w:rsidP="004B68FA">
                  <w:pPr>
                    <w:spacing w:line="240" w:lineRule="auto"/>
                    <w:rPr>
                      <w:rFonts w:ascii="Century Gothic" w:hAnsi="Century Gothic"/>
                      <w:sz w:val="17"/>
                      <w:szCs w:val="17"/>
                    </w:rPr>
                  </w:pPr>
                  <w:r w:rsidRPr="00C56E07">
                    <w:rPr>
                      <w:rFonts w:ascii="Century Gothic" w:hAnsi="Century Gothic"/>
                      <w:sz w:val="17"/>
                      <w:szCs w:val="17"/>
                    </w:rPr>
                    <w:t>Refer to the Strategic Assessment and Outlook Report for information on how to assess resilience and vulnerability.</w:t>
                  </w:r>
                </w:p>
              </w:txbxContent>
            </v:textbox>
          </v:roundrect>
        </w:pict>
      </w:r>
      <w:r>
        <w:rPr>
          <w:rFonts w:ascii="Century Gothic" w:hAnsi="Century Gothic"/>
          <w:noProof/>
          <w:szCs w:val="20"/>
        </w:rPr>
        <w:pict w14:anchorId="69CCC3FC">
          <v:roundrect id="_x0000_s1100" style="position:absolute;left:0;text-align:left;margin-left:-2.35pt;margin-top:382.85pt;width:252.8pt;height:50pt;z-index:251658259;mso-position-horizontal-relative:text;mso-position-vertical-relative:text" arcsize="10923f" strokecolor="white" strokeweight="2pt">
            <v:textbox style="mso-next-textbox:#_x0000_s1100">
              <w:txbxContent>
                <w:p w14:paraId="69CCC42C" w14:textId="7ADAD0AC" w:rsidR="004B4957" w:rsidRPr="00FF1707" w:rsidRDefault="004B4957" w:rsidP="004B68FA">
                  <w:pPr>
                    <w:spacing w:line="240" w:lineRule="auto"/>
                    <w:rPr>
                      <w:rFonts w:ascii="Century Gothic" w:hAnsi="Century Gothic"/>
                      <w:sz w:val="17"/>
                      <w:szCs w:val="17"/>
                    </w:rPr>
                  </w:pPr>
                  <w:r w:rsidRPr="0070583F">
                    <w:rPr>
                      <w:rFonts w:ascii="Century Gothic" w:hAnsi="Century Gothic"/>
                      <w:b/>
                      <w:sz w:val="17"/>
                      <w:szCs w:val="17"/>
                    </w:rPr>
                    <w:t>Use resilience and vulnerability analyses as a basis for understanding how ecosystem values are affected by multiple drivers and pressures in space and time</w:t>
                  </w:r>
                  <w:r>
                    <w:rPr>
                      <w:rFonts w:ascii="Century Gothic" w:hAnsi="Century Gothic"/>
                      <w:b/>
                      <w:sz w:val="17"/>
                      <w:szCs w:val="17"/>
                    </w:rPr>
                    <w:t>.</w:t>
                  </w:r>
                </w:p>
              </w:txbxContent>
            </v:textbox>
          </v:roundrect>
        </w:pict>
      </w:r>
      <w:r>
        <w:rPr>
          <w:rFonts w:ascii="Century Gothic" w:hAnsi="Century Gothic"/>
          <w:noProof/>
          <w:szCs w:val="20"/>
        </w:rPr>
        <w:pict w14:anchorId="69CCC3FD">
          <v:shape id="_x0000_s1101" type="#_x0000_t202" style="position:absolute;left:0;text-align:left;margin-left:-26.55pt;margin-top:385.4pt;width:31.95pt;height:45.2pt;z-index:251658260;mso-position-horizontal-relative:text;mso-position-vertical-relative:text" filled="f" stroked="f">
            <v:textbox style="mso-next-textbox:#_x0000_s1101">
              <w:txbxContent>
                <w:p w14:paraId="69CCC42D" w14:textId="77777777" w:rsidR="004B4957" w:rsidRPr="00D84BA2" w:rsidRDefault="004B4957" w:rsidP="0070583F">
                  <w:pPr>
                    <w:pStyle w:val="BodyTextNumbering"/>
                    <w:keepNext/>
                    <w:spacing w:after="120"/>
                    <w:rPr>
                      <w:rFonts w:ascii="Century Gothic" w:hAnsi="Century Gothic"/>
                      <w:b/>
                      <w:sz w:val="32"/>
                    </w:rPr>
                  </w:pPr>
                  <w:r>
                    <w:rPr>
                      <w:rFonts w:ascii="Century Gothic" w:hAnsi="Century Gothic"/>
                      <w:b/>
                      <w:sz w:val="32"/>
                    </w:rPr>
                    <w:t>4</w:t>
                  </w:r>
                </w:p>
              </w:txbxContent>
            </v:textbox>
          </v:shape>
        </w:pict>
      </w:r>
      <w:r>
        <w:rPr>
          <w:rFonts w:ascii="Century Gothic" w:hAnsi="Century Gothic"/>
          <w:noProof/>
          <w:szCs w:val="20"/>
        </w:rPr>
        <w:pict w14:anchorId="69CCC3FE">
          <v:shape id="_x0000_s1098" type="#_x0000_t202" style="position:absolute;left:0;text-align:left;margin-left:-26.55pt;margin-top:322.5pt;width:31.95pt;height:45.2pt;z-index:251658257;mso-position-horizontal-relative:text;mso-position-vertical-relative:text" filled="f" stroked="f">
            <v:textbox style="mso-next-textbox:#_x0000_s1098">
              <w:txbxContent>
                <w:p w14:paraId="69CCC42E" w14:textId="77777777" w:rsidR="004B4957" w:rsidRPr="00D84BA2" w:rsidRDefault="004B4957" w:rsidP="0070583F">
                  <w:pPr>
                    <w:pStyle w:val="BodyTextNumbering"/>
                    <w:keepNext/>
                    <w:spacing w:after="120"/>
                    <w:rPr>
                      <w:rFonts w:ascii="Century Gothic" w:hAnsi="Century Gothic"/>
                      <w:b/>
                      <w:sz w:val="32"/>
                    </w:rPr>
                  </w:pPr>
                  <w:r>
                    <w:rPr>
                      <w:rFonts w:ascii="Century Gothic" w:hAnsi="Century Gothic"/>
                      <w:b/>
                      <w:sz w:val="32"/>
                    </w:rPr>
                    <w:t>3</w:t>
                  </w:r>
                </w:p>
              </w:txbxContent>
            </v:textbox>
          </v:shape>
        </w:pict>
      </w:r>
      <w:r>
        <w:rPr>
          <w:rFonts w:ascii="Century Gothic" w:hAnsi="Century Gothic"/>
          <w:noProof/>
          <w:szCs w:val="20"/>
        </w:rPr>
        <w:pict w14:anchorId="69CCC3FF">
          <v:shape id="_x0000_s1091" type="#_x0000_t202" style="position:absolute;left:0;text-align:left;margin-left:-27.5pt;margin-top:245.05pt;width:31.95pt;height:45.2pt;z-index:251658251;mso-position-horizontal-relative:text;mso-position-vertical-relative:text" filled="f" stroked="f">
            <v:textbox style="mso-next-textbox:#_x0000_s1091">
              <w:txbxContent>
                <w:p w14:paraId="69CCC42F" w14:textId="77777777" w:rsidR="004B4957" w:rsidRPr="00D84BA2" w:rsidRDefault="004B4957" w:rsidP="00D84BA2">
                  <w:pPr>
                    <w:pStyle w:val="BodyTextNumbering"/>
                    <w:keepNext/>
                    <w:spacing w:after="120"/>
                    <w:rPr>
                      <w:rFonts w:ascii="Century Gothic" w:hAnsi="Century Gothic"/>
                      <w:b/>
                      <w:sz w:val="32"/>
                    </w:rPr>
                  </w:pPr>
                  <w:r>
                    <w:rPr>
                      <w:rFonts w:ascii="Century Gothic" w:hAnsi="Century Gothic"/>
                      <w:b/>
                      <w:sz w:val="32"/>
                    </w:rPr>
                    <w:t>2</w:t>
                  </w:r>
                </w:p>
              </w:txbxContent>
            </v:textbox>
          </v:shape>
        </w:pict>
      </w:r>
      <w:r>
        <w:rPr>
          <w:rFonts w:ascii="Century Gothic" w:hAnsi="Century Gothic"/>
          <w:noProof/>
          <w:szCs w:val="20"/>
        </w:rPr>
        <w:pict w14:anchorId="69CCC400">
          <v:shape id="_x0000_s1085" type="#_x0000_t202" style="position:absolute;left:0;text-align:left;margin-left:-27pt;margin-top:.85pt;width:31.95pt;height:45.2pt;z-index:251658247;mso-position-horizontal-relative:text;mso-position-vertical-relative:text" filled="f" stroked="f">
            <v:textbox style="mso-next-textbox:#_x0000_s1085">
              <w:txbxContent>
                <w:p w14:paraId="69CCC430" w14:textId="77777777" w:rsidR="004B4957" w:rsidRPr="00D84BA2" w:rsidRDefault="004B4957" w:rsidP="00CC128D">
                  <w:pPr>
                    <w:pStyle w:val="BodyTextNumbering"/>
                    <w:keepNext/>
                    <w:spacing w:after="120"/>
                    <w:rPr>
                      <w:rFonts w:ascii="Century Gothic" w:hAnsi="Century Gothic"/>
                      <w:b/>
                      <w:sz w:val="32"/>
                    </w:rPr>
                  </w:pPr>
                  <w:r w:rsidRPr="00D84BA2">
                    <w:rPr>
                      <w:rFonts w:ascii="Century Gothic" w:hAnsi="Century Gothic"/>
                      <w:b/>
                      <w:sz w:val="32"/>
                    </w:rPr>
                    <w:t>1</w:t>
                  </w:r>
                </w:p>
              </w:txbxContent>
            </v:textbox>
          </v:shape>
        </w:pict>
      </w:r>
      <w:r>
        <w:rPr>
          <w:rFonts w:ascii="Century Gothic" w:hAnsi="Century Gothic"/>
          <w:noProof/>
          <w:szCs w:val="20"/>
        </w:rPr>
        <w:pict w14:anchorId="69CCC401">
          <v:roundrect id="_x0000_s1097" style="position:absolute;left:0;text-align:left;margin-left:-2.35pt;margin-top:322.5pt;width:326.5pt;height:45.2pt;z-index:251658256;mso-position-horizontal-relative:text;mso-position-vertical-relative:text" arcsize="10923f" strokecolor="white" strokeweight="2pt">
            <v:textbox style="mso-next-textbox:#_x0000_s1097">
              <w:txbxContent>
                <w:p w14:paraId="69CCC431" w14:textId="77777777" w:rsidR="004B4957" w:rsidRPr="0070583F" w:rsidRDefault="004B4957" w:rsidP="004B68FA">
                  <w:pPr>
                    <w:spacing w:line="240" w:lineRule="auto"/>
                    <w:rPr>
                      <w:rFonts w:ascii="Century Gothic" w:hAnsi="Century Gothic"/>
                      <w:sz w:val="17"/>
                      <w:szCs w:val="17"/>
                    </w:rPr>
                  </w:pPr>
                  <w:r w:rsidRPr="0070583F">
                    <w:rPr>
                      <w:rFonts w:ascii="Century Gothic" w:hAnsi="Century Gothic"/>
                      <w:b/>
                      <w:sz w:val="17"/>
                      <w:szCs w:val="17"/>
                    </w:rPr>
                    <w:t>Examine the cause and effect of planning, program or project-specific impact contributions</w:t>
                  </w:r>
                  <w:r>
                    <w:rPr>
                      <w:rFonts w:ascii="Century Gothic" w:hAnsi="Century Gothic"/>
                      <w:b/>
                      <w:sz w:val="17"/>
                      <w:szCs w:val="17"/>
                    </w:rPr>
                    <w:t xml:space="preserve">.  </w:t>
                  </w:r>
                  <w:r w:rsidRPr="0070583F">
                    <w:rPr>
                      <w:rFonts w:ascii="Century Gothic" w:hAnsi="Century Gothic"/>
                      <w:sz w:val="17"/>
                      <w:szCs w:val="17"/>
                    </w:rPr>
                    <w:t>A range of tools is available to understand cause and effect relationships, for different levels of complexity.</w:t>
                  </w:r>
                </w:p>
              </w:txbxContent>
            </v:textbox>
          </v:roundrect>
        </w:pict>
      </w:r>
      <w:r>
        <w:rPr>
          <w:rFonts w:ascii="Century Gothic" w:hAnsi="Century Gothic"/>
          <w:noProof/>
          <w:szCs w:val="20"/>
        </w:rPr>
        <w:pict w14:anchorId="69CCC402">
          <v:roundrect id="_x0000_s1099" style="position:absolute;left:0;text-align:left;margin-left:324.15pt;margin-top:320.1pt;width:208.1pt;height:47pt;z-index:251658258;mso-position-horizontal-relative:text;mso-position-vertical-relative:text" arcsize="10923f" filled="f" strokecolor="white" strokeweight="2pt">
            <v:textbox style="mso-next-textbox:#_x0000_s1099">
              <w:txbxContent>
                <w:p w14:paraId="69CCC432" w14:textId="6C89E951" w:rsidR="004B4957" w:rsidRPr="00FF1707" w:rsidRDefault="004B4957" w:rsidP="004B68FA">
                  <w:pPr>
                    <w:spacing w:line="240" w:lineRule="auto"/>
                    <w:rPr>
                      <w:rFonts w:ascii="Century Gothic" w:hAnsi="Century Gothic"/>
                      <w:sz w:val="17"/>
                      <w:szCs w:val="17"/>
                    </w:rPr>
                  </w:pPr>
                  <w:r w:rsidRPr="00C56E07">
                    <w:rPr>
                      <w:rFonts w:ascii="Century Gothic" w:hAnsi="Century Gothic"/>
                      <w:sz w:val="17"/>
                      <w:szCs w:val="17"/>
                    </w:rPr>
                    <w:t>Refer to Table 2.1 of the Strategic Assessm</w:t>
                  </w:r>
                  <w:r>
                    <w:rPr>
                      <w:rFonts w:ascii="Century Gothic" w:hAnsi="Century Gothic"/>
                      <w:sz w:val="17"/>
                      <w:szCs w:val="17"/>
                    </w:rPr>
                    <w:t>ent for a list of tools to help</w:t>
                  </w:r>
                  <w:r w:rsidRPr="00C56E07">
                    <w:rPr>
                      <w:rFonts w:ascii="Century Gothic" w:hAnsi="Century Gothic"/>
                      <w:sz w:val="17"/>
                      <w:szCs w:val="17"/>
                    </w:rPr>
                    <w:t xml:space="preserve"> identify and </w:t>
                  </w:r>
                  <w:r>
                    <w:rPr>
                      <w:rFonts w:ascii="Century Gothic" w:hAnsi="Century Gothic"/>
                      <w:sz w:val="17"/>
                      <w:szCs w:val="17"/>
                    </w:rPr>
                    <w:t>u</w:t>
                  </w:r>
                  <w:r w:rsidRPr="00C56E07">
                    <w:rPr>
                      <w:rFonts w:ascii="Century Gothic" w:hAnsi="Century Gothic"/>
                      <w:sz w:val="17"/>
                      <w:szCs w:val="17"/>
                    </w:rPr>
                    <w:t>nderstand cause and effect relationships.</w:t>
                  </w:r>
                </w:p>
              </w:txbxContent>
            </v:textbox>
          </v:roundrect>
        </w:pict>
      </w:r>
      <w:r>
        <w:rPr>
          <w:rFonts w:ascii="Century Gothic" w:hAnsi="Century Gothic"/>
          <w:noProof/>
          <w:szCs w:val="20"/>
        </w:rPr>
        <w:pict w14:anchorId="69CCC403">
          <v:roundrect id="_x0000_s1094" style="position:absolute;left:0;text-align:left;margin-left:298.45pt;margin-top:227.35pt;width:233.7pt;height:79.5pt;z-index:251658254;mso-position-horizontal-relative:text;mso-position-vertical-relative:text" arcsize="10923f" filled="f" strokecolor="white" strokeweight="2pt">
            <v:textbox style="mso-next-textbox:#_x0000_s1094">
              <w:txbxContent>
                <w:p w14:paraId="69CCC433" w14:textId="17D1267E" w:rsidR="004B4957" w:rsidRPr="00FF1707" w:rsidRDefault="004B4957" w:rsidP="004B68FA">
                  <w:pPr>
                    <w:spacing w:line="240" w:lineRule="auto"/>
                    <w:rPr>
                      <w:rFonts w:ascii="Century Gothic" w:hAnsi="Century Gothic"/>
                      <w:sz w:val="17"/>
                      <w:szCs w:val="17"/>
                    </w:rPr>
                  </w:pPr>
                  <w:r w:rsidRPr="008B32E1">
                    <w:rPr>
                      <w:rFonts w:ascii="Century Gothic" w:hAnsi="Century Gothic"/>
                      <w:sz w:val="17"/>
                      <w:szCs w:val="17"/>
                    </w:rPr>
                    <w:t>Refer</w:t>
                  </w:r>
                  <w:r>
                    <w:rPr>
                      <w:rFonts w:ascii="Century Gothic" w:hAnsi="Century Gothic"/>
                      <w:sz w:val="17"/>
                      <w:szCs w:val="17"/>
                    </w:rPr>
                    <w:t xml:space="preserve"> to the Strategic Assessment</w:t>
                  </w:r>
                  <w:r w:rsidRPr="008B32E1">
                    <w:rPr>
                      <w:rFonts w:ascii="Century Gothic" w:hAnsi="Century Gothic"/>
                      <w:sz w:val="17"/>
                      <w:szCs w:val="17"/>
                    </w:rPr>
                    <w:t xml:space="preserve">; the Outlook Report, which assesses the condition and trend of the Reef’s values every five years; and the Reef 2050 Integrated Monitoring and Reporting Program, which provides the latest condition and trend </w:t>
                  </w:r>
                  <w:r>
                    <w:rPr>
                      <w:rFonts w:ascii="Century Gothic" w:hAnsi="Century Gothic"/>
                      <w:sz w:val="17"/>
                      <w:szCs w:val="17"/>
                    </w:rPr>
                    <w:t>data</w:t>
                  </w:r>
                  <w:r w:rsidRPr="008B32E1">
                    <w:rPr>
                      <w:rFonts w:ascii="Century Gothic" w:hAnsi="Century Gothic"/>
                      <w:sz w:val="17"/>
                      <w:szCs w:val="17"/>
                    </w:rPr>
                    <w:t>.</w:t>
                  </w:r>
                </w:p>
              </w:txbxContent>
            </v:textbox>
          </v:roundrect>
        </w:pict>
      </w:r>
      <w:r>
        <w:rPr>
          <w:rFonts w:ascii="Century Gothic" w:hAnsi="Century Gothic"/>
          <w:noProof/>
          <w:szCs w:val="20"/>
        </w:rPr>
        <w:pict w14:anchorId="69CCC404">
          <v:roundrect id="_x0000_s1088" style="position:absolute;left:0;text-align:left;margin-left:-2.35pt;margin-top:229.75pt;width:300.7pt;height:77.35pt;z-index:251658250;mso-position-horizontal-relative:text;mso-position-vertical-relative:text" arcsize="10923f" strokecolor="white" strokeweight="2pt">
            <v:textbox style="mso-next-textbox:#_x0000_s1088">
              <w:txbxContent>
                <w:p w14:paraId="69CCC434" w14:textId="77777777" w:rsidR="004B4957" w:rsidRPr="00FF1707" w:rsidRDefault="004B4957" w:rsidP="004B68FA">
                  <w:pPr>
                    <w:spacing w:line="240" w:lineRule="auto"/>
                    <w:rPr>
                      <w:rFonts w:ascii="Century Gothic" w:hAnsi="Century Gothic"/>
                      <w:sz w:val="17"/>
                      <w:szCs w:val="17"/>
                    </w:rPr>
                  </w:pPr>
                  <w:r w:rsidRPr="00FF1707">
                    <w:rPr>
                      <w:rFonts w:ascii="Century Gothic" w:hAnsi="Century Gothic"/>
                      <w:b/>
                      <w:sz w:val="17"/>
                      <w:szCs w:val="17"/>
                    </w:rPr>
                    <w:t>Establish the current condition of affected values, and their desired state</w:t>
                  </w:r>
                  <w:r>
                    <w:rPr>
                      <w:rFonts w:ascii="Century Gothic" w:hAnsi="Century Gothic"/>
                      <w:b/>
                      <w:sz w:val="17"/>
                      <w:szCs w:val="17"/>
                    </w:rPr>
                    <w:t xml:space="preserve">.  </w:t>
                  </w:r>
                  <w:r w:rsidRPr="006163CC">
                    <w:rPr>
                      <w:rFonts w:ascii="Century Gothic" w:hAnsi="Century Gothic"/>
                      <w:sz w:val="17"/>
                      <w:szCs w:val="17"/>
                    </w:rPr>
                    <w:t>T</w:t>
                  </w:r>
                  <w:r w:rsidRPr="00FF1707">
                    <w:rPr>
                      <w:rFonts w:ascii="Century Gothic" w:hAnsi="Century Gothic"/>
                      <w:sz w:val="17"/>
                      <w:szCs w:val="17"/>
                    </w:rPr>
                    <w:t>he Outlook Report provides a cumulative impact assessment of values at a whole-of-Reef scale. Individual cumulative impact assessments should determine where current condition of affected values within the zone of influence (see Step 1) d</w:t>
                  </w:r>
                  <w:r>
                    <w:rPr>
                      <w:rFonts w:ascii="Century Gothic" w:hAnsi="Century Gothic"/>
                      <w:sz w:val="17"/>
                      <w:szCs w:val="17"/>
                    </w:rPr>
                    <w:t>iffers from the Outlook Report.</w:t>
                  </w:r>
                </w:p>
              </w:txbxContent>
            </v:textbox>
          </v:roundrect>
        </w:pict>
      </w:r>
      <w:r>
        <w:rPr>
          <w:rFonts w:ascii="Century Gothic" w:hAnsi="Century Gothic"/>
          <w:noProof/>
          <w:szCs w:val="20"/>
        </w:rPr>
        <w:pict w14:anchorId="69CCC405">
          <v:group id="_x0000_s1117" style="position:absolute;left:0;text-align:left;margin-left:-27.85pt;margin-top:67.45pt;width:62.8pt;height:132.85pt;z-index:251658255" coordorigin="294,2319" coordsize="1256,2657">
            <v:shape id="_x0000_s1089" type="#_x0000_t202" style="position:absolute;left:789;top:2319;width:759;height:904" filled="f" stroked="f">
              <v:textbox style="mso-next-textbox:#_x0000_s1089">
                <w:txbxContent>
                  <w:p w14:paraId="69CCC435" w14:textId="77777777" w:rsidR="004B4957" w:rsidRPr="00D84BA2" w:rsidRDefault="004B4957" w:rsidP="00D84BA2">
                    <w:pPr>
                      <w:pStyle w:val="BodyTextNumbering"/>
                      <w:keepNext/>
                      <w:spacing w:after="120"/>
                      <w:rPr>
                        <w:rFonts w:ascii="Century Gothic" w:hAnsi="Century Gothic"/>
                        <w:b/>
                        <w:sz w:val="32"/>
                      </w:rPr>
                    </w:pPr>
                    <w:r w:rsidRPr="00D84BA2">
                      <w:rPr>
                        <w:rFonts w:ascii="Century Gothic" w:hAnsi="Century Gothic"/>
                        <w:b/>
                        <w:sz w:val="32"/>
                      </w:rPr>
                      <w:t>1</w:t>
                    </w:r>
                    <w:r>
                      <w:rPr>
                        <w:rFonts w:ascii="Century Gothic" w:hAnsi="Century Gothic"/>
                        <w:b/>
                        <w:sz w:val="32"/>
                      </w:rPr>
                      <w:t>a</w:t>
                    </w:r>
                  </w:p>
                </w:txbxContent>
              </v:textbox>
            </v:shape>
            <v:shape id="_x0000_s1090" type="#_x0000_t202" style="position:absolute;left:791;top:4072;width:759;height:904" filled="f" stroked="f">
              <v:textbox style="mso-next-textbox:#_x0000_s1090">
                <w:txbxContent>
                  <w:p w14:paraId="69CCC436" w14:textId="77777777" w:rsidR="004B4957" w:rsidRPr="00D84BA2" w:rsidRDefault="004B4957" w:rsidP="00D84BA2">
                    <w:pPr>
                      <w:pStyle w:val="BodyTextNumbering"/>
                      <w:keepNext/>
                      <w:spacing w:after="120"/>
                      <w:rPr>
                        <w:rFonts w:ascii="Century Gothic" w:hAnsi="Century Gothic"/>
                        <w:b/>
                        <w:sz w:val="32"/>
                      </w:rPr>
                    </w:pPr>
                    <w:r w:rsidRPr="00D84BA2">
                      <w:rPr>
                        <w:rFonts w:ascii="Century Gothic" w:hAnsi="Century Gothic"/>
                        <w:b/>
                        <w:sz w:val="32"/>
                      </w:rPr>
                      <w:t>1</w:t>
                    </w:r>
                    <w:r>
                      <w:rPr>
                        <w:rFonts w:ascii="Century Gothic" w:hAnsi="Century Gothic"/>
                        <w:b/>
                        <w:sz w:val="32"/>
                      </w:rPr>
                      <w:t>b</w:t>
                    </w:r>
                  </w:p>
                </w:txbxContent>
              </v:textbox>
            </v:shape>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95" type="#_x0000_t99" style="position:absolute;left:107;top:3055;width:1544;height:1170;rotation:270" adj="-11276435,-1081103,8842" stroked="f">
              <o:lock v:ext="edit" aspectratio="t"/>
            </v:shape>
            <v:roundrect id="_x0000_s1096" style="position:absolute;left:491;top:3359;width:1057;height:645" arcsize="10923f" filled="f" stroked="f" strokecolor="white" strokeweight="2pt">
              <v:textbox style="mso-next-textbox:#_x0000_s1096">
                <w:txbxContent>
                  <w:p w14:paraId="69CCC437" w14:textId="77777777" w:rsidR="004B4957" w:rsidRPr="00FF1707" w:rsidRDefault="004B4957" w:rsidP="008B32E1">
                    <w:pPr>
                      <w:rPr>
                        <w:rFonts w:ascii="Century Gothic" w:hAnsi="Century Gothic"/>
                        <w:sz w:val="17"/>
                        <w:szCs w:val="17"/>
                      </w:rPr>
                    </w:pPr>
                    <w:r>
                      <w:rPr>
                        <w:rFonts w:ascii="Century Gothic" w:hAnsi="Century Gothic"/>
                        <w:sz w:val="17"/>
                        <w:szCs w:val="17"/>
                      </w:rPr>
                      <w:t>repeat if needed</w:t>
                    </w:r>
                  </w:p>
                </w:txbxContent>
              </v:textbox>
            </v:roundrect>
          </v:group>
        </w:pict>
      </w:r>
      <w:r>
        <w:rPr>
          <w:rFonts w:ascii="Century Gothic" w:hAnsi="Century Gothic"/>
          <w:noProof/>
          <w:szCs w:val="20"/>
        </w:rPr>
        <w:pict w14:anchorId="69CCC406">
          <v:roundrect id="_x0000_s1087" style="position:absolute;left:0;text-align:left;margin-left:34.95pt;margin-top:145.75pt;width:332.75pt;height:67.75pt;z-index:251658249;mso-position-horizontal-relative:text;mso-position-vertical-relative:text" arcsize="10923f" strokecolor="white" strokeweight="2pt">
            <v:textbox style="mso-next-textbox:#_x0000_s1087">
              <w:txbxContent>
                <w:p w14:paraId="69CCC438" w14:textId="77777777" w:rsidR="004B4957" w:rsidRPr="00FF1707" w:rsidRDefault="004B4957" w:rsidP="004B68FA">
                  <w:pPr>
                    <w:spacing w:line="240" w:lineRule="auto"/>
                    <w:rPr>
                      <w:rFonts w:ascii="Century Gothic" w:hAnsi="Century Gothic"/>
                      <w:sz w:val="17"/>
                      <w:szCs w:val="17"/>
                    </w:rPr>
                  </w:pPr>
                  <w:r w:rsidRPr="00FF1707">
                    <w:rPr>
                      <w:rFonts w:ascii="Century Gothic" w:hAnsi="Century Gothic"/>
                      <w:b/>
                      <w:sz w:val="17"/>
                      <w:szCs w:val="17"/>
                    </w:rPr>
                    <w:t>Identify affected values, the space and time scale at which they occur, and consider connectivity between values</w:t>
                  </w:r>
                  <w:r>
                    <w:rPr>
                      <w:rFonts w:ascii="Century Gothic" w:hAnsi="Century Gothic"/>
                      <w:b/>
                      <w:sz w:val="17"/>
                      <w:szCs w:val="17"/>
                    </w:rPr>
                    <w:t xml:space="preserve">.  </w:t>
                  </w:r>
                  <w:r w:rsidRPr="00FF1707">
                    <w:rPr>
                      <w:rFonts w:ascii="Century Gothic" w:hAnsi="Century Gothic"/>
                      <w:sz w:val="17"/>
                      <w:szCs w:val="17"/>
                    </w:rPr>
                    <w:t>Temporal connections may occur over short periods, over seasons or in cycles (for example, many species migrate as part of their life history). Spatial connections may occur between values and/or across local, regional or Reef-wide scales.</w:t>
                  </w:r>
                </w:p>
              </w:txbxContent>
            </v:textbox>
          </v:roundrect>
        </w:pict>
      </w:r>
      <w:r>
        <w:rPr>
          <w:rFonts w:ascii="Century Gothic" w:hAnsi="Century Gothic"/>
          <w:noProof/>
          <w:szCs w:val="20"/>
        </w:rPr>
        <w:pict w14:anchorId="69CCC407">
          <v:roundrect id="_x0000_s1093" style="position:absolute;left:0;text-align:left;margin-left:367.7pt;margin-top:145.75pt;width:164.45pt;height:67.85pt;z-index:251658253;mso-position-horizontal-relative:text;mso-position-vertical-relative:text" arcsize="10923f" filled="f" strokecolor="white" strokeweight="2pt">
            <v:textbox style="mso-next-textbox:#_x0000_s1093">
              <w:txbxContent>
                <w:p w14:paraId="69CCC439" w14:textId="77777777" w:rsidR="004B4957" w:rsidRPr="00FF1707" w:rsidRDefault="004B4957" w:rsidP="004B68FA">
                  <w:pPr>
                    <w:spacing w:line="240" w:lineRule="auto"/>
                    <w:rPr>
                      <w:rFonts w:ascii="Century Gothic" w:hAnsi="Century Gothic"/>
                      <w:sz w:val="17"/>
                      <w:szCs w:val="17"/>
                    </w:rPr>
                  </w:pPr>
                  <w:r w:rsidRPr="00FF1707">
                    <w:rPr>
                      <w:rFonts w:ascii="Century Gothic" w:hAnsi="Century Gothic"/>
                      <w:sz w:val="17"/>
                      <w:szCs w:val="17"/>
                    </w:rPr>
                    <w:t>Use Attachment 3 to identify the values that may be affected by the decision.</w:t>
                  </w:r>
                  <w:r>
                    <w:rPr>
                      <w:rFonts w:ascii="Century Gothic" w:hAnsi="Century Gothic"/>
                      <w:sz w:val="17"/>
                      <w:szCs w:val="17"/>
                    </w:rPr>
                    <w:t xml:space="preserve">  </w:t>
                  </w:r>
                  <w:r w:rsidRPr="00FF1707">
                    <w:rPr>
                      <w:rFonts w:ascii="Century Gothic" w:hAnsi="Century Gothic"/>
                      <w:sz w:val="17"/>
                      <w:szCs w:val="17"/>
                    </w:rPr>
                    <w:t>Refer to the Strategic Assessment and Outlook Report for information.</w:t>
                  </w:r>
                </w:p>
              </w:txbxContent>
            </v:textbox>
          </v:roundrect>
        </w:pict>
      </w:r>
      <w:r>
        <w:rPr>
          <w:rFonts w:ascii="Century Gothic" w:hAnsi="Century Gothic"/>
          <w:noProof/>
          <w:szCs w:val="20"/>
        </w:rPr>
        <w:pict w14:anchorId="69CCC408">
          <v:roundrect id="_x0000_s1086" style="position:absolute;left:0;text-align:left;margin-left:33.25pt;margin-top:64.9pt;width:286.6pt;height:65pt;z-index:251658248;mso-position-horizontal-relative:text;mso-position-vertical-relative:text" arcsize="10923f" strokecolor="white" strokeweight="2pt">
            <v:textbox style="mso-next-textbox:#_x0000_s1086">
              <w:txbxContent>
                <w:p w14:paraId="69CCC43A" w14:textId="77777777" w:rsidR="004B4957" w:rsidRPr="00FF1707" w:rsidRDefault="004B4957" w:rsidP="004B68FA">
                  <w:pPr>
                    <w:spacing w:line="240" w:lineRule="auto"/>
                    <w:rPr>
                      <w:rFonts w:ascii="Century Gothic" w:hAnsi="Century Gothic"/>
                      <w:sz w:val="17"/>
                      <w:szCs w:val="17"/>
                    </w:rPr>
                  </w:pPr>
                  <w:r w:rsidRPr="00FF1707">
                    <w:rPr>
                      <w:rFonts w:ascii="Century Gothic" w:hAnsi="Century Gothic"/>
                      <w:b/>
                      <w:sz w:val="17"/>
                      <w:szCs w:val="17"/>
                    </w:rPr>
                    <w:t>Identify the relevant drivers, pressures and impacts; the space and time scale at which they occur; and any planning or project-specific contributions</w:t>
                  </w:r>
                  <w:r>
                    <w:rPr>
                      <w:rFonts w:ascii="Century Gothic" w:hAnsi="Century Gothic"/>
                      <w:b/>
                      <w:sz w:val="17"/>
                      <w:szCs w:val="17"/>
                    </w:rPr>
                    <w:t xml:space="preserve">.  </w:t>
                  </w:r>
                  <w:r w:rsidRPr="00FF1707">
                    <w:rPr>
                      <w:rFonts w:ascii="Century Gothic" w:hAnsi="Century Gothic"/>
                      <w:sz w:val="17"/>
                      <w:szCs w:val="17"/>
                    </w:rPr>
                    <w:t>Identify any other current and/or reasonably foreseeable plans or projects and their contributions</w:t>
                  </w:r>
                  <w:r>
                    <w:rPr>
                      <w:rFonts w:ascii="Century Gothic" w:hAnsi="Century Gothic"/>
                      <w:sz w:val="17"/>
                      <w:szCs w:val="17"/>
                    </w:rPr>
                    <w:t>.</w:t>
                  </w:r>
                </w:p>
              </w:txbxContent>
            </v:textbox>
          </v:roundrect>
        </w:pict>
      </w:r>
      <w:r>
        <w:rPr>
          <w:rFonts w:ascii="Century Gothic" w:hAnsi="Century Gothic"/>
          <w:noProof/>
          <w:szCs w:val="20"/>
        </w:rPr>
        <w:pict w14:anchorId="69CCC409">
          <v:roundrect id="_x0000_s1092" style="position:absolute;left:0;text-align:left;margin-left:319.85pt;margin-top:64.9pt;width:212.2pt;height:65pt;z-index:251658252;mso-position-horizontal-relative:text;mso-position-vertical-relative:text" arcsize="10923f" filled="f" strokecolor="white" strokeweight="2pt">
            <v:textbox style="mso-next-textbox:#_x0000_s1092">
              <w:txbxContent>
                <w:p w14:paraId="69CCC43B" w14:textId="77777777" w:rsidR="004B4957" w:rsidRPr="00FF1707" w:rsidRDefault="004B4957" w:rsidP="004B68FA">
                  <w:pPr>
                    <w:spacing w:line="240" w:lineRule="auto"/>
                    <w:rPr>
                      <w:rFonts w:ascii="Century Gothic" w:hAnsi="Century Gothic"/>
                      <w:sz w:val="17"/>
                      <w:szCs w:val="17"/>
                    </w:rPr>
                  </w:pPr>
                  <w:r w:rsidRPr="00FF1707">
                    <w:rPr>
                      <w:rFonts w:ascii="Century Gothic" w:hAnsi="Century Gothic"/>
                      <w:sz w:val="17"/>
                      <w:szCs w:val="17"/>
                    </w:rPr>
                    <w:t xml:space="preserve">Use Attachments 1 &amp; 3 to identify drivers and pressures affecting values and leading to cumulative impacts. </w:t>
                  </w:r>
                  <w:r>
                    <w:rPr>
                      <w:rFonts w:ascii="Century Gothic" w:hAnsi="Century Gothic"/>
                      <w:sz w:val="17"/>
                      <w:szCs w:val="17"/>
                    </w:rPr>
                    <w:t xml:space="preserve"> </w:t>
                  </w:r>
                  <w:r w:rsidRPr="00FF1707">
                    <w:rPr>
                      <w:rFonts w:ascii="Century Gothic" w:hAnsi="Century Gothic"/>
                      <w:sz w:val="17"/>
                      <w:szCs w:val="17"/>
                    </w:rPr>
                    <w:t>Refer to the Great Barrier Reef Region Strategic Assessment and Great Barrier Reef Outlook Report.</w:t>
                  </w:r>
                </w:p>
              </w:txbxContent>
            </v:textbox>
          </v:roundrect>
        </w:pict>
      </w:r>
      <w:r>
        <w:rPr>
          <w:rFonts w:ascii="Century Gothic" w:hAnsi="Century Gothic"/>
          <w:noProof/>
          <w:szCs w:val="20"/>
        </w:rPr>
        <w:pict w14:anchorId="69CCC40B">
          <v:roundrect id="_x0000_s1084" style="position:absolute;left:0;text-align:left;margin-left:-2.35pt;margin-top:2.55pt;width:534.6pt;height:45.2pt;z-index:251658246;mso-position-horizontal-relative:text;mso-position-vertical-relative:text" arcsize="10923f" strokecolor="white" strokeweight="2pt">
            <v:textbox style="mso-next-textbox:#_x0000_s1084">
              <w:txbxContent>
                <w:p w14:paraId="69CCC43C" w14:textId="77777777" w:rsidR="004B4957" w:rsidRPr="00FF1707" w:rsidRDefault="004B4957" w:rsidP="004B68FA">
                  <w:pPr>
                    <w:spacing w:line="240" w:lineRule="auto"/>
                    <w:rPr>
                      <w:rFonts w:ascii="Century Gothic" w:hAnsi="Century Gothic"/>
                      <w:sz w:val="17"/>
                      <w:szCs w:val="17"/>
                    </w:rPr>
                  </w:pPr>
                  <w:r w:rsidRPr="00FF1707">
                    <w:rPr>
                      <w:rFonts w:ascii="Century Gothic" w:hAnsi="Century Gothic"/>
                      <w:b/>
                      <w:sz w:val="17"/>
                      <w:szCs w:val="17"/>
                    </w:rPr>
                    <w:t>Determine the program, plan or project area boundaries based on an understanding of likely direct, indirect and consequential impacts of the decision</w:t>
                  </w:r>
                  <w:r>
                    <w:rPr>
                      <w:rFonts w:ascii="Century Gothic" w:hAnsi="Century Gothic"/>
                      <w:b/>
                      <w:sz w:val="17"/>
                      <w:szCs w:val="17"/>
                    </w:rPr>
                    <w:t xml:space="preserve">.  </w:t>
                  </w:r>
                  <w:r w:rsidRPr="00FF1707">
                    <w:rPr>
                      <w:rFonts w:ascii="Century Gothic" w:hAnsi="Century Gothic"/>
                      <w:sz w:val="17"/>
                      <w:szCs w:val="17"/>
                    </w:rPr>
                    <w:t>The boundary area should be refined to align with the space and time boundaries (zone of influence) of relevant drivers, pressures, impacts, and affected values.</w:t>
                  </w:r>
                </w:p>
              </w:txbxContent>
            </v:textbox>
          </v:roundrect>
        </w:pict>
      </w:r>
      <w:r w:rsidR="00FE0510">
        <w:rPr>
          <w:rFonts w:ascii="Century Gothic" w:hAnsi="Century Gothic"/>
          <w:szCs w:val="20"/>
        </w:rPr>
        <w:br w:type="page"/>
      </w:r>
    </w:p>
    <w:p w14:paraId="69CCBBEC" w14:textId="77777777" w:rsidR="001E6CAB" w:rsidRPr="000A4D14" w:rsidRDefault="001E6CAB" w:rsidP="000A4D14">
      <w:pPr>
        <w:pStyle w:val="Heading2"/>
        <w:keepNext/>
        <w:tabs>
          <w:tab w:val="left" w:pos="9498"/>
        </w:tabs>
        <w:spacing w:before="240" w:after="120"/>
        <w:rPr>
          <w:rFonts w:ascii="Century Gothic" w:hAnsi="Century Gothic"/>
          <w:b/>
          <w:szCs w:val="20"/>
        </w:rPr>
      </w:pPr>
      <w:bookmarkStart w:id="10" w:name="_Toc482002025"/>
      <w:r w:rsidRPr="000A4D14">
        <w:rPr>
          <w:rFonts w:ascii="Century Gothic" w:hAnsi="Century Gothic"/>
          <w:b/>
          <w:szCs w:val="20"/>
        </w:rPr>
        <w:t>Implementation</w:t>
      </w:r>
      <w:bookmarkEnd w:id="10"/>
      <w:r w:rsidRPr="000A4D14">
        <w:rPr>
          <w:rFonts w:ascii="Century Gothic" w:hAnsi="Century Gothic"/>
          <w:b/>
          <w:szCs w:val="20"/>
        </w:rPr>
        <w:tab/>
      </w:r>
    </w:p>
    <w:p w14:paraId="69CCBBED"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 xml:space="preserve">Implementation will be staged, recognising the need to develop specific guidance for relevant agencies and sectors. </w:t>
      </w:r>
    </w:p>
    <w:p w14:paraId="69CCBBEE"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 xml:space="preserve">Cumulative impacts will be considered to the extent permissible under legislation with respect to planning, assessment and approval processes operating within and adjacent to the Great Barrier Reef. </w:t>
      </w:r>
    </w:p>
    <w:p w14:paraId="69CCBBEF"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The assessment of cumulative impacts is not required for individual decisions where the cumulative impacts have been considered in plans, governing arrangements or class assessments, and decisions are consistent with these plans or arrangements.</w:t>
      </w:r>
    </w:p>
    <w:p w14:paraId="69CCBBF0" w14:textId="77777777" w:rsidR="001E6CAB" w:rsidRPr="00BC4666" w:rsidRDefault="001E6CAB" w:rsidP="00BC4666">
      <w:pPr>
        <w:pStyle w:val="Heading2"/>
        <w:keepNext/>
        <w:tabs>
          <w:tab w:val="left" w:pos="9498"/>
        </w:tabs>
        <w:spacing w:before="240" w:after="120"/>
        <w:rPr>
          <w:rFonts w:ascii="Century Gothic" w:hAnsi="Century Gothic"/>
          <w:b/>
          <w:szCs w:val="20"/>
        </w:rPr>
      </w:pPr>
      <w:bookmarkStart w:id="11" w:name="_Toc482002026"/>
      <w:r w:rsidRPr="00BC4666">
        <w:rPr>
          <w:rFonts w:ascii="Century Gothic" w:hAnsi="Century Gothic"/>
          <w:b/>
          <w:szCs w:val="20"/>
        </w:rPr>
        <w:t>Review and evaluation</w:t>
      </w:r>
      <w:bookmarkEnd w:id="11"/>
      <w:r w:rsidRPr="00BC4666">
        <w:rPr>
          <w:rFonts w:ascii="Century Gothic" w:hAnsi="Century Gothic"/>
          <w:b/>
          <w:szCs w:val="20"/>
        </w:rPr>
        <w:tab/>
      </w:r>
    </w:p>
    <w:p w14:paraId="69CCBBF1"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The effectiveness of this policy will be reviewed and evaluated in line with the assessment of risks to the Reef’s values through the five yearly Outlook Report. Effective management of cumulative impacts should translate to a decrease in pressures, or risks, to the Reef.</w:t>
      </w:r>
    </w:p>
    <w:p w14:paraId="69CCBBF2" w14:textId="77777777" w:rsidR="001E6CAB" w:rsidRPr="001E6CAB" w:rsidRDefault="001E6CAB" w:rsidP="00BC4666">
      <w:pPr>
        <w:pStyle w:val="Heading2"/>
        <w:keepNext/>
        <w:tabs>
          <w:tab w:val="left" w:pos="9498"/>
        </w:tabs>
        <w:spacing w:before="240" w:after="120"/>
        <w:rPr>
          <w:rFonts w:ascii="Century Gothic" w:hAnsi="Century Gothic"/>
          <w:b/>
          <w:szCs w:val="20"/>
        </w:rPr>
      </w:pPr>
      <w:bookmarkStart w:id="12" w:name="_Toc482002027"/>
      <w:r w:rsidRPr="001E6CAB">
        <w:rPr>
          <w:rFonts w:ascii="Century Gothic" w:hAnsi="Century Gothic"/>
          <w:b/>
          <w:szCs w:val="20"/>
        </w:rPr>
        <w:t>Related legislation / policy</w:t>
      </w:r>
      <w:bookmarkEnd w:id="12"/>
      <w:r w:rsidRPr="001E6CAB">
        <w:rPr>
          <w:rFonts w:ascii="Century Gothic" w:hAnsi="Century Gothic"/>
          <w:b/>
          <w:szCs w:val="20"/>
        </w:rPr>
        <w:tab/>
      </w:r>
    </w:p>
    <w:p w14:paraId="69CCBBF3"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Australian Government, including:</w:t>
      </w:r>
    </w:p>
    <w:p w14:paraId="69CCBBF4" w14:textId="50417354" w:rsidR="001E6CAB" w:rsidRPr="001E6CAB" w:rsidRDefault="001E6CAB" w:rsidP="00BC4666">
      <w:pPr>
        <w:pStyle w:val="BodyTextNumbering"/>
        <w:numPr>
          <w:ilvl w:val="1"/>
          <w:numId w:val="2"/>
        </w:numPr>
        <w:spacing w:before="0" w:after="60"/>
        <w:ind w:left="788" w:hanging="431"/>
        <w:rPr>
          <w:rFonts w:ascii="Century Gothic" w:hAnsi="Century Gothic"/>
          <w:szCs w:val="20"/>
        </w:rPr>
      </w:pPr>
      <w:r w:rsidRPr="001E6CAB">
        <w:rPr>
          <w:rFonts w:ascii="Century Gothic" w:hAnsi="Century Gothic"/>
          <w:szCs w:val="20"/>
        </w:rPr>
        <w:t xml:space="preserve">Environment Protection and Biodiversity Conservation Act (EPBC Act) </w:t>
      </w:r>
    </w:p>
    <w:p w14:paraId="69CCBBF5" w14:textId="6B95291B" w:rsidR="001E6CAB" w:rsidRPr="001E6CAB" w:rsidRDefault="001E6CAB" w:rsidP="00BC4666">
      <w:pPr>
        <w:pStyle w:val="BodyTextNumbering"/>
        <w:numPr>
          <w:ilvl w:val="1"/>
          <w:numId w:val="2"/>
        </w:numPr>
        <w:spacing w:before="0" w:after="60"/>
        <w:ind w:left="788" w:hanging="431"/>
        <w:rPr>
          <w:rFonts w:ascii="Century Gothic" w:hAnsi="Century Gothic"/>
          <w:szCs w:val="20"/>
        </w:rPr>
      </w:pPr>
      <w:r w:rsidRPr="001E6CAB">
        <w:rPr>
          <w:rFonts w:ascii="Century Gothic" w:hAnsi="Century Gothic"/>
          <w:szCs w:val="20"/>
        </w:rPr>
        <w:t>Great Barrier Reef Marine Park Act (GBRMP Act)</w:t>
      </w:r>
    </w:p>
    <w:p w14:paraId="69CCBBF6"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Queensland Government, including:</w:t>
      </w:r>
    </w:p>
    <w:p w14:paraId="69CCBBF7"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 xml:space="preserve">Environmental Offsets Act 2014 </w:t>
      </w:r>
    </w:p>
    <w:p w14:paraId="69CCBBF8"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Environmental Protection Act 1994</w:t>
      </w:r>
    </w:p>
    <w:p w14:paraId="69CCBBF9"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Fisheries Act 1994</w:t>
      </w:r>
    </w:p>
    <w:p w14:paraId="69CCBBFA"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Marine Parks Act 2004</w:t>
      </w:r>
    </w:p>
    <w:p w14:paraId="69CCBBFB"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Nature Conservation Act 1992</w:t>
      </w:r>
    </w:p>
    <w:p w14:paraId="69CCBBFC"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Planning Act 2016</w:t>
      </w:r>
    </w:p>
    <w:p w14:paraId="69CCBBFD"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Sustainable Planning Act 2009</w:t>
      </w:r>
    </w:p>
    <w:p w14:paraId="69CCBBFE"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State Development and Public Works Organisation Act 1971</w:t>
      </w:r>
    </w:p>
    <w:p w14:paraId="69CCBBFF" w14:textId="77777777" w:rsidR="001E6CAB" w:rsidRPr="006163CC" w:rsidRDefault="001E6CAB" w:rsidP="00BC4666">
      <w:pPr>
        <w:pStyle w:val="BodyTextNumbering"/>
        <w:numPr>
          <w:ilvl w:val="1"/>
          <w:numId w:val="2"/>
        </w:numPr>
        <w:spacing w:before="0" w:after="60"/>
        <w:ind w:left="788" w:hanging="431"/>
        <w:rPr>
          <w:rFonts w:ascii="Century Gothic" w:hAnsi="Century Gothic"/>
          <w:i/>
          <w:szCs w:val="20"/>
        </w:rPr>
      </w:pPr>
      <w:r w:rsidRPr="006163CC">
        <w:rPr>
          <w:rFonts w:ascii="Century Gothic" w:hAnsi="Century Gothic"/>
          <w:i/>
          <w:szCs w:val="20"/>
        </w:rPr>
        <w:t>Sustainable Ports Development Act 2015</w:t>
      </w:r>
    </w:p>
    <w:p w14:paraId="69CCBC00" w14:textId="77777777" w:rsidR="001E6CAB" w:rsidRPr="001E6CAB" w:rsidRDefault="001E6CAB" w:rsidP="00BC4666">
      <w:pPr>
        <w:pStyle w:val="BodyTextNumbering"/>
        <w:numPr>
          <w:ilvl w:val="1"/>
          <w:numId w:val="2"/>
        </w:numPr>
        <w:spacing w:before="0" w:after="60"/>
        <w:ind w:left="788" w:hanging="431"/>
        <w:rPr>
          <w:rFonts w:ascii="Century Gothic" w:hAnsi="Century Gothic"/>
          <w:szCs w:val="20"/>
        </w:rPr>
      </w:pPr>
      <w:r w:rsidRPr="006163CC">
        <w:rPr>
          <w:rFonts w:ascii="Century Gothic" w:hAnsi="Century Gothic"/>
          <w:i/>
          <w:szCs w:val="20"/>
        </w:rPr>
        <w:t>Vegetation Management Act 1999</w:t>
      </w:r>
    </w:p>
    <w:p w14:paraId="69CCBC01" w14:textId="77777777"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 xml:space="preserve">This policy is to be read in conjunction with the Reef 2050 Policy Guideline for Decision Makers which outlines a range of decisions designed to manage pressures on the Great Barrier Reef. </w:t>
      </w:r>
    </w:p>
    <w:p w14:paraId="69CCBC02" w14:textId="26C688E3" w:rsidR="001E6CAB" w:rsidRPr="001E6CAB" w:rsidRDefault="001E6CAB" w:rsidP="001E6CAB">
      <w:pPr>
        <w:pStyle w:val="BodyTextNumbering"/>
        <w:spacing w:after="120"/>
        <w:rPr>
          <w:rFonts w:ascii="Century Gothic" w:hAnsi="Century Gothic"/>
          <w:szCs w:val="20"/>
        </w:rPr>
      </w:pPr>
      <w:r w:rsidRPr="001E6CAB">
        <w:rPr>
          <w:rFonts w:ascii="Century Gothic" w:hAnsi="Century Gothic"/>
          <w:szCs w:val="20"/>
        </w:rPr>
        <w:t>The Cumulative Impact Management Policy has been developed in parallel with the Reef 2050 Plan Net Benefit Policy.</w:t>
      </w:r>
    </w:p>
    <w:p w14:paraId="69CCBC03" w14:textId="77777777" w:rsidR="001E6CAB" w:rsidRPr="00BC4666" w:rsidRDefault="00BC4666" w:rsidP="00BC4666">
      <w:pPr>
        <w:pStyle w:val="Heading2"/>
        <w:keepNext/>
        <w:tabs>
          <w:tab w:val="left" w:pos="9498"/>
        </w:tabs>
        <w:spacing w:before="240" w:after="120"/>
        <w:rPr>
          <w:rFonts w:ascii="Century Gothic" w:hAnsi="Century Gothic"/>
          <w:b/>
          <w:szCs w:val="20"/>
        </w:rPr>
      </w:pPr>
      <w:bookmarkStart w:id="13" w:name="_Definitions"/>
      <w:bookmarkEnd w:id="13"/>
      <w:r>
        <w:rPr>
          <w:rFonts w:ascii="Century Gothic" w:hAnsi="Century Gothic"/>
          <w:b/>
          <w:szCs w:val="20"/>
        </w:rPr>
        <w:br w:type="page"/>
      </w:r>
      <w:bookmarkStart w:id="14" w:name="_Toc482002028"/>
      <w:r w:rsidR="001E6CAB" w:rsidRPr="00BC4666">
        <w:rPr>
          <w:rFonts w:ascii="Century Gothic" w:hAnsi="Century Gothic"/>
          <w:b/>
          <w:szCs w:val="20"/>
        </w:rPr>
        <w:t>Definitions</w:t>
      </w:r>
      <w:bookmarkEnd w:id="14"/>
      <w:r w:rsidR="001E6CAB" w:rsidRPr="00BC4666">
        <w:rPr>
          <w:rFonts w:ascii="Century Gothic" w:hAnsi="Century Gothic"/>
          <w:b/>
          <w:szCs w:val="20"/>
        </w:rPr>
        <w:tab/>
      </w:r>
    </w:p>
    <w:p w14:paraId="69CCBC04"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Action</w:t>
      </w:r>
    </w:p>
    <w:p w14:paraId="69CCBC05"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Actions and activities are used to describe projects and project parts under the EPBC Act and GBRMP Act.  For this policy actions are used, assuming activities comprise action, or a subset of an action. Also includes development proposals and/or planning actions.</w:t>
      </w:r>
    </w:p>
    <w:p w14:paraId="69CCBC06"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Adaptive capacity </w:t>
      </w:r>
    </w:p>
    <w:p w14:paraId="69CCBC07"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ability for a component of the environment to adapt to impacts to maintain or improve its condition. Includes the environmental component’s ability to recover, reorganise or build capacity to learn and adapt in between events.</w:t>
      </w:r>
    </w:p>
    <w:p w14:paraId="69CCBC08"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Adaptive management</w:t>
      </w:r>
    </w:p>
    <w:p w14:paraId="69CCBC09"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systematic process for continually improving management practices through learning from the outcomes of previous management. It includes a monitoring, evaluation, reporting and improvement cycle.</w:t>
      </w:r>
    </w:p>
    <w:p w14:paraId="69CCBC0A"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Avoid-mitigate-offset hierarchy</w:t>
      </w:r>
    </w:p>
    <w:p w14:paraId="69CCBC0B"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 xml:space="preserve">Is used to guide assessment of actions and inform decision-making. The highest priority is given to avoiding impacts on the environment. Avoidance measures must consider prudent and feasible alternatives to a proposed action.  Potential impacts that cannot be avoided must be minimised. Mitigation measures must consider direct, indirect and cumulative impacts, and account for the likely spatial and temporal scales of impacts across the duration of the proposed activity. Offsets compensate for the residual adverse impacts of an action on the environment. </w:t>
      </w:r>
    </w:p>
    <w:p w14:paraId="69CCBC0C"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Baseline condition</w:t>
      </w:r>
    </w:p>
    <w:p w14:paraId="69CCBC0D"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description of existing conditions to provide a starting point (e.g. pre-project condition of biodiversity) against which comparisons can be made (e.g. post-impact condition of biodiversity), allowing the change to be quantified. Baseline conditions for the Marine Park are measured from its World Heritage Declaration in 1981.</w:t>
      </w:r>
    </w:p>
    <w:p w14:paraId="69CCBC0E"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Biodiversity elements </w:t>
      </w:r>
    </w:p>
    <w:p w14:paraId="69CCBC0F"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Biodiversity is the variety of life on Earth. It includes all living things and the way they interact with each other and their environment. The Region’s biodiversity values which underpin matters of national environmental significance include:</w:t>
      </w:r>
    </w:p>
    <w:p w14:paraId="69CCBC10"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Great Barrier Reef habitats </w:t>
      </w:r>
    </w:p>
    <w:p w14:paraId="69CCBC11"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terrestrial habitats that support the Great Barrier Reef </w:t>
      </w:r>
    </w:p>
    <w:p w14:paraId="69CCBC12"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species </w:t>
      </w:r>
    </w:p>
    <w:p w14:paraId="69CCBC13"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Community benefit</w:t>
      </w:r>
    </w:p>
    <w:p w14:paraId="69CCBC14"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interconnectedness of people and their environment as reflected in the definition of ‘environment’ under the EPBC Act and GBRMP Act and as defined in this document.</w:t>
      </w:r>
    </w:p>
    <w:p w14:paraId="69CCBC15"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Consequential impacts</w:t>
      </w:r>
    </w:p>
    <w:p w14:paraId="69CCBC16" w14:textId="79F5EFD3"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Are a form of ‘indirect’ impact resulting from further actions (including actions by third parties) that are made possible or are facilitated by implementation of the activity. For example</w:t>
      </w:r>
      <w:r w:rsidR="009D7B06">
        <w:rPr>
          <w:rFonts w:ascii="Century Gothic" w:hAnsi="Century Gothic"/>
          <w:sz w:val="18"/>
          <w:szCs w:val="18"/>
        </w:rPr>
        <w:t>,</w:t>
      </w:r>
      <w:r w:rsidRPr="00E26051">
        <w:rPr>
          <w:rFonts w:ascii="Century Gothic" w:hAnsi="Century Gothic"/>
          <w:sz w:val="18"/>
          <w:szCs w:val="18"/>
        </w:rPr>
        <w:t xml:space="preserve"> a port expansion may result in an increase in shipping activity which may bring with it a suite of consequential impacts (e.g. anchoring impacts, displacement of uses).</w:t>
      </w:r>
    </w:p>
    <w:p w14:paraId="69CCBC17"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Cumulative impacts</w:t>
      </w:r>
    </w:p>
    <w:p w14:paraId="69CCBC18"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 xml:space="preserve">Cumulative impacts are defined as the interaction of effects between one or more impacts and past, present, and reasonably foreseeable future pressures. </w:t>
      </w:r>
    </w:p>
    <w:p w14:paraId="69CCBC19" w14:textId="77777777" w:rsidR="00BC4666" w:rsidRPr="00E26051" w:rsidRDefault="000A4D14" w:rsidP="00BC4666">
      <w:pPr>
        <w:pStyle w:val="BodyTextNumbering"/>
        <w:spacing w:after="120"/>
        <w:rPr>
          <w:rFonts w:ascii="Century Gothic" w:hAnsi="Century Gothic"/>
          <w:b/>
          <w:bCs/>
          <w:sz w:val="18"/>
          <w:szCs w:val="18"/>
        </w:rPr>
      </w:pPr>
      <w:r>
        <w:rPr>
          <w:rFonts w:ascii="Century Gothic" w:hAnsi="Century Gothic"/>
          <w:b/>
          <w:bCs/>
          <w:sz w:val="18"/>
          <w:szCs w:val="18"/>
        </w:rPr>
        <w:br w:type="page"/>
      </w:r>
      <w:r w:rsidR="00BC4666" w:rsidRPr="00E26051">
        <w:rPr>
          <w:rFonts w:ascii="Century Gothic" w:hAnsi="Century Gothic"/>
          <w:b/>
          <w:bCs/>
          <w:sz w:val="18"/>
          <w:szCs w:val="18"/>
        </w:rPr>
        <w:t>Cumulative impact assessment</w:t>
      </w:r>
    </w:p>
    <w:p w14:paraId="69CCBC1A"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Takes into account direct, indirect and consequential impacts and the incremental and compounding effects of these impacts over time, including past, present and reasonably foreseeable future pressures.</w:t>
      </w:r>
    </w:p>
    <w:p w14:paraId="69CCBC1B"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Decision </w:t>
      </w:r>
    </w:p>
    <w:p w14:paraId="69CCBC1C"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Decisions are not limited to regulatory decision-making. Decisions include developing, revising or implementing relevant agreements, policies, plans, strategies and programs; implementing legislation as part of the Great Barrier Reef planning and assessment processes; prioritising and undertaking on-ground actions.</w:t>
      </w:r>
    </w:p>
    <w:p w14:paraId="69CCBC1D"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Drivers</w:t>
      </w:r>
    </w:p>
    <w:p w14:paraId="69CCBC1E"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An overarching cause that can drive change in the environment. It can affect the environment indirectly by changing the way people undertake activities that affect the environment (indirect drivers) or by directing changing conditions in the environment itself (direct drivers). Examples include climate change, economic growth and population growth.</w:t>
      </w:r>
    </w:p>
    <w:p w14:paraId="69CCBC1F"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Ecologically sustainable use</w:t>
      </w:r>
    </w:p>
    <w:p w14:paraId="69CCBC20"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principles of ecologically sustainable use are defined in section 3AA of the GBRMP Act as:</w:t>
      </w:r>
    </w:p>
    <w:p w14:paraId="69CCBC21"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decision</w:t>
      </w:r>
      <w:r w:rsidRPr="00E26051">
        <w:rPr>
          <w:rFonts w:ascii="Century Gothic" w:hAnsi="Century Gothic"/>
          <w:sz w:val="18"/>
          <w:szCs w:val="18"/>
        </w:rPr>
        <w:noBreakHyphen/>
        <w:t>making processes should effectively integrate both long</w:t>
      </w:r>
      <w:r w:rsidRPr="00E26051">
        <w:rPr>
          <w:rFonts w:ascii="Century Gothic" w:hAnsi="Century Gothic"/>
          <w:sz w:val="18"/>
          <w:szCs w:val="18"/>
        </w:rPr>
        <w:noBreakHyphen/>
        <w:t>term and short</w:t>
      </w:r>
      <w:r w:rsidRPr="00E26051">
        <w:rPr>
          <w:rFonts w:ascii="Century Gothic" w:hAnsi="Century Gothic"/>
          <w:sz w:val="18"/>
          <w:szCs w:val="18"/>
        </w:rPr>
        <w:noBreakHyphen/>
        <w:t>term environmental, economic, social and equitable considerations</w:t>
      </w:r>
    </w:p>
    <w:p w14:paraId="69CCBC22"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the precautionary principle</w:t>
      </w:r>
    </w:p>
    <w:p w14:paraId="69CCBC23"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the principle of inter</w:t>
      </w:r>
      <w:r w:rsidRPr="00E26051">
        <w:rPr>
          <w:rFonts w:ascii="Century Gothic" w:hAnsi="Century Gothic"/>
          <w:sz w:val="18"/>
          <w:szCs w:val="18"/>
        </w:rPr>
        <w:noBreakHyphen/>
        <w:t>generational equity—that the present generation should ensure that the health, diversity and productivity of the environment is maintained or enhanced for the benefit of future generations</w:t>
      </w:r>
    </w:p>
    <w:p w14:paraId="69CCBC24"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the conservation of biodiversity and ecological integrity should be a fundamental consideration in decision</w:t>
      </w:r>
      <w:r w:rsidRPr="00E26051">
        <w:rPr>
          <w:rFonts w:ascii="Century Gothic" w:hAnsi="Century Gothic"/>
          <w:sz w:val="18"/>
          <w:szCs w:val="18"/>
        </w:rPr>
        <w:noBreakHyphen/>
        <w:t>making</w:t>
      </w:r>
    </w:p>
    <w:p w14:paraId="69CCBC25" w14:textId="77777777" w:rsidR="00BC4666" w:rsidRPr="00E26051" w:rsidRDefault="00BC4666" w:rsidP="00BC4666">
      <w:pPr>
        <w:pStyle w:val="BodyTextNumbering"/>
        <w:numPr>
          <w:ilvl w:val="0"/>
          <w:numId w:val="9"/>
        </w:numPr>
        <w:spacing w:after="120"/>
        <w:rPr>
          <w:rFonts w:ascii="Century Gothic" w:hAnsi="Century Gothic"/>
          <w:sz w:val="18"/>
          <w:szCs w:val="18"/>
        </w:rPr>
      </w:pPr>
      <w:r w:rsidRPr="00E26051">
        <w:rPr>
          <w:rFonts w:ascii="Century Gothic" w:hAnsi="Century Gothic"/>
          <w:sz w:val="18"/>
          <w:szCs w:val="18"/>
        </w:rPr>
        <w:t>improved valuation, pricing and incentive mechanisms should be promoted</w:t>
      </w:r>
    </w:p>
    <w:p w14:paraId="69CCBC26"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Effect</w:t>
      </w:r>
    </w:p>
    <w:p w14:paraId="69CCBC27"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Is a deviation from the expected (positive or negative).</w:t>
      </w:r>
    </w:p>
    <w:p w14:paraId="69CCBC28"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Environment</w:t>
      </w:r>
    </w:p>
    <w:p w14:paraId="69CCBC29"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Includes ecosystems and their constituent parts, including people and communities; natural and physical resources; the qualities and characteristics of locations, places and areas; heritage values of places; and the social, economic and cultural aspects of the above. (EPBC Act and GBRMP Act).</w:t>
      </w:r>
    </w:p>
    <w:p w14:paraId="69CCBC2A"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Event</w:t>
      </w:r>
    </w:p>
    <w:p w14:paraId="69CCBC2B"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change in situation; something happening or not happening (when it was expected); an incident or occurrence that exposes a value to a hazard.</w:t>
      </w:r>
    </w:p>
    <w:p w14:paraId="69CCBC2C"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Exposure</w:t>
      </w:r>
    </w:p>
    <w:p w14:paraId="69CCBC2D"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magnitude, frequency and duration of an environmental component’s contact with a hazard.</w:t>
      </w:r>
    </w:p>
    <w:p w14:paraId="69CCBC2E"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Great Barrier Reef</w:t>
      </w:r>
    </w:p>
    <w:p w14:paraId="69CCBC2F"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Refers to the Great Barrier Reef World Heritage Area, Great Barrier Reef Marine Park and Great Barrier Reef Region areas relevant to the decision-making or action.</w:t>
      </w:r>
    </w:p>
    <w:p w14:paraId="69CCBC30"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Hazard</w:t>
      </w:r>
    </w:p>
    <w:p w14:paraId="69CCBC31"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A source of potential harm; a situation, action or behaviour that may negatively impact on an environmental component, whether intentionally or unintentionally.</w:t>
      </w:r>
    </w:p>
    <w:p w14:paraId="69CCBC32" w14:textId="77777777" w:rsidR="00BC4666" w:rsidRPr="00E26051" w:rsidRDefault="000A4D14" w:rsidP="00BC4666">
      <w:pPr>
        <w:pStyle w:val="BodyTextNumbering"/>
        <w:spacing w:after="120"/>
        <w:rPr>
          <w:rFonts w:ascii="Century Gothic" w:hAnsi="Century Gothic"/>
          <w:b/>
          <w:bCs/>
          <w:sz w:val="18"/>
          <w:szCs w:val="18"/>
        </w:rPr>
      </w:pPr>
      <w:r>
        <w:rPr>
          <w:rFonts w:ascii="Century Gothic" w:hAnsi="Century Gothic"/>
          <w:b/>
          <w:bCs/>
          <w:sz w:val="18"/>
          <w:szCs w:val="18"/>
        </w:rPr>
        <w:br w:type="page"/>
      </w:r>
      <w:r w:rsidR="00BC4666" w:rsidRPr="00E26051">
        <w:rPr>
          <w:rFonts w:ascii="Century Gothic" w:hAnsi="Century Gothic"/>
          <w:b/>
          <w:bCs/>
          <w:sz w:val="18"/>
          <w:szCs w:val="18"/>
        </w:rPr>
        <w:t>Heritage values</w:t>
      </w:r>
    </w:p>
    <w:p w14:paraId="69CCBC33"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Region’s heritage values, which underpin matters of national environmental significance, are grouped into five broad categories:</w:t>
      </w:r>
    </w:p>
    <w:p w14:paraId="69CCBC34"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Indigenous heritage values</w:t>
      </w:r>
      <w:r w:rsidRPr="00E26051">
        <w:rPr>
          <w:rFonts w:ascii="Century Gothic" w:hAnsi="Century Gothic"/>
          <w:sz w:val="18"/>
          <w:szCs w:val="18"/>
        </w:rPr>
        <w:t>: the heritage values of a place that are of significance to Aboriginal and Torres Strait Islander persons in accordance with their practices, observances, customs, traditions, beliefs or history</w:t>
      </w:r>
    </w:p>
    <w:p w14:paraId="69CCBC35"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other heritage values</w:t>
      </w:r>
      <w:r w:rsidRPr="00E26051">
        <w:rPr>
          <w:rFonts w:ascii="Century Gothic" w:hAnsi="Century Gothic"/>
          <w:sz w:val="18"/>
          <w:szCs w:val="18"/>
        </w:rPr>
        <w:t>: a place’s natural and cultural environment having aesthetic, historic, scientific or social significance, or other significance, for current and future generations of Australians</w:t>
      </w:r>
    </w:p>
    <w:p w14:paraId="69CCBC36"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world heritage values</w:t>
      </w:r>
      <w:r w:rsidRPr="00E26051">
        <w:rPr>
          <w:rFonts w:ascii="Century Gothic" w:hAnsi="Century Gothic"/>
          <w:sz w:val="18"/>
          <w:szCs w:val="18"/>
        </w:rPr>
        <w:t>: the natural heritage and cultural heritage of a property that is internationally recognised as being of outstanding universal value</w:t>
      </w:r>
    </w:p>
    <w:p w14:paraId="69CCBC37"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national heritage values</w:t>
      </w:r>
      <w:r w:rsidRPr="00E26051">
        <w:rPr>
          <w:rFonts w:ascii="Century Gothic" w:hAnsi="Century Gothic"/>
          <w:sz w:val="18"/>
          <w:szCs w:val="18"/>
        </w:rPr>
        <w:t>: the values of a place that are of national significance as recognised through placement on the National Heritage List</w:t>
      </w:r>
    </w:p>
    <w:p w14:paraId="69CCBC38" w14:textId="77777777" w:rsidR="00BC4666" w:rsidRPr="00E26051" w:rsidRDefault="00BC4666" w:rsidP="00BC4666">
      <w:pPr>
        <w:pStyle w:val="BodyTextNumbering"/>
        <w:numPr>
          <w:ilvl w:val="0"/>
          <w:numId w:val="10"/>
        </w:numPr>
        <w:spacing w:after="120"/>
        <w:rPr>
          <w:rFonts w:ascii="Century Gothic" w:hAnsi="Century Gothic"/>
          <w:sz w:val="18"/>
          <w:szCs w:val="18"/>
        </w:rPr>
      </w:pPr>
      <w:r w:rsidRPr="00E26051">
        <w:rPr>
          <w:rFonts w:ascii="Century Gothic" w:hAnsi="Century Gothic"/>
          <w:b/>
          <w:i/>
          <w:sz w:val="18"/>
          <w:szCs w:val="18"/>
        </w:rPr>
        <w:t>Commonwealth heritage values</w:t>
      </w:r>
      <w:r w:rsidRPr="00E26051">
        <w:rPr>
          <w:rFonts w:ascii="Century Gothic" w:hAnsi="Century Gothic"/>
          <w:sz w:val="18"/>
          <w:szCs w:val="18"/>
        </w:rPr>
        <w:t>: the values of a place that are specified in its placement on the Commonwealth Heritage List.</w:t>
      </w:r>
    </w:p>
    <w:p w14:paraId="69CCBC39"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Integrity</w:t>
      </w:r>
    </w:p>
    <w:p w14:paraId="69CCBC3A"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Relates to ‘wholeness and intactness’ of the World Heritage property and how it conveys the values it holds. Integrity can also relate to the size of the property (sufficient size to continue to represent the values) and to any threats affecting the property.</w:t>
      </w:r>
    </w:p>
    <w:p w14:paraId="69CCBC3B"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Impact</w:t>
      </w:r>
    </w:p>
    <w:p w14:paraId="69CCBC3C"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result or effect that happens when an environmental component is exposed to a hazard; may be positive or negative.</w:t>
      </w:r>
    </w:p>
    <w:p w14:paraId="69CCBC3D"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Matters of national environmental significance</w:t>
      </w:r>
    </w:p>
    <w:p w14:paraId="69CCBC3E" w14:textId="20A11C19"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 xml:space="preserve">Those matters as defined in the </w:t>
      </w:r>
      <w:r w:rsidRPr="006163CC">
        <w:rPr>
          <w:rFonts w:ascii="Century Gothic" w:hAnsi="Century Gothic"/>
          <w:sz w:val="18"/>
          <w:szCs w:val="18"/>
        </w:rPr>
        <w:t>Environment Protection and Biodiversity Conservation Act</w:t>
      </w:r>
      <w:r w:rsidR="00F60982">
        <w:rPr>
          <w:rFonts w:ascii="Century Gothic" w:hAnsi="Century Gothic"/>
          <w:sz w:val="18"/>
          <w:szCs w:val="18"/>
        </w:rPr>
        <w:t>.</w:t>
      </w:r>
    </w:p>
    <w:p w14:paraId="69CCBC3F"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Net benefit</w:t>
      </w:r>
    </w:p>
    <w:p w14:paraId="69CCBC40"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A decision or action which results in a net improvement to the condition and/or trend of a Great Barrier Reef environmental value or process as described in Attachment 3 – Tables A3.2 and A3.3.</w:t>
      </w:r>
    </w:p>
    <w:p w14:paraId="69CCBC41"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Outstanding universal value</w:t>
      </w:r>
    </w:p>
    <w:p w14:paraId="69CCBC42" w14:textId="2F0B9BE6" w:rsid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Cultural and/or natural significance which is so exceptional as to transcend national boundaries and to be of common importance for present and future generations of all humanity. Outstanding universal value is distributed throughout the entire Great Barrier Reef World Heritage Area. The relationship between outstanding universal value and Great Barrier Reef values </w:t>
      </w:r>
      <w:r w:rsidR="009D7B06">
        <w:rPr>
          <w:rFonts w:ascii="Century Gothic" w:hAnsi="Century Gothic"/>
          <w:sz w:val="18"/>
          <w:szCs w:val="18"/>
          <w:lang w:val="en-US"/>
        </w:rPr>
        <w:t xml:space="preserve">is </w:t>
      </w:r>
      <w:r w:rsidRPr="00E26051">
        <w:rPr>
          <w:rFonts w:ascii="Century Gothic" w:hAnsi="Century Gothic"/>
          <w:sz w:val="18"/>
          <w:szCs w:val="18"/>
          <w:lang w:val="en-US"/>
        </w:rPr>
        <w:t>described in Attachment 3.</w:t>
      </w:r>
    </w:p>
    <w:p w14:paraId="69CCBC43"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Pressure (Threats)</w:t>
      </w:r>
    </w:p>
    <w:p w14:paraId="69CCBC44" w14:textId="6040204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An activity or group of activities that cause an impact on a value</w:t>
      </w:r>
      <w:r w:rsidR="00D60656">
        <w:rPr>
          <w:rFonts w:ascii="Century Gothic" w:hAnsi="Century Gothic"/>
          <w:sz w:val="18"/>
          <w:szCs w:val="18"/>
          <w:lang w:val="en-US"/>
        </w:rPr>
        <w:t>.</w:t>
      </w:r>
    </w:p>
    <w:p w14:paraId="69CCBC45"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Program</w:t>
      </w:r>
    </w:p>
    <w:p w14:paraId="69CCBC46"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Includes programs, plans, decisions and on-ground actions.</w:t>
      </w:r>
    </w:p>
    <w:p w14:paraId="69CCBC47"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 xml:space="preserve">Reference condition </w:t>
      </w:r>
    </w:p>
    <w:p w14:paraId="69CCBC48"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Assessment of the reference condition and trend of Great Barrier Reef values (taking into account past and present effects) is described in Attachment 3 and values are benchmarked and graded every five years through the Outlook Report. </w:t>
      </w:r>
    </w:p>
    <w:p w14:paraId="69CCBC49" w14:textId="77777777" w:rsidR="00BC4666" w:rsidRPr="00E26051" w:rsidRDefault="000A4D14" w:rsidP="00BC4666">
      <w:pPr>
        <w:pStyle w:val="BodyTextNumbering"/>
        <w:spacing w:after="120"/>
        <w:rPr>
          <w:rFonts w:ascii="Century Gothic" w:hAnsi="Century Gothic"/>
          <w:b/>
          <w:bCs/>
          <w:sz w:val="18"/>
          <w:szCs w:val="18"/>
          <w:lang w:val="en-US"/>
        </w:rPr>
      </w:pPr>
      <w:r>
        <w:rPr>
          <w:rFonts w:ascii="Century Gothic" w:hAnsi="Century Gothic"/>
          <w:b/>
          <w:bCs/>
          <w:sz w:val="18"/>
          <w:szCs w:val="18"/>
          <w:lang w:val="en-US"/>
        </w:rPr>
        <w:br w:type="page"/>
      </w:r>
      <w:r w:rsidR="00BC4666" w:rsidRPr="00E26051">
        <w:rPr>
          <w:rFonts w:ascii="Century Gothic" w:hAnsi="Century Gothic"/>
          <w:b/>
          <w:bCs/>
          <w:sz w:val="18"/>
          <w:szCs w:val="18"/>
          <w:lang w:val="en-US"/>
        </w:rPr>
        <w:t>Reference scenario</w:t>
      </w:r>
    </w:p>
    <w:p w14:paraId="69CCBC4A"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What is likely to have occurred in the absence of management response. The reference scenario is based on the current condition and trend, taking into account reasonably foreseeable future pressures. Grading statements for condition are described in Attachment 3 – Table A3.1.</w:t>
      </w:r>
    </w:p>
    <w:p w14:paraId="69CCBC4B"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 xml:space="preserve">Resilience </w:t>
      </w:r>
    </w:p>
    <w:p w14:paraId="69CCBC4C"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 xml:space="preserve">The ability of an environmental component to cope with change or exposure and remain in a desirable functioning state. It includes the ability to absorb impacts and continue functioning, and recover, reorganise or build capacity to learn and adapt in between events.  </w:t>
      </w:r>
    </w:p>
    <w:p w14:paraId="69CCBC4D"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Risk</w:t>
      </w:r>
    </w:p>
    <w:p w14:paraId="69CCBC4E"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Defined by the Australia/New Zealand Standard for Risk Management (AS/NZS 31000:2009 ) as “effect of uncertainty on objectives.” For this policy/guideline, risk relates to uncertainty as to whether the objectives of the policy can be achieved i.e. achieving desired states for Great Barrier Reef values.</w:t>
      </w:r>
    </w:p>
    <w:p w14:paraId="69CCBC4F"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Sensitivity</w:t>
      </w:r>
    </w:p>
    <w:p w14:paraId="69CCBC50"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The degree to which a component of the environment is responsive to a specific impact.</w:t>
      </w:r>
    </w:p>
    <w:p w14:paraId="69CCBC51"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Severity</w:t>
      </w:r>
    </w:p>
    <w:p w14:paraId="69CCBC52" w14:textId="77777777"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How serious a consequence would be if it occurred; the degree of degradation that would occur to the value if that consequence occurred.</w:t>
      </w:r>
    </w:p>
    <w:p w14:paraId="69CCBC53" w14:textId="77777777" w:rsidR="00BC4666" w:rsidRPr="00E26051" w:rsidRDefault="00BC4666" w:rsidP="00BC4666">
      <w:pPr>
        <w:pStyle w:val="BodyTextNumbering"/>
        <w:spacing w:after="120"/>
        <w:rPr>
          <w:rFonts w:ascii="Century Gothic" w:hAnsi="Century Gothic"/>
          <w:b/>
          <w:bCs/>
          <w:sz w:val="18"/>
          <w:szCs w:val="18"/>
          <w:lang w:val="en-US"/>
        </w:rPr>
      </w:pPr>
      <w:r w:rsidRPr="00E26051">
        <w:rPr>
          <w:rFonts w:ascii="Century Gothic" w:hAnsi="Century Gothic"/>
          <w:b/>
          <w:bCs/>
          <w:sz w:val="18"/>
          <w:szCs w:val="18"/>
          <w:lang w:val="en-US"/>
        </w:rPr>
        <w:t>Values</w:t>
      </w:r>
    </w:p>
    <w:p w14:paraId="69CCBC54" w14:textId="4522F94A" w:rsidR="00BC4666" w:rsidRPr="00E26051" w:rsidRDefault="00BC4666" w:rsidP="00BC4666">
      <w:pPr>
        <w:pStyle w:val="BodyTextNumbering"/>
        <w:spacing w:after="120"/>
        <w:rPr>
          <w:rFonts w:ascii="Century Gothic" w:hAnsi="Century Gothic"/>
          <w:sz w:val="18"/>
          <w:szCs w:val="18"/>
          <w:lang w:val="en-US"/>
        </w:rPr>
      </w:pPr>
      <w:r w:rsidRPr="00E26051">
        <w:rPr>
          <w:rFonts w:ascii="Century Gothic" w:hAnsi="Century Gothic"/>
          <w:sz w:val="18"/>
          <w:szCs w:val="18"/>
          <w:lang w:val="en-US"/>
        </w:rPr>
        <w:t>Refers to values and processes as described in Attachment 3. Foremost, healthy and resilien</w:t>
      </w:r>
      <w:r w:rsidR="009046DA">
        <w:rPr>
          <w:rFonts w:ascii="Century Gothic" w:hAnsi="Century Gothic"/>
          <w:sz w:val="18"/>
          <w:szCs w:val="18"/>
          <w:lang w:val="en-US"/>
        </w:rPr>
        <w:t>t</w:t>
      </w:r>
      <w:r w:rsidRPr="00E26051">
        <w:rPr>
          <w:rFonts w:ascii="Century Gothic" w:hAnsi="Century Gothic"/>
          <w:sz w:val="18"/>
          <w:szCs w:val="18"/>
          <w:lang w:val="en-US"/>
        </w:rPr>
        <w:t xml:space="preserve"> ecosystems are fundamental to the protection of biodiversity and heritage values and the community benefits they support.</w:t>
      </w:r>
    </w:p>
    <w:p w14:paraId="69CCBC55"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 xml:space="preserve">Vulnerability </w:t>
      </w:r>
    </w:p>
    <w:p w14:paraId="69CCBC56" w14:textId="3B72548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susceptibility of environmental components to degradation from impacts. Vulnerability is a function of the environmental component</w:t>
      </w:r>
      <w:r w:rsidR="00D7187C">
        <w:rPr>
          <w:rFonts w:ascii="Century Gothic" w:hAnsi="Century Gothic"/>
          <w:sz w:val="18"/>
          <w:szCs w:val="18"/>
        </w:rPr>
        <w:t>’</w:t>
      </w:r>
      <w:r w:rsidRPr="00E26051">
        <w:rPr>
          <w:rFonts w:ascii="Century Gothic" w:hAnsi="Century Gothic"/>
          <w:sz w:val="18"/>
          <w:szCs w:val="18"/>
        </w:rPr>
        <w:t>s exposure, sensitivity and adaptive capacity.</w:t>
      </w:r>
    </w:p>
    <w:p w14:paraId="69CCBC57" w14:textId="77777777" w:rsidR="00BC4666" w:rsidRPr="00E26051" w:rsidRDefault="00BC4666" w:rsidP="00BC4666">
      <w:pPr>
        <w:pStyle w:val="BodyTextNumbering"/>
        <w:spacing w:after="120"/>
        <w:rPr>
          <w:rFonts w:ascii="Century Gothic" w:hAnsi="Century Gothic"/>
          <w:b/>
          <w:bCs/>
          <w:sz w:val="18"/>
          <w:szCs w:val="18"/>
        </w:rPr>
      </w:pPr>
      <w:r w:rsidRPr="00E26051">
        <w:rPr>
          <w:rFonts w:ascii="Century Gothic" w:hAnsi="Century Gothic"/>
          <w:b/>
          <w:bCs/>
          <w:sz w:val="18"/>
          <w:szCs w:val="18"/>
        </w:rPr>
        <w:t>Zone of influence</w:t>
      </w:r>
    </w:p>
    <w:p w14:paraId="69CCBC58" w14:textId="77777777" w:rsidR="00BC4666" w:rsidRPr="00E26051" w:rsidRDefault="00BC4666" w:rsidP="00BC4666">
      <w:pPr>
        <w:pStyle w:val="BodyTextNumbering"/>
        <w:spacing w:after="120"/>
        <w:rPr>
          <w:rFonts w:ascii="Century Gothic" w:hAnsi="Century Gothic"/>
          <w:sz w:val="18"/>
          <w:szCs w:val="18"/>
        </w:rPr>
      </w:pPr>
      <w:r w:rsidRPr="00E26051">
        <w:rPr>
          <w:rFonts w:ascii="Century Gothic" w:hAnsi="Century Gothic"/>
          <w:sz w:val="18"/>
          <w:szCs w:val="18"/>
        </w:rPr>
        <w:t>The area or spatial extent in which an activity or pressure has the potential to impact a component of the environment. The ‘zone of influence’ is used to describe the scale of effect at which impacts (such as from an action, project, plan or program) are occurring and the scope of response available to manage impacts. The zone of influence includes the assessment of the boundaries to biological and life processes needed to encompass the spatial and temporal extent of impacts that influence the condition of environmental values, ecosystem processes and socio-ecological systems throughout the period during which impacts of the decision will occur. The zone of influence can be described in three parts:</w:t>
      </w:r>
    </w:p>
    <w:p w14:paraId="69CCBC59"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 xml:space="preserve">zone of ecological influence - the area or spatial extent in which an activity or pressure directly impacts a component of the environment </w:t>
      </w:r>
    </w:p>
    <w:p w14:paraId="69CCBC5A" w14:textId="77777777" w:rsidR="00BC4666" w:rsidRPr="00E26051" w:rsidRDefault="00BC4666" w:rsidP="00BC4666">
      <w:pPr>
        <w:pStyle w:val="BodyTextNumbering"/>
        <w:numPr>
          <w:ilvl w:val="0"/>
          <w:numId w:val="11"/>
        </w:numPr>
        <w:spacing w:after="120"/>
        <w:rPr>
          <w:rFonts w:ascii="Century Gothic" w:hAnsi="Century Gothic"/>
          <w:sz w:val="18"/>
          <w:szCs w:val="18"/>
        </w:rPr>
      </w:pPr>
      <w:r w:rsidRPr="00E26051">
        <w:rPr>
          <w:rFonts w:ascii="Century Gothic" w:hAnsi="Century Gothic"/>
          <w:sz w:val="18"/>
          <w:szCs w:val="18"/>
        </w:rPr>
        <w:t>zone of system influence - the area or spatial extent in which an activity or pressure has an indirect or consequential impact on a component of the environment, recognising the boundaries to biological and life processes extend beyond the direct impact of the activity</w:t>
      </w:r>
    </w:p>
    <w:p w14:paraId="69CCBC5B" w14:textId="77777777" w:rsidR="00BC4666" w:rsidRPr="00BC4666" w:rsidRDefault="00BC4666" w:rsidP="00BC4666">
      <w:pPr>
        <w:pStyle w:val="BodyTextNumbering"/>
        <w:numPr>
          <w:ilvl w:val="0"/>
          <w:numId w:val="11"/>
        </w:numPr>
        <w:spacing w:after="120"/>
        <w:rPr>
          <w:rFonts w:ascii="Century Gothic" w:hAnsi="Century Gothic"/>
          <w:szCs w:val="20"/>
        </w:rPr>
      </w:pPr>
      <w:r w:rsidRPr="00E26051">
        <w:rPr>
          <w:rFonts w:ascii="Century Gothic" w:hAnsi="Century Gothic"/>
          <w:sz w:val="18"/>
          <w:szCs w:val="18"/>
        </w:rPr>
        <w:t>zone of management influence – which includes the scope of response encompassing direct and indirect impacts and other past, present pressures and threats affecting values and processes.</w:t>
      </w:r>
      <w:r w:rsidRPr="00BC4666">
        <w:rPr>
          <w:rFonts w:ascii="Century Gothic" w:hAnsi="Century Gothic"/>
          <w:szCs w:val="20"/>
        </w:rPr>
        <w:t xml:space="preserve"> </w:t>
      </w:r>
    </w:p>
    <w:p w14:paraId="69CCBC5C" w14:textId="77777777" w:rsidR="003C4E97" w:rsidRDefault="003C4E97" w:rsidP="00FE0510">
      <w:pPr>
        <w:pStyle w:val="BodyTextNumbering"/>
        <w:spacing w:after="120"/>
        <w:rPr>
          <w:rFonts w:ascii="Century Gothic" w:hAnsi="Century Gothic"/>
          <w:szCs w:val="20"/>
        </w:rPr>
      </w:pPr>
    </w:p>
    <w:p w14:paraId="69CCBC5D" w14:textId="77777777" w:rsidR="00C87438" w:rsidRPr="00C87438" w:rsidRDefault="00E26051" w:rsidP="00C87438">
      <w:pPr>
        <w:pStyle w:val="Heading2"/>
        <w:keepNext/>
        <w:tabs>
          <w:tab w:val="left" w:pos="9498"/>
        </w:tabs>
        <w:spacing w:before="240" w:after="120"/>
        <w:rPr>
          <w:rFonts w:ascii="Century Gothic" w:hAnsi="Century Gothic"/>
          <w:b/>
          <w:szCs w:val="20"/>
        </w:rPr>
      </w:pPr>
      <w:r>
        <w:rPr>
          <w:rFonts w:ascii="Century Gothic" w:hAnsi="Century Gothic"/>
          <w:b/>
          <w:szCs w:val="20"/>
        </w:rPr>
        <w:br w:type="page"/>
      </w:r>
      <w:bookmarkStart w:id="15" w:name="_Toc482002029"/>
      <w:r w:rsidR="00C87438" w:rsidRPr="00C87438">
        <w:rPr>
          <w:rFonts w:ascii="Century Gothic" w:hAnsi="Century Gothic"/>
          <w:b/>
          <w:szCs w:val="20"/>
        </w:rPr>
        <w:t>Further information</w:t>
      </w:r>
      <w:bookmarkEnd w:id="15"/>
      <w:r w:rsidR="00C87438" w:rsidRPr="00C87438">
        <w:rPr>
          <w:rFonts w:ascii="Century Gothic" w:hAnsi="Century Gothic"/>
          <w:b/>
          <w:szCs w:val="20"/>
        </w:rPr>
        <w:tab/>
      </w:r>
    </w:p>
    <w:p w14:paraId="69CCBC5E"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Director – Reef 2050</w:t>
      </w:r>
    </w:p>
    <w:p w14:paraId="69CCBC5F" w14:textId="77777777" w:rsidR="00C87438" w:rsidRPr="00C87438" w:rsidRDefault="00C87438" w:rsidP="00C87438">
      <w:pPr>
        <w:pStyle w:val="BodyTextNumbering"/>
        <w:spacing w:after="120"/>
        <w:rPr>
          <w:rFonts w:ascii="Century Gothic" w:hAnsi="Century Gothic"/>
          <w:b/>
          <w:szCs w:val="20"/>
        </w:rPr>
      </w:pPr>
      <w:r w:rsidRPr="00C87438">
        <w:rPr>
          <w:rFonts w:ascii="Century Gothic" w:hAnsi="Century Gothic"/>
          <w:b/>
          <w:szCs w:val="20"/>
        </w:rPr>
        <w:t>Great Barrier Reef Marine Park Authority</w:t>
      </w:r>
    </w:p>
    <w:p w14:paraId="69CCBC60"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2 - 68 Flinders Street </w:t>
      </w:r>
    </w:p>
    <w:p w14:paraId="69CCBC61"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PO Box 1379</w:t>
      </w:r>
    </w:p>
    <w:p w14:paraId="69CCBC62"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Townsville Qld 4810</w:t>
      </w:r>
    </w:p>
    <w:p w14:paraId="69CCBC63"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Australia</w:t>
      </w:r>
    </w:p>
    <w:p w14:paraId="69CCBC64" w14:textId="77777777" w:rsidR="00C87438" w:rsidRPr="00C87438" w:rsidRDefault="00C87438" w:rsidP="00C87438">
      <w:pPr>
        <w:pStyle w:val="BodyTextNumbering"/>
        <w:spacing w:after="120"/>
        <w:rPr>
          <w:rFonts w:ascii="Century Gothic" w:hAnsi="Century Gothic"/>
          <w:szCs w:val="20"/>
        </w:rPr>
      </w:pPr>
    </w:p>
    <w:p w14:paraId="69CCBC65"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Phone + 61 7 4750 0700</w:t>
      </w:r>
    </w:p>
    <w:p w14:paraId="69CCBC66"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Fax + 61 7 4772 6093</w:t>
      </w:r>
    </w:p>
    <w:p w14:paraId="69CCBC67"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email reef2050plan@gbrmpa.gov.au</w:t>
      </w:r>
    </w:p>
    <w:p w14:paraId="69CCBC68" w14:textId="77777777" w:rsidR="00C87438" w:rsidRPr="00C87438" w:rsidRDefault="00C87438" w:rsidP="00C87438">
      <w:pPr>
        <w:pStyle w:val="BodyTextNumbering"/>
        <w:spacing w:after="120"/>
        <w:rPr>
          <w:rFonts w:ascii="Century Gothic" w:hAnsi="Century Gothic"/>
          <w:szCs w:val="20"/>
        </w:rPr>
      </w:pPr>
    </w:p>
    <w:p w14:paraId="69CCBC69" w14:textId="77777777" w:rsidR="00C87438" w:rsidRDefault="0095278E" w:rsidP="00C87438">
      <w:pPr>
        <w:pStyle w:val="BodyTextNumbering"/>
        <w:spacing w:after="120"/>
        <w:rPr>
          <w:rFonts w:ascii="Century Gothic" w:hAnsi="Century Gothic"/>
          <w:szCs w:val="20"/>
        </w:rPr>
      </w:pPr>
      <w:hyperlink r:id="rId30" w:history="1">
        <w:r w:rsidR="00C87438" w:rsidRPr="00B27014">
          <w:rPr>
            <w:rStyle w:val="Hyperlink"/>
            <w:rFonts w:ascii="Century Gothic" w:hAnsi="Century Gothic"/>
            <w:szCs w:val="20"/>
          </w:rPr>
          <w:t>www.gbrmpa.gov.au</w:t>
        </w:r>
      </w:hyperlink>
    </w:p>
    <w:p w14:paraId="69CCBC6A" w14:textId="77777777" w:rsidR="00C87438" w:rsidRDefault="00C87438" w:rsidP="00C87438">
      <w:pPr>
        <w:pStyle w:val="BodyTextNumbering"/>
        <w:spacing w:after="120"/>
        <w:rPr>
          <w:rFonts w:ascii="Century Gothic" w:hAnsi="Century Gothic"/>
          <w:szCs w:val="20"/>
        </w:rPr>
      </w:pPr>
    </w:p>
    <w:p w14:paraId="69CCBC6B" w14:textId="77777777" w:rsidR="00C87438" w:rsidRDefault="00C87438" w:rsidP="00C87438">
      <w:pPr>
        <w:pStyle w:val="BodyTextNumbering"/>
        <w:spacing w:after="120"/>
        <w:rPr>
          <w:rFonts w:ascii="Century Gothic" w:hAnsi="Century Gothic"/>
          <w:szCs w:val="20"/>
        </w:rPr>
      </w:pPr>
    </w:p>
    <w:p w14:paraId="69CCBC6C" w14:textId="77777777" w:rsidR="00C87438" w:rsidRDefault="00C87438" w:rsidP="00C87438">
      <w:pPr>
        <w:pStyle w:val="BodyTextNumbering"/>
        <w:spacing w:after="120"/>
        <w:rPr>
          <w:rFonts w:ascii="Century Gothic" w:hAnsi="Century Gothic"/>
          <w:szCs w:val="20"/>
        </w:rPr>
      </w:pPr>
    </w:p>
    <w:p w14:paraId="69CCBC6D" w14:textId="77777777" w:rsidR="00C87438" w:rsidRDefault="00C87438" w:rsidP="00C87438">
      <w:pPr>
        <w:pStyle w:val="BodyTextNumbering"/>
        <w:spacing w:after="120"/>
        <w:rPr>
          <w:rFonts w:ascii="Century Gothic" w:hAnsi="Century Gothic"/>
          <w:szCs w:val="20"/>
        </w:rPr>
      </w:pPr>
    </w:p>
    <w:p w14:paraId="69CCBC6E" w14:textId="77777777" w:rsidR="00C87438" w:rsidRDefault="00C87438" w:rsidP="00C87438">
      <w:pPr>
        <w:pStyle w:val="BodyTextNumbering"/>
        <w:spacing w:after="120"/>
        <w:rPr>
          <w:rFonts w:ascii="Century Gothic" w:hAnsi="Century Gothic"/>
          <w:szCs w:val="20"/>
        </w:rPr>
      </w:pPr>
    </w:p>
    <w:p w14:paraId="69CCBC6F" w14:textId="77777777" w:rsidR="00C87438" w:rsidRDefault="00C87438" w:rsidP="00C87438">
      <w:pPr>
        <w:pStyle w:val="BodyTextNumbering"/>
        <w:spacing w:after="120"/>
        <w:rPr>
          <w:rFonts w:ascii="Century Gothic" w:hAnsi="Century Gothic"/>
          <w:szCs w:val="20"/>
        </w:rPr>
      </w:pPr>
    </w:p>
    <w:tbl>
      <w:tblPr>
        <w:tblW w:w="5000" w:type="pct"/>
        <w:shd w:val="clear" w:color="auto" w:fill="C6D9F1"/>
        <w:tblLook w:val="04A0" w:firstRow="1" w:lastRow="0" w:firstColumn="1" w:lastColumn="0" w:noHBand="0" w:noVBand="1"/>
      </w:tblPr>
      <w:tblGrid>
        <w:gridCol w:w="2197"/>
        <w:gridCol w:w="5262"/>
        <w:gridCol w:w="1500"/>
        <w:gridCol w:w="1461"/>
      </w:tblGrid>
      <w:tr w:rsidR="00C87438" w:rsidRPr="00C87438" w14:paraId="69CCBC71" w14:textId="77777777" w:rsidTr="00C87438">
        <w:trPr>
          <w:trHeight w:val="283"/>
        </w:trPr>
        <w:tc>
          <w:tcPr>
            <w:tcW w:w="5000" w:type="pct"/>
            <w:gridSpan w:val="4"/>
            <w:tcBorders>
              <w:top w:val="single" w:sz="12" w:space="0" w:color="006187"/>
              <w:bottom w:val="single" w:sz="2" w:space="0" w:color="006187"/>
            </w:tcBorders>
            <w:shd w:val="clear" w:color="auto" w:fill="C6D9F1"/>
            <w:vAlign w:val="center"/>
            <w:hideMark/>
          </w:tcPr>
          <w:p w14:paraId="69CCBC70" w14:textId="77777777" w:rsidR="00C87438" w:rsidRPr="00C87438" w:rsidRDefault="00C87438" w:rsidP="00C87438">
            <w:pPr>
              <w:pStyle w:val="BodyTextNumbering"/>
              <w:spacing w:after="120"/>
              <w:rPr>
                <w:rFonts w:ascii="Century Gothic" w:hAnsi="Century Gothic"/>
                <w:b/>
                <w:i/>
                <w:szCs w:val="20"/>
              </w:rPr>
            </w:pPr>
            <w:r w:rsidRPr="00C87438">
              <w:rPr>
                <w:rFonts w:ascii="Century Gothic" w:hAnsi="Century Gothic"/>
                <w:b/>
                <w:i/>
                <w:szCs w:val="20"/>
              </w:rPr>
              <w:t>Document control information</w:t>
            </w:r>
          </w:p>
        </w:tc>
      </w:tr>
      <w:tr w:rsidR="00C87438" w:rsidRPr="00C87438" w14:paraId="69CCBC76" w14:textId="77777777" w:rsidTr="00C87438">
        <w:trPr>
          <w:trHeight w:val="283"/>
        </w:trPr>
        <w:tc>
          <w:tcPr>
            <w:tcW w:w="1054" w:type="pct"/>
            <w:tcBorders>
              <w:top w:val="single" w:sz="2" w:space="0" w:color="006187"/>
            </w:tcBorders>
            <w:shd w:val="clear" w:color="auto" w:fill="C6D9F1"/>
            <w:vAlign w:val="center"/>
            <w:hideMark/>
          </w:tcPr>
          <w:p w14:paraId="69CCBC72"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Approved by:</w:t>
            </w:r>
          </w:p>
        </w:tc>
        <w:tc>
          <w:tcPr>
            <w:tcW w:w="2525" w:type="pct"/>
            <w:tcBorders>
              <w:top w:val="single" w:sz="2" w:space="0" w:color="006187"/>
            </w:tcBorders>
            <w:shd w:val="clear" w:color="auto" w:fill="C6D9F1"/>
            <w:vAlign w:val="center"/>
            <w:hideMark/>
          </w:tcPr>
          <w:p w14:paraId="69CCBC73"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Enter position title.</w:t>
            </w:r>
          </w:p>
        </w:tc>
        <w:tc>
          <w:tcPr>
            <w:tcW w:w="720" w:type="pct"/>
            <w:tcBorders>
              <w:top w:val="single" w:sz="2" w:space="0" w:color="006187"/>
            </w:tcBorders>
            <w:shd w:val="clear" w:color="auto" w:fill="C6D9F1"/>
            <w:vAlign w:val="center"/>
            <w:hideMark/>
          </w:tcPr>
          <w:p w14:paraId="69CCBC74"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Approved date:</w:t>
            </w:r>
          </w:p>
        </w:tc>
        <w:tc>
          <w:tcPr>
            <w:tcW w:w="701" w:type="pct"/>
            <w:tcBorders>
              <w:top w:val="single" w:sz="2" w:space="0" w:color="006187"/>
            </w:tcBorders>
            <w:shd w:val="clear" w:color="auto" w:fill="C6D9F1"/>
            <w:vAlign w:val="center"/>
          </w:tcPr>
          <w:p w14:paraId="69CCBC75"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Click for date.</w:t>
            </w:r>
          </w:p>
        </w:tc>
      </w:tr>
      <w:tr w:rsidR="00C87438" w:rsidRPr="00C87438" w14:paraId="69CCBC79" w14:textId="77777777" w:rsidTr="00C87438">
        <w:trPr>
          <w:trHeight w:val="283"/>
        </w:trPr>
        <w:tc>
          <w:tcPr>
            <w:tcW w:w="1054" w:type="pct"/>
            <w:shd w:val="clear" w:color="auto" w:fill="C6D9F1"/>
            <w:vAlign w:val="center"/>
            <w:hideMark/>
          </w:tcPr>
          <w:p w14:paraId="69CCBC77"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Last reviewed:</w:t>
            </w:r>
          </w:p>
        </w:tc>
        <w:tc>
          <w:tcPr>
            <w:tcW w:w="3946" w:type="pct"/>
            <w:gridSpan w:val="3"/>
            <w:shd w:val="clear" w:color="auto" w:fill="C6D9F1"/>
            <w:vAlign w:val="center"/>
            <w:hideMark/>
          </w:tcPr>
          <w:p w14:paraId="69CCBC78" w14:textId="77777777" w:rsidR="00C87438" w:rsidRPr="00C87438" w:rsidRDefault="00C87438" w:rsidP="00C87438">
            <w:pPr>
              <w:pStyle w:val="BodyTextNumbering"/>
              <w:spacing w:after="120"/>
              <w:rPr>
                <w:rFonts w:ascii="Century Gothic" w:hAnsi="Century Gothic"/>
                <w:szCs w:val="20"/>
              </w:rPr>
            </w:pPr>
            <w:r w:rsidRPr="00C87438" w:rsidDel="00B5108B">
              <w:rPr>
                <w:rFonts w:ascii="Century Gothic" w:hAnsi="Century Gothic"/>
                <w:szCs w:val="20"/>
              </w:rPr>
              <w:t>New</w:t>
            </w:r>
          </w:p>
        </w:tc>
      </w:tr>
      <w:tr w:rsidR="00C87438" w:rsidRPr="00C87438" w14:paraId="69CCBC7C" w14:textId="77777777" w:rsidTr="00C87438">
        <w:trPr>
          <w:trHeight w:val="283"/>
        </w:trPr>
        <w:tc>
          <w:tcPr>
            <w:tcW w:w="1054" w:type="pct"/>
            <w:shd w:val="clear" w:color="auto" w:fill="C6D9F1"/>
            <w:vAlign w:val="center"/>
            <w:hideMark/>
          </w:tcPr>
          <w:p w14:paraId="69CCBC7A"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Next review:</w:t>
            </w:r>
          </w:p>
        </w:tc>
        <w:tc>
          <w:tcPr>
            <w:tcW w:w="3946" w:type="pct"/>
            <w:gridSpan w:val="3"/>
            <w:shd w:val="clear" w:color="auto" w:fill="C6D9F1"/>
            <w:vAlign w:val="center"/>
            <w:hideMark/>
          </w:tcPr>
          <w:p w14:paraId="69CCBC7B" w14:textId="151B7164" w:rsidR="00C87438" w:rsidRPr="00C87438" w:rsidRDefault="00C87438" w:rsidP="00C87438">
            <w:pPr>
              <w:pStyle w:val="BodyTextNumbering"/>
              <w:spacing w:after="120"/>
              <w:rPr>
                <w:rFonts w:ascii="Century Gothic" w:hAnsi="Century Gothic"/>
                <w:szCs w:val="20"/>
              </w:rPr>
            </w:pPr>
          </w:p>
        </w:tc>
      </w:tr>
      <w:tr w:rsidR="00C87438" w:rsidRPr="00C87438" w14:paraId="69CCBC7F" w14:textId="77777777" w:rsidTr="00C87438">
        <w:trPr>
          <w:trHeight w:val="283"/>
        </w:trPr>
        <w:tc>
          <w:tcPr>
            <w:tcW w:w="1054" w:type="pct"/>
            <w:shd w:val="clear" w:color="auto" w:fill="C6D9F1"/>
            <w:vAlign w:val="center"/>
            <w:hideMark/>
          </w:tcPr>
          <w:p w14:paraId="69CCBC7D"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Created:</w:t>
            </w:r>
          </w:p>
        </w:tc>
        <w:tc>
          <w:tcPr>
            <w:tcW w:w="3946" w:type="pct"/>
            <w:gridSpan w:val="3"/>
            <w:shd w:val="clear" w:color="auto" w:fill="C6D9F1"/>
            <w:vAlign w:val="center"/>
            <w:hideMark/>
          </w:tcPr>
          <w:p w14:paraId="69CCBC7E" w14:textId="2A36216C" w:rsidR="00C87438" w:rsidRPr="00C87438" w:rsidRDefault="002203A9" w:rsidP="00C87438">
            <w:pPr>
              <w:pStyle w:val="BodyTextNumbering"/>
              <w:spacing w:after="120"/>
              <w:rPr>
                <w:rFonts w:ascii="Century Gothic" w:hAnsi="Century Gothic"/>
                <w:szCs w:val="20"/>
              </w:rPr>
            </w:pPr>
            <w:r>
              <w:rPr>
                <w:rFonts w:ascii="Century Gothic" w:hAnsi="Century Gothic"/>
                <w:szCs w:val="20"/>
              </w:rPr>
              <w:t>May</w:t>
            </w:r>
            <w:r w:rsidR="00C87438" w:rsidRPr="00C87438">
              <w:rPr>
                <w:rFonts w:ascii="Century Gothic" w:hAnsi="Century Gothic"/>
                <w:szCs w:val="20"/>
              </w:rPr>
              <w:t>-</w:t>
            </w:r>
            <w:r w:rsidR="00673AC2">
              <w:rPr>
                <w:rFonts w:ascii="Century Gothic" w:hAnsi="Century Gothic"/>
                <w:szCs w:val="20"/>
              </w:rPr>
              <w:t>20</w:t>
            </w:r>
            <w:r w:rsidR="00C87438" w:rsidRPr="00C87438">
              <w:rPr>
                <w:rFonts w:ascii="Century Gothic" w:hAnsi="Century Gothic"/>
                <w:szCs w:val="20"/>
              </w:rPr>
              <w:t xml:space="preserve">17 </w:t>
            </w:r>
          </w:p>
        </w:tc>
      </w:tr>
      <w:tr w:rsidR="00C87438" w:rsidRPr="00C87438" w14:paraId="69CCBC82" w14:textId="77777777" w:rsidTr="00C87438">
        <w:trPr>
          <w:trHeight w:val="283"/>
        </w:trPr>
        <w:tc>
          <w:tcPr>
            <w:tcW w:w="1054" w:type="pct"/>
            <w:tcBorders>
              <w:bottom w:val="single" w:sz="2" w:space="0" w:color="006187"/>
            </w:tcBorders>
            <w:shd w:val="clear" w:color="auto" w:fill="C6D9F1"/>
            <w:vAlign w:val="center"/>
            <w:hideMark/>
          </w:tcPr>
          <w:p w14:paraId="69CCBC80"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Document custodian:</w:t>
            </w:r>
          </w:p>
        </w:tc>
        <w:tc>
          <w:tcPr>
            <w:tcW w:w="3946" w:type="pct"/>
            <w:gridSpan w:val="3"/>
            <w:tcBorders>
              <w:bottom w:val="single" w:sz="2" w:space="0" w:color="006187"/>
            </w:tcBorders>
            <w:shd w:val="clear" w:color="auto" w:fill="C6D9F1"/>
            <w:vAlign w:val="center"/>
            <w:hideMark/>
          </w:tcPr>
          <w:p w14:paraId="69CCBC81" w14:textId="14314500" w:rsidR="00C87438" w:rsidRPr="00C87438" w:rsidRDefault="00C87438" w:rsidP="00C87438">
            <w:pPr>
              <w:pStyle w:val="BodyTextNumbering"/>
              <w:spacing w:after="120"/>
              <w:rPr>
                <w:rFonts w:ascii="Century Gothic" w:hAnsi="Century Gothic"/>
                <w:szCs w:val="20"/>
              </w:rPr>
            </w:pPr>
            <w:r w:rsidRPr="00C87438" w:rsidDel="00B5108B">
              <w:rPr>
                <w:rFonts w:ascii="Century Gothic" w:hAnsi="Century Gothic"/>
                <w:szCs w:val="20"/>
              </w:rPr>
              <w:t xml:space="preserve">Director- Reef 2050, Great Barrier Reef Marine Park </w:t>
            </w:r>
            <w:r w:rsidR="00EE206D">
              <w:rPr>
                <w:rFonts w:ascii="Century Gothic" w:hAnsi="Century Gothic"/>
                <w:szCs w:val="20"/>
              </w:rPr>
              <w:t>Authority</w:t>
            </w:r>
          </w:p>
        </w:tc>
      </w:tr>
      <w:tr w:rsidR="00C87438" w:rsidRPr="00C87438" w14:paraId="69CCBC85" w14:textId="77777777" w:rsidTr="00C87438">
        <w:trPr>
          <w:trHeight w:val="283"/>
        </w:trPr>
        <w:tc>
          <w:tcPr>
            <w:tcW w:w="1054" w:type="pct"/>
            <w:tcBorders>
              <w:top w:val="single" w:sz="2" w:space="0" w:color="006187"/>
            </w:tcBorders>
            <w:shd w:val="clear" w:color="auto" w:fill="C6D9F1"/>
            <w:vAlign w:val="center"/>
            <w:hideMark/>
          </w:tcPr>
          <w:p w14:paraId="69CCBC83" w14:textId="77777777" w:rsidR="00C87438" w:rsidRPr="00C87438" w:rsidRDefault="00C87438" w:rsidP="00C87438">
            <w:pPr>
              <w:pStyle w:val="BodyTextNumbering"/>
              <w:spacing w:after="120"/>
              <w:rPr>
                <w:rFonts w:ascii="Century Gothic" w:hAnsi="Century Gothic"/>
                <w:i/>
                <w:szCs w:val="20"/>
              </w:rPr>
            </w:pPr>
            <w:r w:rsidRPr="00C87438">
              <w:rPr>
                <w:rFonts w:ascii="Century Gothic" w:hAnsi="Century Gothic"/>
                <w:i/>
                <w:szCs w:val="20"/>
              </w:rPr>
              <w:t>Replaces:</w:t>
            </w:r>
          </w:p>
        </w:tc>
        <w:tc>
          <w:tcPr>
            <w:tcW w:w="3946" w:type="pct"/>
            <w:gridSpan w:val="3"/>
            <w:tcBorders>
              <w:top w:val="single" w:sz="2" w:space="0" w:color="006187"/>
            </w:tcBorders>
            <w:shd w:val="clear" w:color="auto" w:fill="C6D9F1"/>
            <w:vAlign w:val="center"/>
            <w:hideMark/>
          </w:tcPr>
          <w:p w14:paraId="69CCBC84" w14:textId="77777777" w:rsidR="00C87438" w:rsidRPr="00C87438" w:rsidRDefault="00C87438" w:rsidP="00C87438">
            <w:pPr>
              <w:pStyle w:val="BodyTextNumbering"/>
              <w:spacing w:after="120"/>
              <w:rPr>
                <w:rFonts w:ascii="Century Gothic" w:hAnsi="Century Gothic"/>
                <w:szCs w:val="20"/>
              </w:rPr>
            </w:pPr>
            <w:r w:rsidRPr="00C87438" w:rsidDel="00B5108B">
              <w:rPr>
                <w:rFonts w:ascii="Century Gothic" w:hAnsi="Century Gothic"/>
                <w:szCs w:val="20"/>
              </w:rPr>
              <w:t>New</w:t>
            </w:r>
          </w:p>
        </w:tc>
      </w:tr>
    </w:tbl>
    <w:p w14:paraId="69CCBC86" w14:textId="77777777" w:rsidR="00C87438" w:rsidRDefault="00C87438" w:rsidP="00C87438">
      <w:pPr>
        <w:pStyle w:val="BodyTextNumbering"/>
        <w:spacing w:after="120"/>
        <w:rPr>
          <w:rFonts w:ascii="Century Gothic" w:hAnsi="Century Gothic"/>
          <w:szCs w:val="20"/>
        </w:rPr>
      </w:pPr>
    </w:p>
    <w:p w14:paraId="69CCBC87" w14:textId="77777777" w:rsidR="00C87438" w:rsidRPr="00C87438" w:rsidRDefault="00C87438" w:rsidP="00C87438">
      <w:pPr>
        <w:pStyle w:val="Heading2"/>
        <w:keepNext/>
        <w:tabs>
          <w:tab w:val="left" w:pos="9498"/>
        </w:tabs>
        <w:spacing w:before="240" w:after="120"/>
        <w:rPr>
          <w:rFonts w:ascii="Century Gothic" w:hAnsi="Century Gothic"/>
          <w:b/>
          <w:szCs w:val="20"/>
        </w:rPr>
      </w:pPr>
      <w:r>
        <w:rPr>
          <w:rFonts w:ascii="Century Gothic" w:hAnsi="Century Gothic"/>
          <w:szCs w:val="20"/>
        </w:rPr>
        <w:br w:type="page"/>
      </w:r>
      <w:bookmarkStart w:id="16" w:name="_Toc478631419"/>
      <w:bookmarkStart w:id="17" w:name="_Toc479240262"/>
      <w:bookmarkStart w:id="18" w:name="_Toc482002030"/>
      <w:r w:rsidRPr="00C87438">
        <w:rPr>
          <w:rFonts w:ascii="Century Gothic" w:hAnsi="Century Gothic"/>
          <w:b/>
          <w:szCs w:val="20"/>
        </w:rPr>
        <w:t xml:space="preserve">Attachment 1: </w:t>
      </w:r>
      <w:bookmarkEnd w:id="16"/>
      <w:r w:rsidRPr="00C87438">
        <w:rPr>
          <w:rFonts w:ascii="Century Gothic" w:hAnsi="Century Gothic"/>
          <w:b/>
          <w:szCs w:val="20"/>
        </w:rPr>
        <w:t>Drivers of change, pressures and impacts on the Great Barrier Reef</w:t>
      </w:r>
      <w:bookmarkEnd w:id="17"/>
      <w:bookmarkEnd w:id="18"/>
    </w:p>
    <w:p w14:paraId="69CCBC88" w14:textId="712AAAB6" w:rsidR="00C87438" w:rsidRPr="004679AB" w:rsidRDefault="00C87438" w:rsidP="00C87438">
      <w:pPr>
        <w:spacing w:after="120" w:line="240" w:lineRule="auto"/>
        <w:rPr>
          <w:rFonts w:ascii="Century Gothic" w:eastAsia="Calibri" w:hAnsi="Century Gothic" w:cs="Arial"/>
          <w:sz w:val="20"/>
          <w:szCs w:val="20"/>
        </w:rPr>
      </w:pPr>
      <w:r w:rsidRPr="006163CC">
        <w:rPr>
          <w:rFonts w:ascii="Century Gothic" w:eastAsia="Calibri" w:hAnsi="Century Gothic" w:cs="Arial"/>
          <w:sz w:val="20"/>
          <w:szCs w:val="20"/>
        </w:rPr>
        <w:t>Drivers are overarching causes that can drive change in the environment (State of the Environment, 2011; Strategic</w:t>
      </w:r>
      <w:r w:rsidRPr="004679AB">
        <w:rPr>
          <w:rFonts w:ascii="Century Gothic" w:eastAsia="Calibri" w:hAnsi="Century Gothic" w:cs="Arial"/>
          <w:sz w:val="20"/>
          <w:szCs w:val="20"/>
        </w:rPr>
        <w:t xml:space="preserve"> Assessment Report, 2014) and have also been referred to as underlying causes of change in the environment (Outlook Report, 2014).  For the purposes of this Policy and the Reef </w:t>
      </w:r>
      <w:r w:rsidR="00560C17">
        <w:rPr>
          <w:rFonts w:ascii="Century Gothic" w:eastAsia="Calibri" w:hAnsi="Century Gothic" w:cs="Arial"/>
          <w:sz w:val="20"/>
          <w:szCs w:val="20"/>
        </w:rPr>
        <w:t xml:space="preserve">2050 </w:t>
      </w:r>
      <w:r w:rsidRPr="004679AB">
        <w:rPr>
          <w:rFonts w:ascii="Century Gothic" w:eastAsia="Calibri" w:hAnsi="Century Gothic" w:cs="Arial"/>
          <w:sz w:val="20"/>
          <w:szCs w:val="20"/>
        </w:rPr>
        <w:t>Integrated Monitoring and Reporting Program, it is proposed to adopt six drivers of change for the Great Barrier Reef system:</w:t>
      </w:r>
    </w:p>
    <w:p w14:paraId="69CCBC89"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Climate change</w:t>
      </w:r>
    </w:p>
    <w:p w14:paraId="69CCBC8A"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Population growth</w:t>
      </w:r>
    </w:p>
    <w:p w14:paraId="69CCBC8B"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Economic growth</w:t>
      </w:r>
    </w:p>
    <w:p w14:paraId="69CCBC8C"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Technological developments</w:t>
      </w:r>
    </w:p>
    <w:p w14:paraId="69CCBC8D"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Societal attitudes</w:t>
      </w:r>
    </w:p>
    <w:p w14:paraId="69CCBC8E" w14:textId="77777777" w:rsidR="00C87438" w:rsidRPr="004679AB" w:rsidRDefault="00C87438" w:rsidP="00C87438">
      <w:pPr>
        <w:numPr>
          <w:ilvl w:val="0"/>
          <w:numId w:val="34"/>
        </w:numPr>
        <w:spacing w:after="120" w:line="240" w:lineRule="auto"/>
        <w:rPr>
          <w:rFonts w:ascii="Century Gothic" w:eastAsia="Calibri" w:hAnsi="Century Gothic" w:cs="Arial"/>
          <w:sz w:val="20"/>
          <w:szCs w:val="20"/>
        </w:rPr>
      </w:pPr>
      <w:r w:rsidRPr="004679AB">
        <w:rPr>
          <w:rFonts w:ascii="Century Gothic" w:eastAsia="Calibri" w:hAnsi="Century Gothic" w:cs="Arial"/>
          <w:sz w:val="20"/>
          <w:szCs w:val="20"/>
        </w:rPr>
        <w:t>Governance systems</w:t>
      </w:r>
    </w:p>
    <w:p w14:paraId="69CCBC8F" w14:textId="77777777" w:rsidR="00C87438" w:rsidRPr="004679AB" w:rsidRDefault="00C87438" w:rsidP="00C87438">
      <w:pPr>
        <w:rPr>
          <w:rFonts w:ascii="Century Gothic" w:eastAsia="Calibri" w:hAnsi="Century Gothic" w:cs="Arial"/>
          <w:sz w:val="20"/>
          <w:szCs w:val="20"/>
        </w:rPr>
      </w:pPr>
      <w:r w:rsidRPr="004679AB">
        <w:rPr>
          <w:rFonts w:ascii="Century Gothic" w:eastAsia="Calibri" w:hAnsi="Century Gothic" w:cs="Arial"/>
          <w:sz w:val="20"/>
          <w:szCs w:val="20"/>
        </w:rPr>
        <w:t>Pressures and impacts are mechanisms that exert a change force (either positive or negative) on a value.  Put another way, pressures and impacts are the change mechanisms (e.g. processes or activities) that result from drivers.  For the purposes of this policy, pressures are defined consistent with the Outlook Report ‘threats’ (2014) and the Strategic Assessment Report ‘impacts’ (2014).</w:t>
      </w:r>
    </w:p>
    <w:p w14:paraId="69CCBC90" w14:textId="77777777" w:rsidR="00C87438" w:rsidRPr="004679AB" w:rsidRDefault="00C87438" w:rsidP="00C87438">
      <w:pPr>
        <w:tabs>
          <w:tab w:val="left" w:pos="5472"/>
        </w:tabs>
        <w:spacing w:before="120" w:after="120"/>
        <w:rPr>
          <w:rFonts w:ascii="Century Gothic" w:eastAsia="Calibri" w:hAnsi="Century Gothic" w:cs="Arial"/>
          <w:b/>
          <w:sz w:val="21"/>
          <w:szCs w:val="21"/>
        </w:rPr>
      </w:pPr>
      <w:r w:rsidRPr="004679AB">
        <w:rPr>
          <w:rFonts w:ascii="Century Gothic" w:eastAsia="Calibri" w:hAnsi="Century Gothic" w:cs="Arial"/>
          <w:b/>
          <w:sz w:val="21"/>
          <w:szCs w:val="21"/>
        </w:rPr>
        <w:t>Table A1.1 – Pressures and impacts, their definition and associated source</w:t>
      </w:r>
    </w:p>
    <w:tbl>
      <w:tblPr>
        <w:tblW w:w="493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2686"/>
        <w:gridCol w:w="7588"/>
      </w:tblGrid>
      <w:tr w:rsidR="00C87438" w:rsidRPr="007B6255" w14:paraId="69CCBC93" w14:textId="77777777" w:rsidTr="007B6255">
        <w:trPr>
          <w:trHeight w:val="510"/>
          <w:tblHeader/>
        </w:trPr>
        <w:tc>
          <w:tcPr>
            <w:tcW w:w="1307" w:type="pct"/>
            <w:tcBorders>
              <w:left w:val="nil"/>
            </w:tcBorders>
            <w:shd w:val="clear" w:color="auto" w:fill="808080"/>
          </w:tcPr>
          <w:p w14:paraId="69CCBC91" w14:textId="77777777" w:rsidR="00C87438" w:rsidRPr="007B6255" w:rsidRDefault="00C87438" w:rsidP="007B6255">
            <w:pPr>
              <w:spacing w:before="40" w:after="40" w:line="240" w:lineRule="auto"/>
              <w:jc w:val="center"/>
              <w:rPr>
                <w:rFonts w:ascii="Century Gothic" w:eastAsia="Calibri" w:hAnsi="Century Gothic" w:cs="Arial"/>
                <w:b/>
                <w:bCs/>
                <w:color w:val="FFFFFF"/>
                <w:sz w:val="20"/>
              </w:rPr>
            </w:pPr>
            <w:r w:rsidRPr="007B6255">
              <w:rPr>
                <w:rFonts w:ascii="Century Gothic" w:eastAsia="Calibri" w:hAnsi="Century Gothic" w:cs="Arial"/>
                <w:b/>
                <w:bCs/>
                <w:color w:val="FFFFFF"/>
                <w:sz w:val="20"/>
              </w:rPr>
              <w:t>Pressures and impacts</w:t>
            </w:r>
          </w:p>
        </w:tc>
        <w:tc>
          <w:tcPr>
            <w:tcW w:w="3693" w:type="pct"/>
            <w:tcBorders>
              <w:right w:val="nil"/>
            </w:tcBorders>
            <w:shd w:val="clear" w:color="auto" w:fill="808080"/>
          </w:tcPr>
          <w:p w14:paraId="69CCBC92" w14:textId="77777777" w:rsidR="00C87438" w:rsidRPr="007B6255" w:rsidRDefault="00C87438" w:rsidP="007B6255">
            <w:pPr>
              <w:spacing w:before="40" w:after="40" w:line="240" w:lineRule="auto"/>
              <w:jc w:val="center"/>
              <w:rPr>
                <w:rFonts w:ascii="Century Gothic" w:eastAsia="Calibri" w:hAnsi="Century Gothic" w:cs="Arial"/>
                <w:b/>
                <w:bCs/>
                <w:color w:val="FFFFFF"/>
                <w:sz w:val="20"/>
                <w:szCs w:val="18"/>
              </w:rPr>
            </w:pPr>
            <w:r w:rsidRPr="007B6255">
              <w:rPr>
                <w:rFonts w:ascii="Century Gothic" w:eastAsia="Calibri" w:hAnsi="Century Gothic" w:cs="Arial"/>
                <w:b/>
                <w:bCs/>
                <w:color w:val="FFFFFF"/>
                <w:sz w:val="20"/>
                <w:szCs w:val="18"/>
              </w:rPr>
              <w:t>Definitions</w:t>
            </w:r>
          </w:p>
        </w:tc>
      </w:tr>
      <w:tr w:rsidR="00C87438" w:rsidRPr="007B6255" w14:paraId="69CCBC96" w14:textId="77777777" w:rsidTr="007B6255">
        <w:trPr>
          <w:trHeight w:val="220"/>
        </w:trPr>
        <w:tc>
          <w:tcPr>
            <w:tcW w:w="1307" w:type="pct"/>
            <w:tcBorders>
              <w:top w:val="double" w:sz="4" w:space="0" w:color="FFFFFF"/>
              <w:left w:val="nil"/>
              <w:bottom w:val="double" w:sz="4" w:space="0" w:color="FFFFFF"/>
            </w:tcBorders>
            <w:shd w:val="clear" w:color="auto" w:fill="E8F5F8"/>
          </w:tcPr>
          <w:p w14:paraId="69CCBC94" w14:textId="77777777" w:rsidR="00C87438" w:rsidRPr="007B6255" w:rsidRDefault="00C87438" w:rsidP="007B6255">
            <w:pPr>
              <w:spacing w:before="40" w:after="40" w:line="240" w:lineRule="auto"/>
              <w:rPr>
                <w:rFonts w:ascii="Century Gothic" w:eastAsia="Calibri" w:hAnsi="Century Gothic" w:cs="Arial"/>
                <w:b/>
                <w:bCs/>
              </w:rPr>
            </w:pPr>
            <w:r w:rsidRPr="007B6255">
              <w:rPr>
                <w:rFonts w:ascii="Century Gothic" w:eastAsia="Calibri" w:hAnsi="Century Gothic" w:cs="Arial"/>
                <w:b/>
                <w:bCs/>
                <w:sz w:val="18"/>
                <w:szCs w:val="18"/>
              </w:rPr>
              <w:t>Acid sulphate soils</w:t>
            </w:r>
          </w:p>
        </w:tc>
        <w:tc>
          <w:tcPr>
            <w:tcW w:w="3693" w:type="pct"/>
            <w:tcBorders>
              <w:top w:val="double" w:sz="4" w:space="0" w:color="FFFFFF"/>
              <w:bottom w:val="double" w:sz="4" w:space="0" w:color="FFFFFF"/>
              <w:right w:val="nil"/>
            </w:tcBorders>
            <w:shd w:val="clear" w:color="auto" w:fill="E8F5F8"/>
          </w:tcPr>
          <w:p w14:paraId="69CCBC95"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Exposure and subsequent oxidation of potential acid sulphate soils.</w:t>
            </w:r>
          </w:p>
        </w:tc>
      </w:tr>
      <w:tr w:rsidR="00C87438" w:rsidRPr="007B6255" w14:paraId="69CCBC99" w14:textId="77777777" w:rsidTr="007B6255">
        <w:trPr>
          <w:trHeight w:val="304"/>
        </w:trPr>
        <w:tc>
          <w:tcPr>
            <w:tcW w:w="1307" w:type="pct"/>
            <w:tcBorders>
              <w:left w:val="nil"/>
            </w:tcBorders>
            <w:shd w:val="clear" w:color="auto" w:fill="E8F5F8"/>
          </w:tcPr>
          <w:p w14:paraId="69CCBC97"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Altered ocean currents</w:t>
            </w:r>
          </w:p>
        </w:tc>
        <w:tc>
          <w:tcPr>
            <w:tcW w:w="3693" w:type="pct"/>
            <w:tcBorders>
              <w:right w:val="nil"/>
            </w:tcBorders>
            <w:shd w:val="clear" w:color="auto" w:fill="E8F5F8"/>
          </w:tcPr>
          <w:p w14:paraId="69CCBC98"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Altered ocean currents due to climate change or anomalies related to the El Niño-Southern Oscillation, and altered coastal water movement at a local scale.</w:t>
            </w:r>
          </w:p>
        </w:tc>
      </w:tr>
      <w:tr w:rsidR="00C87438" w:rsidRPr="007B6255" w14:paraId="69CCBC9C"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9A"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Artificial light</w:t>
            </w:r>
          </w:p>
        </w:tc>
        <w:tc>
          <w:tcPr>
            <w:tcW w:w="3693" w:type="pct"/>
            <w:tcBorders>
              <w:top w:val="double" w:sz="4" w:space="0" w:color="FFFFFF"/>
              <w:bottom w:val="double" w:sz="4" w:space="0" w:color="FFFFFF"/>
              <w:right w:val="nil"/>
            </w:tcBorders>
            <w:shd w:val="clear" w:color="auto" w:fill="E8F5F8"/>
          </w:tcPr>
          <w:p w14:paraId="69CCBC9B"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Artificial lighting including from resorts, industrial infrastructure, mainland beaches and coastlines, vessels and ships.</w:t>
            </w:r>
          </w:p>
        </w:tc>
      </w:tr>
      <w:tr w:rsidR="00C87438" w:rsidRPr="007B6255" w14:paraId="69CCBC9F" w14:textId="77777777" w:rsidTr="007B6255">
        <w:trPr>
          <w:trHeight w:val="337"/>
        </w:trPr>
        <w:tc>
          <w:tcPr>
            <w:tcW w:w="1307" w:type="pct"/>
            <w:tcBorders>
              <w:left w:val="nil"/>
            </w:tcBorders>
            <w:shd w:val="clear" w:color="auto" w:fill="E8F5F8"/>
          </w:tcPr>
          <w:p w14:paraId="69CCBC9D"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Atmospheric pollution</w:t>
            </w:r>
          </w:p>
        </w:tc>
        <w:tc>
          <w:tcPr>
            <w:tcW w:w="3693" w:type="pct"/>
            <w:tcBorders>
              <w:right w:val="nil"/>
            </w:tcBorders>
            <w:shd w:val="clear" w:color="auto" w:fill="E8F5F8"/>
          </w:tcPr>
          <w:p w14:paraId="69CCBC9E"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 xml:space="preserve">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 </w:t>
            </w:r>
          </w:p>
        </w:tc>
      </w:tr>
      <w:tr w:rsidR="00C87438" w:rsidRPr="007B6255" w14:paraId="69CCBCA2"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A0"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Artificial barriers to flow</w:t>
            </w:r>
          </w:p>
        </w:tc>
        <w:tc>
          <w:tcPr>
            <w:tcW w:w="3693" w:type="pct"/>
            <w:tcBorders>
              <w:top w:val="double" w:sz="4" w:space="0" w:color="FFFFFF"/>
              <w:bottom w:val="double" w:sz="4" w:space="0" w:color="FFFFFF"/>
              <w:right w:val="nil"/>
            </w:tcBorders>
            <w:shd w:val="clear" w:color="auto" w:fill="E8F5F8"/>
          </w:tcPr>
          <w:p w14:paraId="69CCBCA1"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Artificial barriers to riverine and estuarine flow including breakwalls, weirs, dams, gates, ponded pastures, and weeds causing changes to hydrology, groundwater and ecological connectivity.</w:t>
            </w:r>
          </w:p>
        </w:tc>
      </w:tr>
      <w:tr w:rsidR="00C87438" w:rsidRPr="007B6255" w14:paraId="69CCBCA5" w14:textId="77777777" w:rsidTr="007B6255">
        <w:trPr>
          <w:trHeight w:val="310"/>
        </w:trPr>
        <w:tc>
          <w:tcPr>
            <w:tcW w:w="1307" w:type="pct"/>
            <w:tcBorders>
              <w:left w:val="nil"/>
            </w:tcBorders>
            <w:shd w:val="clear" w:color="auto" w:fill="E8F5F8"/>
          </w:tcPr>
          <w:p w14:paraId="69CCBCA3"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Coastal reclamation</w:t>
            </w:r>
          </w:p>
        </w:tc>
        <w:tc>
          <w:tcPr>
            <w:tcW w:w="3693" w:type="pct"/>
            <w:tcBorders>
              <w:right w:val="nil"/>
            </w:tcBorders>
            <w:shd w:val="clear" w:color="auto" w:fill="E8F5F8"/>
          </w:tcPr>
          <w:p w14:paraId="69CCBCA4"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Coastal land reclamation, including for ports and groynes.</w:t>
            </w:r>
          </w:p>
        </w:tc>
      </w:tr>
      <w:tr w:rsidR="00C87438" w:rsidRPr="007B6255" w14:paraId="69CCBCA8" w14:textId="77777777" w:rsidTr="007B6255">
        <w:trPr>
          <w:trHeight w:val="238"/>
        </w:trPr>
        <w:tc>
          <w:tcPr>
            <w:tcW w:w="1307" w:type="pct"/>
            <w:tcBorders>
              <w:top w:val="double" w:sz="4" w:space="0" w:color="FFFFFF"/>
              <w:left w:val="nil"/>
              <w:bottom w:val="double" w:sz="4" w:space="0" w:color="FFFFFF"/>
            </w:tcBorders>
            <w:shd w:val="clear" w:color="auto" w:fill="E8F5F8"/>
          </w:tcPr>
          <w:p w14:paraId="69CCBCA6"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Cyclone activity</w:t>
            </w:r>
          </w:p>
        </w:tc>
        <w:tc>
          <w:tcPr>
            <w:tcW w:w="3693" w:type="pct"/>
            <w:tcBorders>
              <w:top w:val="double" w:sz="4" w:space="0" w:color="FFFFFF"/>
              <w:bottom w:val="double" w:sz="4" w:space="0" w:color="FFFFFF"/>
              <w:right w:val="nil"/>
            </w:tcBorders>
            <w:shd w:val="clear" w:color="auto" w:fill="E8F5F8"/>
          </w:tcPr>
          <w:p w14:paraId="69CCBCA7"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Cyclone activity.</w:t>
            </w:r>
          </w:p>
        </w:tc>
      </w:tr>
      <w:tr w:rsidR="00C87438" w:rsidRPr="007B6255" w14:paraId="69CCBCAB" w14:textId="77777777" w:rsidTr="007B6255">
        <w:trPr>
          <w:trHeight w:val="337"/>
        </w:trPr>
        <w:tc>
          <w:tcPr>
            <w:tcW w:w="1307" w:type="pct"/>
            <w:tcBorders>
              <w:left w:val="nil"/>
            </w:tcBorders>
            <w:shd w:val="clear" w:color="auto" w:fill="E8F5F8"/>
          </w:tcPr>
          <w:p w14:paraId="69CCBCA9"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Damage to reef structure</w:t>
            </w:r>
          </w:p>
        </w:tc>
        <w:tc>
          <w:tcPr>
            <w:tcW w:w="3693" w:type="pct"/>
            <w:tcBorders>
              <w:right w:val="nil"/>
            </w:tcBorders>
            <w:shd w:val="clear" w:color="auto" w:fill="E8F5F8"/>
          </w:tcPr>
          <w:p w14:paraId="69CCBCAA"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Physical damage to reef benthos (reef structure) through actions such as snorkelling, diving, anchoring and fishing, but not vessel grounding.</w:t>
            </w:r>
          </w:p>
        </w:tc>
      </w:tr>
      <w:tr w:rsidR="00C87438" w:rsidRPr="007B6255" w14:paraId="69CCBCAE"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AC"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Damage to seafloor</w:t>
            </w:r>
          </w:p>
        </w:tc>
        <w:tc>
          <w:tcPr>
            <w:tcW w:w="3693" w:type="pct"/>
            <w:tcBorders>
              <w:top w:val="double" w:sz="4" w:space="0" w:color="FFFFFF"/>
              <w:bottom w:val="double" w:sz="4" w:space="0" w:color="FFFFFF"/>
              <w:right w:val="nil"/>
            </w:tcBorders>
            <w:shd w:val="clear" w:color="auto" w:fill="E8F5F8"/>
          </w:tcPr>
          <w:p w14:paraId="69CCBCAD"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Physical damage to non-reef benthos (seafloor) through actions such as trawling and anchoring, but not vessel grounding.</w:t>
            </w:r>
          </w:p>
        </w:tc>
      </w:tr>
      <w:tr w:rsidR="00C87438" w:rsidRPr="007B6255" w14:paraId="69CCBCB1" w14:textId="77777777" w:rsidTr="007B6255">
        <w:trPr>
          <w:trHeight w:val="337"/>
        </w:trPr>
        <w:tc>
          <w:tcPr>
            <w:tcW w:w="1307" w:type="pct"/>
            <w:tcBorders>
              <w:left w:val="nil"/>
            </w:tcBorders>
            <w:shd w:val="clear" w:color="auto" w:fill="E8F5F8"/>
          </w:tcPr>
          <w:p w14:paraId="69CCBCAF"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Disposal and resuspension of dredge material</w:t>
            </w:r>
          </w:p>
        </w:tc>
        <w:tc>
          <w:tcPr>
            <w:tcW w:w="3693" w:type="pct"/>
            <w:tcBorders>
              <w:right w:val="nil"/>
            </w:tcBorders>
            <w:shd w:val="clear" w:color="auto" w:fill="E8F5F8"/>
          </w:tcPr>
          <w:p w14:paraId="69CCBCB0"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Sea dumping of dredge material including smothering, loss and modification of seabed habitats and resuspension.</w:t>
            </w:r>
          </w:p>
        </w:tc>
      </w:tr>
      <w:tr w:rsidR="00C87438" w:rsidRPr="007B6255" w14:paraId="69CCBCB4" w14:textId="77777777" w:rsidTr="007B6255">
        <w:trPr>
          <w:trHeight w:val="292"/>
        </w:trPr>
        <w:tc>
          <w:tcPr>
            <w:tcW w:w="1307" w:type="pct"/>
            <w:tcBorders>
              <w:top w:val="double" w:sz="4" w:space="0" w:color="FFFFFF"/>
              <w:left w:val="nil"/>
              <w:bottom w:val="double" w:sz="4" w:space="0" w:color="FFFFFF"/>
            </w:tcBorders>
            <w:shd w:val="clear" w:color="auto" w:fill="E8F5F8"/>
          </w:tcPr>
          <w:p w14:paraId="69CCBCB2"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Dredging</w:t>
            </w:r>
          </w:p>
        </w:tc>
        <w:tc>
          <w:tcPr>
            <w:tcW w:w="3693" w:type="pct"/>
            <w:tcBorders>
              <w:top w:val="double" w:sz="4" w:space="0" w:color="FFFFFF"/>
              <w:bottom w:val="double" w:sz="4" w:space="0" w:color="FFFFFF"/>
              <w:right w:val="nil"/>
            </w:tcBorders>
            <w:shd w:val="clear" w:color="auto" w:fill="E8F5F8"/>
          </w:tcPr>
          <w:p w14:paraId="69CCBCB3"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Dredging of the seafloor.</w:t>
            </w:r>
          </w:p>
        </w:tc>
      </w:tr>
      <w:tr w:rsidR="00C87438" w:rsidRPr="007B6255" w14:paraId="69CCBCB7" w14:textId="77777777" w:rsidTr="007B6255">
        <w:trPr>
          <w:trHeight w:val="337"/>
        </w:trPr>
        <w:tc>
          <w:tcPr>
            <w:tcW w:w="1307" w:type="pct"/>
            <w:tcBorders>
              <w:left w:val="nil"/>
            </w:tcBorders>
            <w:shd w:val="clear" w:color="auto" w:fill="E8F5F8"/>
          </w:tcPr>
          <w:p w14:paraId="69CCBCB5"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Exotic species and diseases</w:t>
            </w:r>
          </w:p>
        </w:tc>
        <w:tc>
          <w:tcPr>
            <w:tcW w:w="3693" w:type="pct"/>
            <w:tcBorders>
              <w:right w:val="nil"/>
            </w:tcBorders>
            <w:shd w:val="clear" w:color="auto" w:fill="E8F5F8"/>
          </w:tcPr>
          <w:p w14:paraId="69CCBCB6"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Introduction of exotic species and diseases from aquaculture operations, hull fouling, ballast release, imported bait and release of aquarium specimens to the Region, plus the introduction of weeds and feral animals to islands.</w:t>
            </w:r>
          </w:p>
        </w:tc>
      </w:tr>
      <w:tr w:rsidR="00C87438" w:rsidRPr="007B6255" w14:paraId="69CCBCBA"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B8" w14:textId="3192D060" w:rsidR="00C87438" w:rsidRPr="007B6255" w:rsidRDefault="00C87438" w:rsidP="009D7B06">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 xml:space="preserve">Extraction – </w:t>
            </w:r>
            <w:r w:rsidR="009D7B06">
              <w:rPr>
                <w:rFonts w:ascii="Century Gothic" w:eastAsia="Calibri" w:hAnsi="Century Gothic" w:cs="Arial"/>
                <w:b/>
                <w:bCs/>
                <w:sz w:val="18"/>
                <w:szCs w:val="18"/>
              </w:rPr>
              <w:t>d</w:t>
            </w:r>
            <w:r w:rsidRPr="007B6255">
              <w:rPr>
                <w:rFonts w:ascii="Century Gothic" w:eastAsia="Calibri" w:hAnsi="Century Gothic" w:cs="Arial"/>
                <w:b/>
                <w:bCs/>
                <w:sz w:val="18"/>
                <w:szCs w:val="18"/>
              </w:rPr>
              <w:t>iscarded catch</w:t>
            </w:r>
          </w:p>
        </w:tc>
        <w:tc>
          <w:tcPr>
            <w:tcW w:w="3693" w:type="pct"/>
            <w:tcBorders>
              <w:top w:val="double" w:sz="4" w:space="0" w:color="FFFFFF"/>
              <w:bottom w:val="double" w:sz="4" w:space="0" w:color="FFFFFF"/>
              <w:right w:val="nil"/>
            </w:tcBorders>
            <w:shd w:val="clear" w:color="auto" w:fill="E8F5F8"/>
          </w:tcPr>
          <w:p w14:paraId="69CCBCB9"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 xml:space="preserve">Immediate or post-release effects (such as death, injury, reduced reproductive success) on discarded species as a result of interactions with fishing gear. Does not include species of conservation concern. </w:t>
            </w:r>
          </w:p>
        </w:tc>
      </w:tr>
      <w:tr w:rsidR="00C87438" w:rsidRPr="007B6255" w14:paraId="69CCBCBD" w14:textId="77777777" w:rsidTr="007B6255">
        <w:trPr>
          <w:trHeight w:val="337"/>
        </w:trPr>
        <w:tc>
          <w:tcPr>
            <w:tcW w:w="1307" w:type="pct"/>
            <w:tcBorders>
              <w:left w:val="nil"/>
            </w:tcBorders>
            <w:shd w:val="clear" w:color="auto" w:fill="E8F5F8"/>
          </w:tcPr>
          <w:p w14:paraId="69CCBCBB"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Extraction — fishing in spawning aggregations</w:t>
            </w:r>
          </w:p>
        </w:tc>
        <w:tc>
          <w:tcPr>
            <w:tcW w:w="3693" w:type="pct"/>
            <w:tcBorders>
              <w:right w:val="nil"/>
            </w:tcBorders>
            <w:shd w:val="clear" w:color="auto" w:fill="E8F5F8"/>
          </w:tcPr>
          <w:p w14:paraId="69CCBCBC"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fish from unidentified or unprotected spawning aggregations.</w:t>
            </w:r>
          </w:p>
        </w:tc>
      </w:tr>
      <w:tr w:rsidR="00C87438" w:rsidRPr="007B6255" w14:paraId="69CCBCC0"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BE"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Extraction –  herbivores</w:t>
            </w:r>
          </w:p>
        </w:tc>
        <w:tc>
          <w:tcPr>
            <w:tcW w:w="3693" w:type="pct"/>
            <w:tcBorders>
              <w:top w:val="double" w:sz="4" w:space="0" w:color="FFFFFF"/>
              <w:bottom w:val="double" w:sz="4" w:space="0" w:color="FFFFFF"/>
              <w:right w:val="nil"/>
            </w:tcBorders>
            <w:shd w:val="clear" w:color="auto" w:fill="E8F5F8"/>
          </w:tcPr>
          <w:p w14:paraId="69CCBCBF"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herbivores (e.g. some fish, molluscs, dugongs, green turtles) through commercial and non-commercial uses.</w:t>
            </w:r>
          </w:p>
        </w:tc>
      </w:tr>
      <w:tr w:rsidR="00C87438" w:rsidRPr="007B6255" w14:paraId="69CCBCC3" w14:textId="77777777" w:rsidTr="007B6255">
        <w:trPr>
          <w:trHeight w:val="337"/>
        </w:trPr>
        <w:tc>
          <w:tcPr>
            <w:tcW w:w="1307" w:type="pct"/>
            <w:tcBorders>
              <w:left w:val="nil"/>
            </w:tcBorders>
            <w:shd w:val="clear" w:color="auto" w:fill="E8F5F8"/>
          </w:tcPr>
          <w:p w14:paraId="69CCBCC1" w14:textId="697B7D34" w:rsidR="00C87438" w:rsidRPr="007B6255" w:rsidRDefault="00C87438" w:rsidP="009D7B06">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 xml:space="preserve">Extraction – </w:t>
            </w:r>
            <w:r w:rsidR="009D7B06">
              <w:rPr>
                <w:rFonts w:ascii="Century Gothic" w:eastAsia="Calibri" w:hAnsi="Century Gothic" w:cs="Arial"/>
                <w:b/>
                <w:bCs/>
                <w:sz w:val="18"/>
                <w:szCs w:val="18"/>
              </w:rPr>
              <w:t>i</w:t>
            </w:r>
            <w:r w:rsidRPr="007B6255">
              <w:rPr>
                <w:rFonts w:ascii="Century Gothic" w:eastAsia="Calibri" w:hAnsi="Century Gothic" w:cs="Arial"/>
                <w:b/>
                <w:bCs/>
                <w:sz w:val="18"/>
                <w:szCs w:val="18"/>
              </w:rPr>
              <w:t>ncidental catch of species of conservation concern</w:t>
            </w:r>
          </w:p>
        </w:tc>
        <w:tc>
          <w:tcPr>
            <w:tcW w:w="3693" w:type="pct"/>
            <w:tcBorders>
              <w:right w:val="nil"/>
            </w:tcBorders>
            <w:shd w:val="clear" w:color="auto" w:fill="E8F5F8"/>
          </w:tcPr>
          <w:p w14:paraId="69CCBCC2"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Immediate or post-release effects (such as death, injury, reduced reproductive success) of interactions of species of conservation concern with fishing gear.</w:t>
            </w:r>
          </w:p>
        </w:tc>
      </w:tr>
      <w:tr w:rsidR="00C87438" w:rsidRPr="007B6255" w14:paraId="69CCBCC6" w14:textId="77777777" w:rsidTr="007B6255">
        <w:trPr>
          <w:trHeight w:val="562"/>
        </w:trPr>
        <w:tc>
          <w:tcPr>
            <w:tcW w:w="1307" w:type="pct"/>
            <w:tcBorders>
              <w:top w:val="double" w:sz="4" w:space="0" w:color="FFFFFF"/>
              <w:left w:val="nil"/>
              <w:bottom w:val="double" w:sz="4" w:space="0" w:color="FFFFFF"/>
            </w:tcBorders>
            <w:shd w:val="clear" w:color="auto" w:fill="E8F5F8"/>
          </w:tcPr>
          <w:p w14:paraId="69CCBCC4" w14:textId="77777777" w:rsidR="00C87438" w:rsidRPr="007B6255" w:rsidRDefault="00C87438" w:rsidP="007B6255">
            <w:pPr>
              <w:spacing w:before="40" w:after="40" w:line="240" w:lineRule="auto"/>
              <w:rPr>
                <w:rFonts w:ascii="Century Gothic" w:eastAsia="Calibri" w:hAnsi="Century Gothic" w:cs="Arial"/>
                <w:b/>
                <w:bCs/>
                <w:sz w:val="18"/>
                <w:szCs w:val="18"/>
              </w:rPr>
            </w:pPr>
            <w:r w:rsidRPr="007B6255">
              <w:rPr>
                <w:rFonts w:ascii="Century Gothic" w:eastAsia="Calibri" w:hAnsi="Century Gothic" w:cs="Arial"/>
                <w:b/>
                <w:bCs/>
                <w:sz w:val="18"/>
                <w:szCs w:val="18"/>
              </w:rPr>
              <w:t xml:space="preserve">Extraction — lower order predators </w:t>
            </w:r>
          </w:p>
        </w:tc>
        <w:tc>
          <w:tcPr>
            <w:tcW w:w="3693" w:type="pct"/>
            <w:tcBorders>
              <w:top w:val="double" w:sz="4" w:space="0" w:color="FFFFFF"/>
              <w:bottom w:val="double" w:sz="4" w:space="0" w:color="FFFFFF"/>
              <w:right w:val="nil"/>
            </w:tcBorders>
            <w:shd w:val="clear" w:color="auto" w:fill="E8F5F8"/>
          </w:tcPr>
          <w:p w14:paraId="69CCBCC5"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lower order predators (e.g. coral trout and snapper) through commercial, recreational and traditional fishing.</w:t>
            </w:r>
          </w:p>
        </w:tc>
      </w:tr>
      <w:tr w:rsidR="00C87438" w:rsidRPr="007B6255" w14:paraId="69CCBCC9" w14:textId="77777777" w:rsidTr="007B6255">
        <w:trPr>
          <w:trHeight w:val="337"/>
        </w:trPr>
        <w:tc>
          <w:tcPr>
            <w:tcW w:w="1307" w:type="pct"/>
            <w:tcBorders>
              <w:left w:val="nil"/>
            </w:tcBorders>
            <w:shd w:val="clear" w:color="auto" w:fill="E8F5F8"/>
          </w:tcPr>
          <w:p w14:paraId="69CCBCC7"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Extraction — lower trophic orders</w:t>
            </w:r>
          </w:p>
        </w:tc>
        <w:tc>
          <w:tcPr>
            <w:tcW w:w="3693" w:type="pct"/>
            <w:tcBorders>
              <w:right w:val="nil"/>
            </w:tcBorders>
            <w:shd w:val="clear" w:color="auto" w:fill="E8F5F8"/>
          </w:tcPr>
          <w:p w14:paraId="69CCBCC8"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lower trophic orders (e.g. scallops, sea cucumbers and prawns) through commercial, recreational and traditional fishing.</w:t>
            </w:r>
          </w:p>
        </w:tc>
      </w:tr>
      <w:tr w:rsidR="00C87438" w:rsidRPr="007B6255" w14:paraId="69CCBCCC" w14:textId="77777777" w:rsidTr="007B6255">
        <w:trPr>
          <w:trHeight w:val="607"/>
        </w:trPr>
        <w:tc>
          <w:tcPr>
            <w:tcW w:w="1307" w:type="pct"/>
            <w:tcBorders>
              <w:top w:val="double" w:sz="4" w:space="0" w:color="FFFFFF"/>
              <w:left w:val="nil"/>
              <w:bottom w:val="double" w:sz="4" w:space="0" w:color="FFFFFF"/>
            </w:tcBorders>
            <w:shd w:val="clear" w:color="auto" w:fill="E8F5F8"/>
          </w:tcPr>
          <w:p w14:paraId="69CCBCCA" w14:textId="77777777" w:rsidR="00C87438" w:rsidRPr="007B6255" w:rsidRDefault="00C87438" w:rsidP="007B6255">
            <w:pPr>
              <w:spacing w:before="40" w:after="40" w:line="240" w:lineRule="auto"/>
              <w:rPr>
                <w:rFonts w:ascii="Century Gothic" w:eastAsia="Calibri" w:hAnsi="Century Gothic" w:cs="Arial"/>
                <w:b/>
                <w:bCs/>
                <w:sz w:val="18"/>
                <w:szCs w:val="18"/>
              </w:rPr>
            </w:pPr>
            <w:r w:rsidRPr="007B6255">
              <w:rPr>
                <w:rFonts w:ascii="Century Gothic" w:eastAsia="Calibri" w:hAnsi="Century Gothic" w:cs="Arial"/>
                <w:b/>
                <w:bCs/>
                <w:sz w:val="18"/>
                <w:szCs w:val="18"/>
              </w:rPr>
              <w:t xml:space="preserve">Extraction — top order predators </w:t>
            </w:r>
          </w:p>
        </w:tc>
        <w:tc>
          <w:tcPr>
            <w:tcW w:w="3693" w:type="pct"/>
            <w:tcBorders>
              <w:top w:val="double" w:sz="4" w:space="0" w:color="FFFFFF"/>
              <w:bottom w:val="double" w:sz="4" w:space="0" w:color="FFFFFF"/>
              <w:right w:val="nil"/>
            </w:tcBorders>
            <w:shd w:val="clear" w:color="auto" w:fill="E8F5F8"/>
          </w:tcPr>
          <w:p w14:paraId="69CCBCCB"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Retained take (extraction) of top order predators (e.g. sharks) through commercial, recreational and traditional fishing and the Queensland Shark Control Program.</w:t>
            </w:r>
          </w:p>
        </w:tc>
      </w:tr>
      <w:tr w:rsidR="00C87438" w:rsidRPr="007B6255" w14:paraId="69CCBCCF" w14:textId="77777777" w:rsidTr="007B6255">
        <w:trPr>
          <w:trHeight w:val="337"/>
        </w:trPr>
        <w:tc>
          <w:tcPr>
            <w:tcW w:w="1307" w:type="pct"/>
            <w:tcBorders>
              <w:left w:val="nil"/>
            </w:tcBorders>
            <w:shd w:val="clear" w:color="auto" w:fill="E8F5F8"/>
          </w:tcPr>
          <w:p w14:paraId="69CCBCCD"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Grounding large vessel</w:t>
            </w:r>
          </w:p>
        </w:tc>
        <w:tc>
          <w:tcPr>
            <w:tcW w:w="3693" w:type="pct"/>
            <w:tcBorders>
              <w:right w:val="nil"/>
            </w:tcBorders>
            <w:shd w:val="clear" w:color="auto" w:fill="E8F5F8"/>
          </w:tcPr>
          <w:p w14:paraId="69CCBCCE"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Grounding of large vessels (&gt;50m) including physical damage and the dislodging of antifoulants.</w:t>
            </w:r>
          </w:p>
        </w:tc>
      </w:tr>
      <w:tr w:rsidR="00C87438" w:rsidRPr="007B6255" w14:paraId="69CCBCD2"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D0"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Grounding small vessel</w:t>
            </w:r>
          </w:p>
        </w:tc>
        <w:tc>
          <w:tcPr>
            <w:tcW w:w="3693" w:type="pct"/>
            <w:tcBorders>
              <w:top w:val="double" w:sz="4" w:space="0" w:color="FFFFFF"/>
              <w:bottom w:val="double" w:sz="4" w:space="0" w:color="FFFFFF"/>
              <w:right w:val="nil"/>
            </w:tcBorders>
            <w:shd w:val="clear" w:color="auto" w:fill="E8F5F8"/>
          </w:tcPr>
          <w:p w14:paraId="69CCBCD1"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Grounding of small vessels (&lt;50m) including physical damage and the dislodging of antifoulants.</w:t>
            </w:r>
          </w:p>
        </w:tc>
      </w:tr>
      <w:tr w:rsidR="00C87438" w:rsidRPr="007B6255" w14:paraId="69CCBCD5" w14:textId="77777777" w:rsidTr="007B6255">
        <w:trPr>
          <w:trHeight w:val="337"/>
        </w:trPr>
        <w:tc>
          <w:tcPr>
            <w:tcW w:w="1307" w:type="pct"/>
            <w:tcBorders>
              <w:left w:val="nil"/>
            </w:tcBorders>
            <w:shd w:val="clear" w:color="auto" w:fill="E8F5F8"/>
          </w:tcPr>
          <w:p w14:paraId="69CCBCD3"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Illegal activities — other</w:t>
            </w:r>
          </w:p>
        </w:tc>
        <w:tc>
          <w:tcPr>
            <w:tcW w:w="3693" w:type="pct"/>
            <w:tcBorders>
              <w:right w:val="nil"/>
            </w:tcBorders>
            <w:shd w:val="clear" w:color="auto" w:fill="E8F5F8"/>
          </w:tcPr>
          <w:p w14:paraId="69CCBCD4"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Illegal activities such as entering a protected or restricted area, illegal release of industrial discharge, shipping outside of designated shipping areas.</w:t>
            </w:r>
          </w:p>
        </w:tc>
      </w:tr>
      <w:tr w:rsidR="00C87438" w:rsidRPr="007B6255" w14:paraId="69CCBCD8"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D6"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Illegal fishing and poaching</w:t>
            </w:r>
          </w:p>
        </w:tc>
        <w:tc>
          <w:tcPr>
            <w:tcW w:w="3693" w:type="pct"/>
            <w:tcBorders>
              <w:top w:val="double" w:sz="4" w:space="0" w:color="FFFFFF"/>
              <w:bottom w:val="double" w:sz="4" w:space="0" w:color="FFFFFF"/>
              <w:right w:val="nil"/>
            </w:tcBorders>
            <w:shd w:val="clear" w:color="auto" w:fill="E8F5F8"/>
          </w:tcPr>
          <w:p w14:paraId="69CCBCD7"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Illegal fishing, collecting and poaching (foreign or domestic) including of species of conservation concern.</w:t>
            </w:r>
          </w:p>
        </w:tc>
      </w:tr>
      <w:tr w:rsidR="00C87438" w:rsidRPr="007B6255" w14:paraId="69CCBCDB" w14:textId="77777777" w:rsidTr="007B6255">
        <w:trPr>
          <w:trHeight w:val="337"/>
        </w:trPr>
        <w:tc>
          <w:tcPr>
            <w:tcW w:w="1307" w:type="pct"/>
            <w:tcBorders>
              <w:left w:val="nil"/>
            </w:tcBorders>
            <w:shd w:val="clear" w:color="auto" w:fill="E8F5F8"/>
          </w:tcPr>
          <w:p w14:paraId="69CCBCD9"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Incompatible uses</w:t>
            </w:r>
          </w:p>
        </w:tc>
        <w:tc>
          <w:tcPr>
            <w:tcW w:w="3693" w:type="pct"/>
            <w:tcBorders>
              <w:right w:val="nil"/>
            </w:tcBorders>
            <w:shd w:val="clear" w:color="auto" w:fill="E8F5F8"/>
          </w:tcPr>
          <w:p w14:paraId="69CCBCDA"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Activities undertaken within the Region that disturb or exclude other users, such as recreational use in areas important for cultural activities.</w:t>
            </w:r>
          </w:p>
        </w:tc>
      </w:tr>
      <w:tr w:rsidR="00C87438" w:rsidRPr="007B6255" w14:paraId="69CCBCDE"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DC"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Increased freshwater inflow</w:t>
            </w:r>
          </w:p>
        </w:tc>
        <w:tc>
          <w:tcPr>
            <w:tcW w:w="3693" w:type="pct"/>
            <w:tcBorders>
              <w:top w:val="double" w:sz="4" w:space="0" w:color="FFFFFF"/>
              <w:bottom w:val="double" w:sz="4" w:space="0" w:color="FFFFFF"/>
              <w:right w:val="nil"/>
            </w:tcBorders>
            <w:shd w:val="clear" w:color="auto" w:fill="E8F5F8"/>
          </w:tcPr>
          <w:p w14:paraId="69CCBCDD"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Increased freshwater inflow from prolonged or heavy rainfall including flood events, and from changes to catchment ecosystems; resulting in reduced salinity.</w:t>
            </w:r>
          </w:p>
        </w:tc>
      </w:tr>
      <w:tr w:rsidR="00C87438" w:rsidRPr="007B6255" w14:paraId="69CCBCE1" w14:textId="77777777" w:rsidTr="007B6255">
        <w:trPr>
          <w:trHeight w:val="337"/>
        </w:trPr>
        <w:tc>
          <w:tcPr>
            <w:tcW w:w="1307" w:type="pct"/>
            <w:tcBorders>
              <w:left w:val="nil"/>
            </w:tcBorders>
            <w:shd w:val="clear" w:color="auto" w:fill="E8F5F8"/>
          </w:tcPr>
          <w:p w14:paraId="69CCBCDF"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Marine debris</w:t>
            </w:r>
          </w:p>
        </w:tc>
        <w:tc>
          <w:tcPr>
            <w:tcW w:w="3693" w:type="pct"/>
            <w:tcBorders>
              <w:right w:val="nil"/>
            </w:tcBorders>
            <w:shd w:val="clear" w:color="auto" w:fill="E8F5F8"/>
          </w:tcPr>
          <w:p w14:paraId="69CCBCE0"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Manufactured material discarded, disposed of or abandoned in the marine and coastal environment (including discarded fishing gear and plastics).</w:t>
            </w:r>
          </w:p>
        </w:tc>
      </w:tr>
      <w:tr w:rsidR="00C87438" w:rsidRPr="007B6255" w14:paraId="69CCBCE4"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E2"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Modifying supporting terrestrial habitats</w:t>
            </w:r>
          </w:p>
        </w:tc>
        <w:tc>
          <w:tcPr>
            <w:tcW w:w="3693" w:type="pct"/>
            <w:tcBorders>
              <w:top w:val="double" w:sz="4" w:space="0" w:color="FFFFFF"/>
              <w:bottom w:val="double" w:sz="4" w:space="0" w:color="FFFFFF"/>
              <w:right w:val="nil"/>
            </w:tcBorders>
            <w:shd w:val="clear" w:color="auto" w:fill="E8F5F8"/>
          </w:tcPr>
          <w:p w14:paraId="69CCBCE3"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Clearing or modifying supporting terrestrial habitats such as wetlands, saltmarshes, mangroves and sand dunes — this also includes trampling and damage from recreational vehicle use.</w:t>
            </w:r>
          </w:p>
        </w:tc>
      </w:tr>
      <w:tr w:rsidR="00C87438" w:rsidRPr="007B6255" w14:paraId="69CCBCE7" w14:textId="77777777" w:rsidTr="007B6255">
        <w:trPr>
          <w:trHeight w:val="301"/>
        </w:trPr>
        <w:tc>
          <w:tcPr>
            <w:tcW w:w="1307" w:type="pct"/>
            <w:tcBorders>
              <w:left w:val="nil"/>
            </w:tcBorders>
            <w:shd w:val="clear" w:color="auto" w:fill="E8F5F8"/>
          </w:tcPr>
          <w:p w14:paraId="69CCBCE5"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Noise pollution</w:t>
            </w:r>
          </w:p>
        </w:tc>
        <w:tc>
          <w:tcPr>
            <w:tcW w:w="3693" w:type="pct"/>
            <w:tcBorders>
              <w:right w:val="nil"/>
            </w:tcBorders>
            <w:shd w:val="clear" w:color="auto" w:fill="E8F5F8"/>
          </w:tcPr>
          <w:p w14:paraId="69CCBCE6"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Noise from human activities, both below and above water.</w:t>
            </w:r>
          </w:p>
        </w:tc>
      </w:tr>
      <w:tr w:rsidR="00C87438" w:rsidRPr="007B6255" w14:paraId="69CCBCEA"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E8"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Nutrients from catchment run-off</w:t>
            </w:r>
          </w:p>
        </w:tc>
        <w:tc>
          <w:tcPr>
            <w:tcW w:w="3693" w:type="pct"/>
            <w:tcBorders>
              <w:top w:val="double" w:sz="4" w:space="0" w:color="FFFFFF"/>
              <w:bottom w:val="double" w:sz="4" w:space="0" w:color="FFFFFF"/>
              <w:right w:val="nil"/>
            </w:tcBorders>
            <w:shd w:val="clear" w:color="auto" w:fill="E8F5F8"/>
          </w:tcPr>
          <w:p w14:paraId="69CCBCE9"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Nutrients entering the Region in run-off from the catchment.</w:t>
            </w:r>
          </w:p>
        </w:tc>
      </w:tr>
      <w:tr w:rsidR="00C87438" w:rsidRPr="007B6255" w14:paraId="69CCBCED" w14:textId="77777777" w:rsidTr="007B6255">
        <w:trPr>
          <w:trHeight w:val="310"/>
        </w:trPr>
        <w:tc>
          <w:tcPr>
            <w:tcW w:w="1307" w:type="pct"/>
            <w:tcBorders>
              <w:left w:val="nil"/>
            </w:tcBorders>
            <w:shd w:val="clear" w:color="auto" w:fill="E8F5F8"/>
          </w:tcPr>
          <w:p w14:paraId="69CCBCEB"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Ocean acidification</w:t>
            </w:r>
          </w:p>
        </w:tc>
        <w:tc>
          <w:tcPr>
            <w:tcW w:w="3693" w:type="pct"/>
            <w:tcBorders>
              <w:right w:val="nil"/>
            </w:tcBorders>
            <w:shd w:val="clear" w:color="auto" w:fill="E8F5F8"/>
          </w:tcPr>
          <w:p w14:paraId="69CCBCEC"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Increasing acidity of the Region’s waters.</w:t>
            </w:r>
          </w:p>
        </w:tc>
      </w:tr>
      <w:tr w:rsidR="00C87438" w:rsidRPr="007B6255" w14:paraId="69CCBCF0"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EE"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Outbreak or bloom of other species</w:t>
            </w:r>
          </w:p>
        </w:tc>
        <w:tc>
          <w:tcPr>
            <w:tcW w:w="3693" w:type="pct"/>
            <w:tcBorders>
              <w:top w:val="double" w:sz="4" w:space="0" w:color="FFFFFF"/>
              <w:bottom w:val="double" w:sz="4" w:space="0" w:color="FFFFFF"/>
              <w:right w:val="nil"/>
            </w:tcBorders>
            <w:shd w:val="clear" w:color="auto" w:fill="E8F5F8"/>
          </w:tcPr>
          <w:p w14:paraId="69CCBCEF"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Outbreak of naturally occurring or native species, excluding crown-of-thorns starfish.</w:t>
            </w:r>
          </w:p>
        </w:tc>
      </w:tr>
      <w:tr w:rsidR="00C87438" w:rsidRPr="007B6255" w14:paraId="69CCBCF3" w14:textId="77777777" w:rsidTr="007B6255">
        <w:trPr>
          <w:trHeight w:val="337"/>
        </w:trPr>
        <w:tc>
          <w:tcPr>
            <w:tcW w:w="1307" w:type="pct"/>
            <w:tcBorders>
              <w:left w:val="nil"/>
            </w:tcBorders>
            <w:shd w:val="clear" w:color="auto" w:fill="E8F5F8"/>
          </w:tcPr>
          <w:p w14:paraId="69CCBCF1"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Outbreak of crown-of-thorns starfish</w:t>
            </w:r>
          </w:p>
        </w:tc>
        <w:tc>
          <w:tcPr>
            <w:tcW w:w="3693" w:type="pct"/>
            <w:tcBorders>
              <w:right w:val="nil"/>
            </w:tcBorders>
            <w:shd w:val="clear" w:color="auto" w:fill="E8F5F8"/>
          </w:tcPr>
          <w:p w14:paraId="69CCBCF2"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Outbreak of crown-of-thorns starfish (i.e. when the density exceeds about 30 starfish per hectare).</w:t>
            </w:r>
          </w:p>
        </w:tc>
      </w:tr>
      <w:tr w:rsidR="00C87438" w:rsidRPr="007B6255" w14:paraId="69CCBCF6"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F4"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Outbreak of disease</w:t>
            </w:r>
          </w:p>
        </w:tc>
        <w:tc>
          <w:tcPr>
            <w:tcW w:w="3693" w:type="pct"/>
            <w:tcBorders>
              <w:top w:val="double" w:sz="4" w:space="0" w:color="FFFFFF"/>
              <w:bottom w:val="double" w:sz="4" w:space="0" w:color="FFFFFF"/>
              <w:right w:val="nil"/>
            </w:tcBorders>
            <w:shd w:val="clear" w:color="auto" w:fill="E8F5F8"/>
          </w:tcPr>
          <w:p w14:paraId="69CCBCF5" w14:textId="1AC8B2CA"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Outbreak of disease, both naturally occurring and introduced</w:t>
            </w:r>
            <w:r w:rsidR="009D7B06">
              <w:rPr>
                <w:rFonts w:ascii="Century Gothic" w:eastAsia="Calibri" w:hAnsi="Century Gothic" w:cs="Arial"/>
                <w:sz w:val="18"/>
                <w:szCs w:val="18"/>
              </w:rPr>
              <w:t>.</w:t>
            </w:r>
            <w:r w:rsidRPr="007B6255">
              <w:rPr>
                <w:rFonts w:ascii="Century Gothic" w:eastAsia="Calibri" w:hAnsi="Century Gothic" w:cs="Arial"/>
                <w:sz w:val="18"/>
                <w:szCs w:val="18"/>
              </w:rPr>
              <w:t xml:space="preserve"> </w:t>
            </w:r>
          </w:p>
        </w:tc>
      </w:tr>
      <w:tr w:rsidR="00C87438" w:rsidRPr="007B6255" w14:paraId="69CCBCF9" w14:textId="77777777" w:rsidTr="007B6255">
        <w:trPr>
          <w:trHeight w:val="337"/>
        </w:trPr>
        <w:tc>
          <w:tcPr>
            <w:tcW w:w="1307" w:type="pct"/>
            <w:tcBorders>
              <w:left w:val="nil"/>
            </w:tcBorders>
            <w:shd w:val="clear" w:color="auto" w:fill="E8F5F8"/>
          </w:tcPr>
          <w:p w14:paraId="69CCBCF7"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Pesticides from catchment run-off</w:t>
            </w:r>
          </w:p>
        </w:tc>
        <w:tc>
          <w:tcPr>
            <w:tcW w:w="3693" w:type="pct"/>
            <w:tcBorders>
              <w:right w:val="nil"/>
            </w:tcBorders>
            <w:shd w:val="clear" w:color="auto" w:fill="E8F5F8"/>
          </w:tcPr>
          <w:p w14:paraId="69CCBCF8"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Pesticides (including herbicides, insecticides, fungicides) entering the Region in run-off from the catchment.</w:t>
            </w:r>
          </w:p>
        </w:tc>
      </w:tr>
      <w:tr w:rsidR="00C87438" w:rsidRPr="007B6255" w14:paraId="69CCBCFC"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CFA"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Rising sea level</w:t>
            </w:r>
          </w:p>
        </w:tc>
        <w:tc>
          <w:tcPr>
            <w:tcW w:w="3693" w:type="pct"/>
            <w:tcBorders>
              <w:top w:val="double" w:sz="4" w:space="0" w:color="FFFFFF"/>
              <w:bottom w:val="double" w:sz="4" w:space="0" w:color="FFFFFF"/>
              <w:right w:val="nil"/>
            </w:tcBorders>
            <w:shd w:val="clear" w:color="auto" w:fill="E8F5F8"/>
          </w:tcPr>
          <w:p w14:paraId="69CCBCFB"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Rising sea level.</w:t>
            </w:r>
          </w:p>
        </w:tc>
      </w:tr>
      <w:tr w:rsidR="00C87438" w:rsidRPr="007B6255" w14:paraId="69CCBCFF" w14:textId="77777777" w:rsidTr="007B6255">
        <w:trPr>
          <w:trHeight w:val="337"/>
        </w:trPr>
        <w:tc>
          <w:tcPr>
            <w:tcW w:w="1307" w:type="pct"/>
            <w:tcBorders>
              <w:left w:val="nil"/>
            </w:tcBorders>
            <w:shd w:val="clear" w:color="auto" w:fill="E8F5F8"/>
          </w:tcPr>
          <w:p w14:paraId="69CCBCFD"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Sea temperature increase</w:t>
            </w:r>
          </w:p>
        </w:tc>
        <w:tc>
          <w:tcPr>
            <w:tcW w:w="3693" w:type="pct"/>
            <w:tcBorders>
              <w:right w:val="nil"/>
            </w:tcBorders>
            <w:shd w:val="clear" w:color="auto" w:fill="E8F5F8"/>
          </w:tcPr>
          <w:p w14:paraId="69CCBCFE"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Increasing sea temperature.</w:t>
            </w:r>
          </w:p>
        </w:tc>
      </w:tr>
      <w:tr w:rsidR="00C87438" w:rsidRPr="007B6255" w14:paraId="69CCBD02"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D00"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Sediments from catchment run-off</w:t>
            </w:r>
          </w:p>
        </w:tc>
        <w:tc>
          <w:tcPr>
            <w:tcW w:w="3693" w:type="pct"/>
            <w:tcBorders>
              <w:top w:val="double" w:sz="4" w:space="0" w:color="FFFFFF"/>
              <w:bottom w:val="double" w:sz="4" w:space="0" w:color="FFFFFF"/>
              <w:right w:val="nil"/>
            </w:tcBorders>
            <w:shd w:val="clear" w:color="auto" w:fill="E8F5F8"/>
          </w:tcPr>
          <w:p w14:paraId="69CCBD01"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Sediments entering the Region in run-off from the catchment.</w:t>
            </w:r>
          </w:p>
        </w:tc>
      </w:tr>
      <w:tr w:rsidR="00C87438" w:rsidRPr="007B6255" w14:paraId="69CCBD05" w14:textId="77777777" w:rsidTr="007B6255">
        <w:trPr>
          <w:trHeight w:val="337"/>
        </w:trPr>
        <w:tc>
          <w:tcPr>
            <w:tcW w:w="1307" w:type="pct"/>
            <w:tcBorders>
              <w:left w:val="nil"/>
            </w:tcBorders>
            <w:shd w:val="clear" w:color="auto" w:fill="E8F5F8"/>
          </w:tcPr>
          <w:p w14:paraId="69CCBD03"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Spill — large chemical</w:t>
            </w:r>
          </w:p>
        </w:tc>
        <w:tc>
          <w:tcPr>
            <w:tcW w:w="3693" w:type="pct"/>
            <w:tcBorders>
              <w:right w:val="nil"/>
            </w:tcBorders>
            <w:shd w:val="clear" w:color="auto" w:fill="E8F5F8"/>
          </w:tcPr>
          <w:p w14:paraId="69CCBD04"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Chemical spill that triggers a national or regional response or is more than 10 tonnes.</w:t>
            </w:r>
          </w:p>
        </w:tc>
      </w:tr>
      <w:tr w:rsidR="00C87438" w:rsidRPr="007B6255" w14:paraId="69CCBD08"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D06"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Spill — large oil</w:t>
            </w:r>
          </w:p>
        </w:tc>
        <w:tc>
          <w:tcPr>
            <w:tcW w:w="3693" w:type="pct"/>
            <w:tcBorders>
              <w:top w:val="double" w:sz="4" w:space="0" w:color="FFFFFF"/>
              <w:bottom w:val="double" w:sz="4" w:space="0" w:color="FFFFFF"/>
              <w:right w:val="nil"/>
            </w:tcBorders>
            <w:shd w:val="clear" w:color="auto" w:fill="E8F5F8"/>
          </w:tcPr>
          <w:p w14:paraId="69CCBD07"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Oil spill that triggers a national or regional response or is more than 10 tonnes.</w:t>
            </w:r>
          </w:p>
        </w:tc>
      </w:tr>
      <w:tr w:rsidR="00C87438" w:rsidRPr="007B6255" w14:paraId="69CCBD0B" w14:textId="77777777" w:rsidTr="007B6255">
        <w:trPr>
          <w:trHeight w:val="337"/>
        </w:trPr>
        <w:tc>
          <w:tcPr>
            <w:tcW w:w="1307" w:type="pct"/>
            <w:tcBorders>
              <w:left w:val="nil"/>
            </w:tcBorders>
            <w:shd w:val="clear" w:color="auto" w:fill="E8F5F8"/>
          </w:tcPr>
          <w:p w14:paraId="69CCBD09"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Spill — small chemical and oil</w:t>
            </w:r>
          </w:p>
        </w:tc>
        <w:tc>
          <w:tcPr>
            <w:tcW w:w="3693" w:type="pct"/>
            <w:tcBorders>
              <w:right w:val="nil"/>
            </w:tcBorders>
            <w:shd w:val="clear" w:color="auto" w:fill="E8F5F8"/>
          </w:tcPr>
          <w:p w14:paraId="69CCBD0A"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 xml:space="preserve">Chemical or oil spill that does not trigger a national or regional response and is less than 10 tonnes </w:t>
            </w:r>
          </w:p>
        </w:tc>
      </w:tr>
      <w:tr w:rsidR="00C87438" w:rsidRPr="007B6255" w14:paraId="69CCBD0E"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D0C"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Urban and industrial discharge</w:t>
            </w:r>
          </w:p>
        </w:tc>
        <w:tc>
          <w:tcPr>
            <w:tcW w:w="3693" w:type="pct"/>
            <w:tcBorders>
              <w:top w:val="double" w:sz="4" w:space="0" w:color="FFFFFF"/>
              <w:bottom w:val="double" w:sz="4" w:space="0" w:color="FFFFFF"/>
              <w:right w:val="nil"/>
            </w:tcBorders>
            <w:shd w:val="clear" w:color="auto" w:fill="E8F5F8"/>
          </w:tcPr>
          <w:p w14:paraId="69CCBD0D"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Point and diffuse-source land-based discharge of pollutants from urban and industrial land use and mining, including polluted water, sewage, wastewater and stormwater.</w:t>
            </w:r>
          </w:p>
        </w:tc>
      </w:tr>
      <w:tr w:rsidR="00C87438" w:rsidRPr="007B6255" w14:paraId="69CCBD11" w14:textId="77777777" w:rsidTr="007B6255">
        <w:trPr>
          <w:trHeight w:val="337"/>
        </w:trPr>
        <w:tc>
          <w:tcPr>
            <w:tcW w:w="1307" w:type="pct"/>
            <w:tcBorders>
              <w:left w:val="nil"/>
            </w:tcBorders>
            <w:shd w:val="clear" w:color="auto" w:fill="E8F5F8"/>
          </w:tcPr>
          <w:p w14:paraId="69CCBD0F"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Vessel strike on wildlife</w:t>
            </w:r>
          </w:p>
        </w:tc>
        <w:tc>
          <w:tcPr>
            <w:tcW w:w="3693" w:type="pct"/>
            <w:tcBorders>
              <w:right w:val="nil"/>
            </w:tcBorders>
            <w:shd w:val="clear" w:color="auto" w:fill="E8F5F8"/>
          </w:tcPr>
          <w:p w14:paraId="69CCBD10"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Death or injury to wildlife as a result of being struck by a vessel of any type or size.</w:t>
            </w:r>
          </w:p>
        </w:tc>
      </w:tr>
      <w:tr w:rsidR="00C87438" w:rsidRPr="007B6255" w14:paraId="69CCBD14" w14:textId="77777777" w:rsidTr="007B6255">
        <w:trPr>
          <w:trHeight w:val="337"/>
        </w:trPr>
        <w:tc>
          <w:tcPr>
            <w:tcW w:w="1307" w:type="pct"/>
            <w:tcBorders>
              <w:top w:val="double" w:sz="4" w:space="0" w:color="FFFFFF"/>
              <w:left w:val="nil"/>
              <w:bottom w:val="double" w:sz="4" w:space="0" w:color="FFFFFF"/>
            </w:tcBorders>
            <w:shd w:val="clear" w:color="auto" w:fill="E8F5F8"/>
          </w:tcPr>
          <w:p w14:paraId="69CCBD12"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Waste discharge from a vessel</w:t>
            </w:r>
          </w:p>
        </w:tc>
        <w:tc>
          <w:tcPr>
            <w:tcW w:w="3693" w:type="pct"/>
            <w:tcBorders>
              <w:top w:val="double" w:sz="4" w:space="0" w:color="FFFFFF"/>
              <w:bottom w:val="double" w:sz="4" w:space="0" w:color="FFFFFF"/>
              <w:right w:val="nil"/>
            </w:tcBorders>
            <w:shd w:val="clear" w:color="auto" w:fill="E8F5F8"/>
          </w:tcPr>
          <w:p w14:paraId="69CCBD13"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Waste discharged from a vessel into the marine environment.</w:t>
            </w:r>
          </w:p>
        </w:tc>
      </w:tr>
      <w:tr w:rsidR="00C87438" w:rsidRPr="007B6255" w14:paraId="69CCBD17" w14:textId="77777777" w:rsidTr="007B6255">
        <w:trPr>
          <w:trHeight w:val="337"/>
        </w:trPr>
        <w:tc>
          <w:tcPr>
            <w:tcW w:w="1307" w:type="pct"/>
            <w:tcBorders>
              <w:left w:val="nil"/>
            </w:tcBorders>
            <w:shd w:val="clear" w:color="auto" w:fill="E8F5F8"/>
          </w:tcPr>
          <w:p w14:paraId="69CCBD15" w14:textId="77777777" w:rsidR="00C87438" w:rsidRPr="007B6255" w:rsidRDefault="00C87438" w:rsidP="007B6255">
            <w:pPr>
              <w:spacing w:before="40" w:after="40" w:line="240" w:lineRule="auto"/>
              <w:rPr>
                <w:rFonts w:ascii="Century Gothic" w:eastAsia="Calibri" w:hAnsi="Century Gothic" w:cs="Arial"/>
                <w:b/>
                <w:bCs/>
                <w:i/>
              </w:rPr>
            </w:pPr>
            <w:r w:rsidRPr="007B6255">
              <w:rPr>
                <w:rFonts w:ascii="Century Gothic" w:eastAsia="Calibri" w:hAnsi="Century Gothic" w:cs="Arial"/>
                <w:b/>
                <w:bCs/>
                <w:sz w:val="18"/>
                <w:szCs w:val="18"/>
              </w:rPr>
              <w:t>Wildlife disturbance</w:t>
            </w:r>
          </w:p>
        </w:tc>
        <w:tc>
          <w:tcPr>
            <w:tcW w:w="3693" w:type="pct"/>
            <w:tcBorders>
              <w:right w:val="nil"/>
            </w:tcBorders>
            <w:shd w:val="clear" w:color="auto" w:fill="E8F5F8"/>
          </w:tcPr>
          <w:p w14:paraId="69CCBD16" w14:textId="77777777" w:rsidR="00C87438" w:rsidRPr="007B6255" w:rsidRDefault="00C87438" w:rsidP="007B6255">
            <w:pPr>
              <w:spacing w:before="40" w:after="40" w:line="240" w:lineRule="auto"/>
              <w:rPr>
                <w:rFonts w:ascii="Century Gothic" w:eastAsia="Calibri" w:hAnsi="Century Gothic" w:cs="Arial"/>
                <w:color w:val="000000"/>
                <w:sz w:val="18"/>
                <w:szCs w:val="18"/>
              </w:rPr>
            </w:pPr>
            <w:r w:rsidRPr="007B6255">
              <w:rPr>
                <w:rFonts w:ascii="Century Gothic" w:eastAsia="Calibri" w:hAnsi="Century Gothic" w:cs="Arial"/>
                <w:sz w:val="18"/>
                <w:szCs w:val="18"/>
              </w:rPr>
              <w:t>Disturbance to wildlife including from snorkelling, diving, fish feeding, walking on islands and beaches, and the presence of boats; not including noise pollution.</w:t>
            </w:r>
          </w:p>
        </w:tc>
      </w:tr>
    </w:tbl>
    <w:p w14:paraId="69CCBD18" w14:textId="77777777" w:rsidR="00E26051" w:rsidRDefault="00E26051" w:rsidP="00C87438">
      <w:pPr>
        <w:spacing w:before="120" w:after="0" w:line="240" w:lineRule="auto"/>
        <w:rPr>
          <w:rFonts w:ascii="Verdana" w:hAnsi="Verdana"/>
          <w:color w:val="FFFFFF"/>
          <w:sz w:val="18"/>
          <w:szCs w:val="18"/>
        </w:rPr>
      </w:pPr>
    </w:p>
    <w:p w14:paraId="69CCBD19" w14:textId="7FA42EDE" w:rsidR="00E26051" w:rsidRDefault="0095278E" w:rsidP="00C87438">
      <w:pPr>
        <w:spacing w:before="120" w:after="0" w:line="240" w:lineRule="auto"/>
        <w:rPr>
          <w:rFonts w:ascii="Verdana" w:hAnsi="Verdana"/>
          <w:color w:val="FFFFFF"/>
          <w:sz w:val="18"/>
          <w:szCs w:val="18"/>
        </w:rPr>
      </w:pPr>
      <w:r>
        <w:rPr>
          <w:noProof/>
        </w:rPr>
        <w:pict w14:anchorId="1A4B9791">
          <v:shape id="_x0000_s1188" type="#_x0000_t75" alt="Picture of a giant clam surrounded by reef scape.  Giant calm is open, showing its black and speckled fluorescent green flesh." style="position:absolute;margin-left:-6.1pt;margin-top:1.3pt;width:516.15pt;height:558.35pt;z-index:251675684;mso-position-horizontal-relative:text;mso-position-vertical-relative:text;mso-width-relative:page;mso-height-relative:page">
            <v:imagedata r:id="rId31" o:title="Reefscape 73_atSize" cropbottom="4195f"/>
          </v:shape>
        </w:pict>
      </w:r>
    </w:p>
    <w:p w14:paraId="69CCBD1A" w14:textId="5C2E84A9" w:rsidR="00C87438" w:rsidRPr="00C87438" w:rsidRDefault="00C87438" w:rsidP="008546EA">
      <w:pPr>
        <w:spacing w:before="120" w:after="0" w:line="240" w:lineRule="auto"/>
        <w:jc w:val="center"/>
        <w:rPr>
          <w:rFonts w:ascii="Arial" w:eastAsia="Times New Roman" w:hAnsi="Arial" w:cs="Arial"/>
          <w:sz w:val="20"/>
          <w:szCs w:val="20"/>
          <w:lang w:eastAsia="en-AU"/>
        </w:rPr>
      </w:pPr>
    </w:p>
    <w:p w14:paraId="69CCBD1B" w14:textId="2DAAD6CC" w:rsidR="00C87438" w:rsidRPr="00C87438" w:rsidRDefault="00C87438" w:rsidP="00C87438">
      <w:pPr>
        <w:pStyle w:val="Heading2"/>
        <w:keepNext/>
        <w:tabs>
          <w:tab w:val="left" w:pos="9498"/>
        </w:tabs>
        <w:spacing w:before="240" w:after="120"/>
        <w:rPr>
          <w:rFonts w:ascii="Century Gothic" w:hAnsi="Century Gothic"/>
          <w:b/>
          <w:szCs w:val="20"/>
        </w:rPr>
      </w:pPr>
      <w:bookmarkStart w:id="19" w:name="_Toc479240263"/>
      <w:r w:rsidRPr="00C87438">
        <w:rPr>
          <w:rFonts w:eastAsia="Calibri"/>
        </w:rPr>
        <w:br w:type="page"/>
      </w:r>
      <w:bookmarkStart w:id="20" w:name="_Toc482002031"/>
      <w:r w:rsidRPr="00C87438">
        <w:rPr>
          <w:rFonts w:ascii="Century Gothic" w:hAnsi="Century Gothic"/>
          <w:b/>
          <w:szCs w:val="20"/>
        </w:rPr>
        <w:t>Attachment 2: Risks to Great Barrier Reef values as reported in the Great Barrier Reef Outlook Report</w:t>
      </w:r>
      <w:bookmarkEnd w:id="19"/>
      <w:bookmarkEnd w:id="20"/>
    </w:p>
    <w:p w14:paraId="69CCBD1C" w14:textId="77777777" w:rsidR="00C87438" w:rsidRPr="00C87438" w:rsidRDefault="00C87438" w:rsidP="00C87438">
      <w:pPr>
        <w:spacing w:before="120" w:after="0" w:line="240" w:lineRule="auto"/>
        <w:rPr>
          <w:rFonts w:ascii="Arial" w:eastAsia="Times New Roman" w:hAnsi="Arial" w:cs="Arial"/>
          <w:sz w:val="20"/>
          <w:szCs w:val="20"/>
          <w:lang w:eastAsia="en-AU"/>
        </w:rPr>
      </w:pPr>
      <w:r w:rsidRPr="00C87438">
        <w:rPr>
          <w:rFonts w:ascii="Arial" w:eastAsia="Times New Roman" w:hAnsi="Arial" w:cs="Arial"/>
          <w:sz w:val="20"/>
          <w:szCs w:val="20"/>
          <w:lang w:eastAsia="en-AU"/>
        </w:rPr>
        <w:t>The Great Barrier Reef Outlook Report provides a full description of threats and risks. The Outlook Report has a standard set of criteria to allow the comparison of different types of threats within the one risk assessment, based on the likelihood and consequence of each threat. The likelihood and consequence of each predicted threat are ranked on five-point scales, as described below.</w:t>
      </w:r>
    </w:p>
    <w:p w14:paraId="69CCBD1D" w14:textId="77777777" w:rsidR="00C87438" w:rsidRPr="00C87438" w:rsidRDefault="00C87438" w:rsidP="00C87438">
      <w:pPr>
        <w:spacing w:before="120" w:after="0" w:line="240" w:lineRule="auto"/>
        <w:rPr>
          <w:rFonts w:ascii="Arial" w:eastAsia="Times New Roman" w:hAnsi="Arial" w:cs="Arial"/>
          <w:sz w:val="20"/>
          <w:szCs w:val="20"/>
          <w:lang w:eastAsia="en-AU"/>
        </w:rPr>
      </w:pPr>
    </w:p>
    <w:p w14:paraId="69CCBD1E" w14:textId="77777777" w:rsidR="00C87438" w:rsidRDefault="00C87438" w:rsidP="00C87438">
      <w:pPr>
        <w:spacing w:before="120" w:after="0" w:line="240" w:lineRule="auto"/>
        <w:rPr>
          <w:rFonts w:ascii="Century Gothic" w:eastAsia="Times New Roman" w:hAnsi="Century Gothic" w:cs="Arial"/>
          <w:b/>
          <w:sz w:val="20"/>
          <w:szCs w:val="20"/>
          <w:lang w:eastAsia="en-AU"/>
        </w:rPr>
      </w:pPr>
      <w:r w:rsidRPr="000A4D14">
        <w:rPr>
          <w:rFonts w:ascii="Century Gothic" w:eastAsia="Times New Roman" w:hAnsi="Century Gothic" w:cs="Arial"/>
          <w:b/>
          <w:sz w:val="20"/>
          <w:szCs w:val="20"/>
          <w:lang w:eastAsia="en-AU"/>
        </w:rPr>
        <w:t>Figure A2.1 -</w:t>
      </w:r>
      <w:r w:rsidRPr="000A4D14">
        <w:rPr>
          <w:rFonts w:ascii="Century Gothic" w:eastAsia="Times New Roman" w:hAnsi="Century Gothic" w:cs="Arial"/>
          <w:b/>
          <w:color w:val="005782"/>
          <w:sz w:val="21"/>
          <w:szCs w:val="21"/>
          <w:lang w:eastAsia="en-AU"/>
        </w:rPr>
        <w:t xml:space="preserve"> </w:t>
      </w:r>
      <w:r w:rsidRPr="000A4D14">
        <w:rPr>
          <w:rFonts w:ascii="Century Gothic" w:eastAsia="Times New Roman" w:hAnsi="Century Gothic" w:cs="Arial"/>
          <w:b/>
          <w:sz w:val="20"/>
          <w:szCs w:val="20"/>
          <w:lang w:eastAsia="en-AU"/>
        </w:rPr>
        <w:t>Likelihood scale</w:t>
      </w:r>
    </w:p>
    <w:tbl>
      <w:tblPr>
        <w:tblW w:w="450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37"/>
        <w:gridCol w:w="7741"/>
      </w:tblGrid>
      <w:tr w:rsidR="003A15A0" w:rsidRPr="004D60BE" w14:paraId="6F1A7C4A" w14:textId="77777777" w:rsidTr="00451A31">
        <w:trPr>
          <w:trHeight w:val="361"/>
          <w:tblHeader/>
        </w:trPr>
        <w:tc>
          <w:tcPr>
            <w:tcW w:w="873" w:type="pct"/>
            <w:tcBorders>
              <w:left w:val="nil"/>
            </w:tcBorders>
            <w:shd w:val="clear" w:color="auto" w:fill="808080"/>
          </w:tcPr>
          <w:p w14:paraId="3CEA4F25" w14:textId="77777777" w:rsidR="003A15A0" w:rsidRPr="00930444" w:rsidRDefault="003A15A0" w:rsidP="00451A31">
            <w:pPr>
              <w:spacing w:before="40" w:after="40" w:line="240" w:lineRule="auto"/>
              <w:jc w:val="center"/>
              <w:rPr>
                <w:rFonts w:ascii="Arial" w:eastAsia="Calibri" w:hAnsi="Arial" w:cs="Arial"/>
                <w:b/>
                <w:bCs/>
                <w:color w:val="FFFFFF"/>
                <w:sz w:val="16"/>
                <w:szCs w:val="16"/>
              </w:rPr>
            </w:pPr>
            <w:r w:rsidRPr="00930444">
              <w:rPr>
                <w:rFonts w:ascii="Arial" w:eastAsia="Calibri" w:hAnsi="Arial" w:cs="Arial"/>
                <w:b/>
                <w:bCs/>
                <w:color w:val="FFFFFF"/>
                <w:sz w:val="16"/>
                <w:szCs w:val="16"/>
              </w:rPr>
              <w:t>Likelihood</w:t>
            </w:r>
          </w:p>
        </w:tc>
        <w:tc>
          <w:tcPr>
            <w:tcW w:w="4127" w:type="pct"/>
            <w:tcBorders>
              <w:right w:val="nil"/>
            </w:tcBorders>
            <w:shd w:val="clear" w:color="auto" w:fill="808080"/>
          </w:tcPr>
          <w:p w14:paraId="03EB25EC" w14:textId="77777777" w:rsidR="003A15A0" w:rsidRPr="00930444" w:rsidRDefault="003A15A0" w:rsidP="00451A31">
            <w:pPr>
              <w:spacing w:before="40" w:after="40" w:line="240" w:lineRule="auto"/>
              <w:jc w:val="center"/>
              <w:rPr>
                <w:rFonts w:ascii="Arial" w:eastAsia="Calibri" w:hAnsi="Arial" w:cs="Arial"/>
                <w:b/>
                <w:bCs/>
                <w:color w:val="FFFFFF"/>
                <w:sz w:val="16"/>
                <w:szCs w:val="16"/>
              </w:rPr>
            </w:pPr>
            <w:r w:rsidRPr="00930444">
              <w:rPr>
                <w:rFonts w:ascii="Arial" w:eastAsia="Calibri" w:hAnsi="Arial" w:cs="Arial"/>
                <w:b/>
                <w:bCs/>
                <w:color w:val="FFFFFF"/>
                <w:sz w:val="16"/>
                <w:szCs w:val="16"/>
              </w:rPr>
              <w:t>Expected frequency of a given threat</w:t>
            </w:r>
          </w:p>
        </w:tc>
      </w:tr>
      <w:tr w:rsidR="003A15A0" w:rsidRPr="004D60BE" w14:paraId="0D641683" w14:textId="77777777" w:rsidTr="00451A31">
        <w:trPr>
          <w:trHeight w:val="220"/>
        </w:trPr>
        <w:tc>
          <w:tcPr>
            <w:tcW w:w="873" w:type="pct"/>
            <w:tcBorders>
              <w:top w:val="double" w:sz="4" w:space="0" w:color="FFFFFF"/>
              <w:left w:val="nil"/>
              <w:bottom w:val="double" w:sz="4" w:space="0" w:color="FFFFFF"/>
            </w:tcBorders>
            <w:shd w:val="clear" w:color="auto" w:fill="E8F5F8"/>
          </w:tcPr>
          <w:p w14:paraId="661F0D81" w14:textId="77777777" w:rsidR="003A15A0" w:rsidRPr="00930444" w:rsidRDefault="003A15A0" w:rsidP="00451A31">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Almost certain</w:t>
            </w:r>
          </w:p>
        </w:tc>
        <w:tc>
          <w:tcPr>
            <w:tcW w:w="4127" w:type="pct"/>
            <w:tcBorders>
              <w:top w:val="double" w:sz="4" w:space="0" w:color="FFFFFF"/>
              <w:bottom w:val="double" w:sz="4" w:space="0" w:color="FFFFFF"/>
              <w:right w:val="nil"/>
            </w:tcBorders>
            <w:shd w:val="clear" w:color="auto" w:fill="E8F5F8"/>
          </w:tcPr>
          <w:p w14:paraId="5055F9FC" w14:textId="77777777" w:rsidR="003A15A0" w:rsidRPr="00930444" w:rsidRDefault="003A15A0" w:rsidP="00451A31">
            <w:pPr>
              <w:spacing w:before="40" w:after="40" w:line="240" w:lineRule="auto"/>
              <w:rPr>
                <w:rFonts w:ascii="Arial" w:eastAsia="Calibri" w:hAnsi="Arial" w:cs="Arial"/>
                <w:color w:val="000000"/>
                <w:sz w:val="16"/>
                <w:szCs w:val="16"/>
              </w:rPr>
            </w:pPr>
            <w:r w:rsidRPr="00930444">
              <w:rPr>
                <w:rFonts w:ascii="Arial" w:eastAsia="Calibri" w:hAnsi="Arial" w:cs="Arial"/>
                <w:color w:val="000000"/>
                <w:sz w:val="16"/>
                <w:szCs w:val="16"/>
              </w:rPr>
              <w:t>Expected to occur more or less continuously throughout a year</w:t>
            </w:r>
          </w:p>
        </w:tc>
      </w:tr>
      <w:tr w:rsidR="003A15A0" w:rsidRPr="004D60BE" w14:paraId="487D2AB0" w14:textId="77777777" w:rsidTr="00451A31">
        <w:trPr>
          <w:trHeight w:val="304"/>
        </w:trPr>
        <w:tc>
          <w:tcPr>
            <w:tcW w:w="873" w:type="pct"/>
            <w:tcBorders>
              <w:left w:val="nil"/>
            </w:tcBorders>
            <w:shd w:val="clear" w:color="auto" w:fill="E8F5F8"/>
          </w:tcPr>
          <w:p w14:paraId="53C04A86" w14:textId="77777777" w:rsidR="003A15A0" w:rsidRPr="00930444" w:rsidRDefault="003A15A0" w:rsidP="00451A31">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Likely</w:t>
            </w:r>
          </w:p>
        </w:tc>
        <w:tc>
          <w:tcPr>
            <w:tcW w:w="4127" w:type="pct"/>
            <w:tcBorders>
              <w:right w:val="nil"/>
            </w:tcBorders>
            <w:shd w:val="clear" w:color="auto" w:fill="E8F5F8"/>
          </w:tcPr>
          <w:p w14:paraId="12F7D398" w14:textId="77777777" w:rsidR="003A15A0" w:rsidRPr="00930444" w:rsidRDefault="003A15A0" w:rsidP="00451A31">
            <w:pPr>
              <w:spacing w:before="40" w:after="40" w:line="240" w:lineRule="auto"/>
              <w:rPr>
                <w:rFonts w:ascii="Arial" w:eastAsia="Calibri" w:hAnsi="Arial" w:cs="Arial"/>
                <w:color w:val="000000"/>
                <w:sz w:val="16"/>
                <w:szCs w:val="16"/>
              </w:rPr>
            </w:pPr>
            <w:r w:rsidRPr="00930444">
              <w:rPr>
                <w:rFonts w:ascii="Arial" w:eastAsia="Calibri" w:hAnsi="Arial" w:cs="Arial"/>
                <w:color w:val="000000"/>
                <w:sz w:val="16"/>
                <w:szCs w:val="16"/>
              </w:rPr>
              <w:t>Not expected to be continuous but expected to occur one or more times a year</w:t>
            </w:r>
          </w:p>
        </w:tc>
      </w:tr>
      <w:tr w:rsidR="003A15A0" w:rsidRPr="004D60BE" w14:paraId="2C6D8C69" w14:textId="77777777" w:rsidTr="00451A31">
        <w:trPr>
          <w:trHeight w:val="337"/>
        </w:trPr>
        <w:tc>
          <w:tcPr>
            <w:tcW w:w="873" w:type="pct"/>
            <w:tcBorders>
              <w:top w:val="double" w:sz="4" w:space="0" w:color="FFFFFF"/>
              <w:left w:val="nil"/>
              <w:bottom w:val="double" w:sz="4" w:space="0" w:color="FFFFFF"/>
            </w:tcBorders>
            <w:shd w:val="clear" w:color="auto" w:fill="E8F5F8"/>
          </w:tcPr>
          <w:p w14:paraId="04DB6BD2" w14:textId="77777777" w:rsidR="003A15A0" w:rsidRPr="00930444" w:rsidRDefault="003A15A0" w:rsidP="00451A31">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Possible</w:t>
            </w:r>
          </w:p>
        </w:tc>
        <w:tc>
          <w:tcPr>
            <w:tcW w:w="4127" w:type="pct"/>
            <w:tcBorders>
              <w:top w:val="double" w:sz="4" w:space="0" w:color="FFFFFF"/>
              <w:bottom w:val="double" w:sz="4" w:space="0" w:color="FFFFFF"/>
              <w:right w:val="nil"/>
            </w:tcBorders>
            <w:shd w:val="clear" w:color="auto" w:fill="E8F5F8"/>
          </w:tcPr>
          <w:p w14:paraId="70C40E82" w14:textId="77777777" w:rsidR="003A15A0" w:rsidRPr="00930444" w:rsidRDefault="003A15A0" w:rsidP="00451A31">
            <w:pPr>
              <w:spacing w:before="40" w:after="40" w:line="240" w:lineRule="auto"/>
              <w:rPr>
                <w:rFonts w:ascii="Arial" w:eastAsia="Calibri" w:hAnsi="Arial" w:cs="Arial"/>
                <w:color w:val="000000"/>
                <w:sz w:val="16"/>
                <w:szCs w:val="16"/>
              </w:rPr>
            </w:pPr>
            <w:r w:rsidRPr="00930444">
              <w:rPr>
                <w:rFonts w:ascii="Arial" w:eastAsia="Calibri" w:hAnsi="Arial" w:cs="Arial"/>
                <w:color w:val="000000"/>
                <w:sz w:val="16"/>
                <w:szCs w:val="16"/>
              </w:rPr>
              <w:t>Not expected to occur annually but expected to occur within a 10-year period</w:t>
            </w:r>
          </w:p>
        </w:tc>
      </w:tr>
      <w:tr w:rsidR="003A15A0" w:rsidRPr="004D60BE" w14:paraId="76A0052A" w14:textId="77777777" w:rsidTr="00451A31">
        <w:trPr>
          <w:trHeight w:val="337"/>
        </w:trPr>
        <w:tc>
          <w:tcPr>
            <w:tcW w:w="873" w:type="pct"/>
            <w:tcBorders>
              <w:top w:val="double" w:sz="4" w:space="0" w:color="FFFFFF"/>
              <w:left w:val="nil"/>
              <w:bottom w:val="double" w:sz="4" w:space="0" w:color="FFFFFF"/>
            </w:tcBorders>
            <w:shd w:val="clear" w:color="auto" w:fill="E8F5F8"/>
          </w:tcPr>
          <w:p w14:paraId="01B0634D" w14:textId="77777777" w:rsidR="003A15A0" w:rsidRPr="00930444" w:rsidRDefault="003A15A0" w:rsidP="00451A31">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Unlikely</w:t>
            </w:r>
          </w:p>
        </w:tc>
        <w:tc>
          <w:tcPr>
            <w:tcW w:w="4127" w:type="pct"/>
            <w:tcBorders>
              <w:top w:val="double" w:sz="4" w:space="0" w:color="FFFFFF"/>
              <w:bottom w:val="double" w:sz="4" w:space="0" w:color="FFFFFF"/>
              <w:right w:val="nil"/>
            </w:tcBorders>
            <w:shd w:val="clear" w:color="auto" w:fill="E8F5F8"/>
          </w:tcPr>
          <w:p w14:paraId="66DE3B91" w14:textId="77777777" w:rsidR="003A15A0" w:rsidRPr="00930444" w:rsidRDefault="003A15A0" w:rsidP="00451A31">
            <w:pPr>
              <w:spacing w:before="40" w:after="40" w:line="240" w:lineRule="auto"/>
              <w:rPr>
                <w:rFonts w:ascii="Arial" w:eastAsia="Calibri" w:hAnsi="Arial" w:cs="Arial"/>
                <w:sz w:val="16"/>
                <w:szCs w:val="16"/>
              </w:rPr>
            </w:pPr>
            <w:r w:rsidRPr="00930444">
              <w:rPr>
                <w:rFonts w:ascii="Arial" w:eastAsia="Calibri" w:hAnsi="Arial" w:cs="Arial"/>
                <w:sz w:val="16"/>
                <w:szCs w:val="16"/>
              </w:rPr>
              <w:t>Not expected to occur in a 10-year period but expected to occur in a 100-year period</w:t>
            </w:r>
          </w:p>
        </w:tc>
      </w:tr>
      <w:tr w:rsidR="003A15A0" w:rsidRPr="004D60BE" w14:paraId="46DB2E05" w14:textId="77777777" w:rsidTr="00451A31">
        <w:trPr>
          <w:trHeight w:val="337"/>
        </w:trPr>
        <w:tc>
          <w:tcPr>
            <w:tcW w:w="873" w:type="pct"/>
            <w:tcBorders>
              <w:top w:val="double" w:sz="4" w:space="0" w:color="FFFFFF"/>
              <w:left w:val="nil"/>
              <w:bottom w:val="double" w:sz="4" w:space="0" w:color="FFFFFF"/>
            </w:tcBorders>
            <w:shd w:val="clear" w:color="auto" w:fill="E8F5F8"/>
          </w:tcPr>
          <w:p w14:paraId="73F304C8" w14:textId="77777777" w:rsidR="003A15A0" w:rsidRPr="00930444" w:rsidRDefault="003A15A0" w:rsidP="00451A31">
            <w:pPr>
              <w:spacing w:before="40" w:after="40" w:line="240" w:lineRule="auto"/>
              <w:rPr>
                <w:rFonts w:ascii="Arial" w:eastAsia="Calibri" w:hAnsi="Arial" w:cs="Arial"/>
                <w:b/>
                <w:bCs/>
                <w:sz w:val="16"/>
                <w:szCs w:val="16"/>
              </w:rPr>
            </w:pPr>
            <w:r w:rsidRPr="00930444">
              <w:rPr>
                <w:rFonts w:ascii="Arial" w:eastAsia="Calibri" w:hAnsi="Arial" w:cs="Arial"/>
                <w:b/>
                <w:bCs/>
                <w:sz w:val="16"/>
                <w:szCs w:val="16"/>
              </w:rPr>
              <w:t>Rare</w:t>
            </w:r>
          </w:p>
        </w:tc>
        <w:tc>
          <w:tcPr>
            <w:tcW w:w="4127" w:type="pct"/>
            <w:tcBorders>
              <w:top w:val="double" w:sz="4" w:space="0" w:color="FFFFFF"/>
              <w:bottom w:val="double" w:sz="4" w:space="0" w:color="FFFFFF"/>
              <w:right w:val="nil"/>
            </w:tcBorders>
            <w:shd w:val="clear" w:color="auto" w:fill="E8F5F8"/>
          </w:tcPr>
          <w:p w14:paraId="4D0B557B" w14:textId="77777777" w:rsidR="003A15A0" w:rsidRPr="00930444" w:rsidRDefault="003A15A0" w:rsidP="00451A31">
            <w:pPr>
              <w:spacing w:before="40" w:after="40" w:line="240" w:lineRule="auto"/>
              <w:rPr>
                <w:rFonts w:ascii="Arial" w:eastAsia="Calibri" w:hAnsi="Arial" w:cs="Arial"/>
                <w:sz w:val="16"/>
                <w:szCs w:val="16"/>
              </w:rPr>
            </w:pPr>
            <w:r w:rsidRPr="00930444">
              <w:rPr>
                <w:rFonts w:ascii="Arial" w:eastAsia="Calibri" w:hAnsi="Arial" w:cs="Arial"/>
                <w:sz w:val="16"/>
                <w:szCs w:val="16"/>
              </w:rPr>
              <w:t>Not expected to occur within the next 100 years</w:t>
            </w:r>
          </w:p>
        </w:tc>
      </w:tr>
    </w:tbl>
    <w:p w14:paraId="0006006E" w14:textId="77777777" w:rsidR="003A15A0" w:rsidRPr="000A4D14" w:rsidRDefault="003A15A0" w:rsidP="00C87438">
      <w:pPr>
        <w:spacing w:before="120" w:after="0" w:line="240" w:lineRule="auto"/>
        <w:rPr>
          <w:rFonts w:ascii="Century Gothic" w:eastAsia="Times New Roman" w:hAnsi="Century Gothic" w:cs="Arial"/>
          <w:b/>
          <w:sz w:val="20"/>
          <w:szCs w:val="20"/>
          <w:lang w:eastAsia="en-AU"/>
        </w:rPr>
      </w:pPr>
    </w:p>
    <w:p w14:paraId="69CCBD21" w14:textId="77777777" w:rsidR="00C87438" w:rsidRDefault="00C87438" w:rsidP="00C87438">
      <w:pPr>
        <w:spacing w:before="120" w:after="0" w:line="240" w:lineRule="auto"/>
        <w:rPr>
          <w:rFonts w:ascii="Century Gothic" w:eastAsia="Times New Roman" w:hAnsi="Century Gothic" w:cs="Arial"/>
          <w:b/>
          <w:i/>
          <w:sz w:val="16"/>
          <w:szCs w:val="20"/>
          <w:lang w:eastAsia="en-AU"/>
        </w:rPr>
      </w:pPr>
      <w:r w:rsidRPr="000A4D14">
        <w:rPr>
          <w:rFonts w:ascii="Century Gothic" w:eastAsia="Times New Roman" w:hAnsi="Century Gothic" w:cs="Arial"/>
          <w:b/>
          <w:sz w:val="20"/>
          <w:szCs w:val="20"/>
          <w:lang w:eastAsia="en-AU"/>
        </w:rPr>
        <w:t>Figure A2.2 -</w:t>
      </w:r>
      <w:r w:rsidRPr="000A4D14">
        <w:rPr>
          <w:rFonts w:ascii="Century Gothic" w:eastAsia="Times New Roman" w:hAnsi="Century Gothic" w:cs="Arial"/>
          <w:b/>
          <w:color w:val="005782"/>
          <w:sz w:val="21"/>
          <w:szCs w:val="21"/>
          <w:lang w:eastAsia="en-AU"/>
        </w:rPr>
        <w:t xml:space="preserve"> </w:t>
      </w:r>
      <w:r w:rsidRPr="000A4D14">
        <w:rPr>
          <w:rFonts w:ascii="Century Gothic" w:eastAsia="Times New Roman" w:hAnsi="Century Gothic" w:cs="Arial"/>
          <w:b/>
          <w:sz w:val="20"/>
          <w:szCs w:val="20"/>
          <w:lang w:eastAsia="en-AU"/>
        </w:rPr>
        <w:t>Consequence scale</w:t>
      </w:r>
      <w:r w:rsidRPr="000A4D14">
        <w:rPr>
          <w:rFonts w:ascii="Century Gothic" w:eastAsia="Times New Roman" w:hAnsi="Century Gothic" w:cs="Arial"/>
          <w:b/>
          <w:sz w:val="20"/>
          <w:szCs w:val="20"/>
          <w:lang w:eastAsia="en-AU"/>
        </w:rPr>
        <w:br/>
      </w:r>
      <w:r w:rsidRPr="000A4D14">
        <w:rPr>
          <w:rFonts w:ascii="Century Gothic" w:eastAsia="Times New Roman" w:hAnsi="Century Gothic" w:cs="Arial"/>
          <w:b/>
          <w:i/>
          <w:sz w:val="16"/>
          <w:szCs w:val="20"/>
          <w:lang w:eastAsia="en-AU"/>
        </w:rPr>
        <w:t>Based on current management</w:t>
      </w:r>
    </w:p>
    <w:tbl>
      <w:tblPr>
        <w:tblW w:w="4543"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44"/>
        <w:gridCol w:w="2611"/>
        <w:gridCol w:w="2518"/>
        <w:gridCol w:w="2695"/>
      </w:tblGrid>
      <w:tr w:rsidR="003A15A0" w:rsidRPr="003A15A0" w14:paraId="13FABFA8" w14:textId="77777777" w:rsidTr="00451A31">
        <w:trPr>
          <w:trHeight w:val="361"/>
          <w:tblHeader/>
        </w:trPr>
        <w:tc>
          <w:tcPr>
            <w:tcW w:w="868" w:type="pct"/>
            <w:vMerge w:val="restart"/>
            <w:tcBorders>
              <w:left w:val="nil"/>
            </w:tcBorders>
            <w:shd w:val="clear" w:color="auto" w:fill="808080"/>
            <w:vAlign w:val="center"/>
          </w:tcPr>
          <w:p w14:paraId="624317D1" w14:textId="77777777" w:rsidR="003A15A0" w:rsidRPr="003A15A0" w:rsidRDefault="003A15A0" w:rsidP="00451A31">
            <w:pPr>
              <w:spacing w:before="40" w:after="40" w:line="240" w:lineRule="auto"/>
              <w:rPr>
                <w:rFonts w:ascii="Arial" w:eastAsia="Calibri" w:hAnsi="Arial" w:cs="Arial"/>
                <w:b/>
                <w:bCs/>
                <w:color w:val="FFFFFF"/>
                <w:sz w:val="16"/>
                <w:szCs w:val="16"/>
              </w:rPr>
            </w:pPr>
            <w:r w:rsidRPr="003A15A0">
              <w:rPr>
                <w:rFonts w:ascii="Arial" w:eastAsia="Calibri" w:hAnsi="Arial" w:cs="Arial"/>
                <w:b/>
                <w:bCs/>
                <w:color w:val="FFFFFF"/>
                <w:sz w:val="16"/>
                <w:szCs w:val="16"/>
              </w:rPr>
              <w:t>Consequence</w:t>
            </w:r>
          </w:p>
        </w:tc>
        <w:tc>
          <w:tcPr>
            <w:tcW w:w="2709" w:type="pct"/>
            <w:gridSpan w:val="2"/>
            <w:tcBorders>
              <w:right w:val="nil"/>
            </w:tcBorders>
            <w:shd w:val="clear" w:color="auto" w:fill="808080"/>
          </w:tcPr>
          <w:p w14:paraId="42F5A484" w14:textId="77777777" w:rsidR="003A15A0" w:rsidRPr="003A15A0" w:rsidRDefault="003A15A0" w:rsidP="003A15A0">
            <w:pPr>
              <w:spacing w:before="40" w:after="40" w:line="240" w:lineRule="auto"/>
              <w:rPr>
                <w:rFonts w:ascii="Arial" w:eastAsia="Calibri" w:hAnsi="Arial" w:cs="Arial"/>
                <w:b/>
                <w:bCs/>
                <w:color w:val="FFFFFF"/>
                <w:sz w:val="16"/>
                <w:szCs w:val="16"/>
              </w:rPr>
            </w:pPr>
            <w:r w:rsidRPr="003A15A0">
              <w:rPr>
                <w:rFonts w:ascii="Arial" w:eastAsia="Calibri" w:hAnsi="Arial" w:cs="Arial"/>
                <w:b/>
                <w:bCs/>
                <w:color w:val="FFFFFF"/>
                <w:sz w:val="16"/>
                <w:szCs w:val="16"/>
              </w:rPr>
              <w:t>Ecosystem</w:t>
            </w:r>
          </w:p>
        </w:tc>
        <w:tc>
          <w:tcPr>
            <w:tcW w:w="1423" w:type="pct"/>
            <w:vMerge w:val="restart"/>
            <w:tcBorders>
              <w:right w:val="nil"/>
            </w:tcBorders>
            <w:shd w:val="clear" w:color="auto" w:fill="808080"/>
            <w:vAlign w:val="center"/>
          </w:tcPr>
          <w:p w14:paraId="64B52289" w14:textId="77777777" w:rsidR="003A15A0" w:rsidRPr="003A15A0" w:rsidRDefault="003A15A0" w:rsidP="003A15A0">
            <w:pPr>
              <w:spacing w:before="40" w:after="40" w:line="240" w:lineRule="auto"/>
              <w:rPr>
                <w:rFonts w:ascii="Arial" w:eastAsia="Calibri" w:hAnsi="Arial" w:cs="Arial"/>
                <w:b/>
                <w:bCs/>
                <w:color w:val="FFFFFF"/>
                <w:sz w:val="16"/>
                <w:szCs w:val="16"/>
              </w:rPr>
            </w:pPr>
            <w:r w:rsidRPr="003A15A0">
              <w:rPr>
                <w:rFonts w:ascii="Arial" w:eastAsia="Calibri" w:hAnsi="Arial" w:cs="Arial"/>
                <w:b/>
                <w:bCs/>
                <w:color w:val="FFFFFF"/>
                <w:sz w:val="16"/>
                <w:szCs w:val="16"/>
              </w:rPr>
              <w:t>Heritage</w:t>
            </w:r>
          </w:p>
        </w:tc>
      </w:tr>
      <w:tr w:rsidR="003A15A0" w:rsidRPr="003A15A0" w14:paraId="63DC515F" w14:textId="77777777" w:rsidTr="00451A31">
        <w:trPr>
          <w:trHeight w:val="361"/>
          <w:tblHeader/>
        </w:trPr>
        <w:tc>
          <w:tcPr>
            <w:tcW w:w="868" w:type="pct"/>
            <w:vMerge/>
            <w:tcBorders>
              <w:left w:val="nil"/>
            </w:tcBorders>
            <w:shd w:val="clear" w:color="auto" w:fill="808080"/>
          </w:tcPr>
          <w:p w14:paraId="15975A5D" w14:textId="77777777" w:rsidR="003A15A0" w:rsidRPr="003A15A0" w:rsidRDefault="003A15A0" w:rsidP="003A15A0">
            <w:pPr>
              <w:spacing w:before="40" w:after="40" w:line="240" w:lineRule="auto"/>
              <w:jc w:val="center"/>
              <w:rPr>
                <w:rFonts w:ascii="Arial" w:eastAsia="Calibri" w:hAnsi="Arial" w:cs="Arial"/>
                <w:b/>
                <w:bCs/>
                <w:sz w:val="16"/>
                <w:szCs w:val="16"/>
              </w:rPr>
            </w:pPr>
          </w:p>
        </w:tc>
        <w:tc>
          <w:tcPr>
            <w:tcW w:w="1379" w:type="pct"/>
            <w:tcBorders>
              <w:right w:val="nil"/>
            </w:tcBorders>
            <w:shd w:val="clear" w:color="auto" w:fill="808080"/>
          </w:tcPr>
          <w:p w14:paraId="6A725C74" w14:textId="77777777" w:rsidR="003A15A0" w:rsidRPr="003A15A0" w:rsidRDefault="003A15A0" w:rsidP="003A15A0">
            <w:pPr>
              <w:spacing w:before="40" w:after="40" w:line="240" w:lineRule="auto"/>
              <w:rPr>
                <w:rFonts w:ascii="Arial" w:eastAsia="Calibri" w:hAnsi="Arial" w:cs="Arial"/>
                <w:b/>
                <w:bCs/>
                <w:color w:val="FFFFFF"/>
                <w:sz w:val="16"/>
                <w:szCs w:val="16"/>
              </w:rPr>
            </w:pPr>
            <w:r w:rsidRPr="003A15A0">
              <w:rPr>
                <w:rFonts w:ascii="Arial" w:eastAsia="Calibri" w:hAnsi="Arial" w:cs="Arial"/>
                <w:b/>
                <w:bCs/>
                <w:color w:val="FFFFFF"/>
                <w:sz w:val="16"/>
                <w:szCs w:val="16"/>
              </w:rPr>
              <w:t>Broad scale</w:t>
            </w:r>
          </w:p>
        </w:tc>
        <w:tc>
          <w:tcPr>
            <w:tcW w:w="1330" w:type="pct"/>
            <w:tcBorders>
              <w:right w:val="nil"/>
            </w:tcBorders>
            <w:shd w:val="clear" w:color="auto" w:fill="808080"/>
          </w:tcPr>
          <w:p w14:paraId="4051B099" w14:textId="77777777" w:rsidR="003A15A0" w:rsidRPr="003A15A0" w:rsidRDefault="003A15A0" w:rsidP="003A15A0">
            <w:pPr>
              <w:spacing w:before="40" w:after="40" w:line="240" w:lineRule="auto"/>
              <w:rPr>
                <w:rFonts w:ascii="Arial" w:eastAsia="Calibri" w:hAnsi="Arial" w:cs="Arial"/>
                <w:b/>
                <w:bCs/>
                <w:color w:val="FFFFFF"/>
                <w:sz w:val="16"/>
                <w:szCs w:val="16"/>
              </w:rPr>
            </w:pPr>
            <w:r w:rsidRPr="003A15A0">
              <w:rPr>
                <w:rFonts w:ascii="Arial" w:eastAsia="Calibri" w:hAnsi="Arial" w:cs="Arial"/>
                <w:b/>
                <w:bCs/>
                <w:color w:val="FFFFFF"/>
                <w:sz w:val="16"/>
                <w:szCs w:val="16"/>
              </w:rPr>
              <w:t>Local scale</w:t>
            </w:r>
          </w:p>
        </w:tc>
        <w:tc>
          <w:tcPr>
            <w:tcW w:w="1423" w:type="pct"/>
            <w:vMerge/>
            <w:tcBorders>
              <w:right w:val="nil"/>
            </w:tcBorders>
            <w:shd w:val="clear" w:color="auto" w:fill="808080"/>
          </w:tcPr>
          <w:p w14:paraId="18F0AAFC" w14:textId="77777777" w:rsidR="003A15A0" w:rsidRPr="003A15A0" w:rsidRDefault="003A15A0" w:rsidP="003A15A0">
            <w:pPr>
              <w:spacing w:before="40" w:after="40" w:line="240" w:lineRule="auto"/>
              <w:jc w:val="center"/>
              <w:rPr>
                <w:rFonts w:ascii="Arial" w:eastAsia="Calibri" w:hAnsi="Arial" w:cs="Arial"/>
                <w:b/>
                <w:bCs/>
                <w:color w:val="FFFFFF"/>
                <w:sz w:val="16"/>
                <w:szCs w:val="16"/>
              </w:rPr>
            </w:pPr>
          </w:p>
        </w:tc>
      </w:tr>
      <w:tr w:rsidR="003A15A0" w:rsidRPr="003A15A0" w14:paraId="3C06F806" w14:textId="77777777" w:rsidTr="00451A31">
        <w:trPr>
          <w:trHeight w:val="220"/>
        </w:trPr>
        <w:tc>
          <w:tcPr>
            <w:tcW w:w="868" w:type="pct"/>
            <w:tcBorders>
              <w:top w:val="double" w:sz="4" w:space="0" w:color="FFFFFF"/>
              <w:left w:val="nil"/>
              <w:bottom w:val="double" w:sz="4" w:space="0" w:color="FFFFFF"/>
            </w:tcBorders>
            <w:shd w:val="clear" w:color="auto" w:fill="E8F5F8"/>
            <w:vAlign w:val="center"/>
          </w:tcPr>
          <w:p w14:paraId="162AA2D3" w14:textId="77777777" w:rsidR="003A15A0" w:rsidRPr="003A15A0" w:rsidRDefault="003A15A0" w:rsidP="003A15A0">
            <w:pPr>
              <w:spacing w:before="40" w:after="40" w:line="240" w:lineRule="auto"/>
              <w:rPr>
                <w:rFonts w:ascii="Arial" w:eastAsia="Calibri" w:hAnsi="Arial" w:cs="Arial"/>
                <w:b/>
                <w:bCs/>
                <w:sz w:val="16"/>
                <w:szCs w:val="16"/>
              </w:rPr>
            </w:pPr>
            <w:r w:rsidRPr="003A15A0">
              <w:rPr>
                <w:rFonts w:ascii="Arial" w:eastAsia="Calibri" w:hAnsi="Arial" w:cs="Arial"/>
                <w:b/>
                <w:bCs/>
                <w:sz w:val="16"/>
                <w:szCs w:val="16"/>
              </w:rPr>
              <w:t>Catastrophic</w:t>
            </w:r>
          </w:p>
        </w:tc>
        <w:tc>
          <w:tcPr>
            <w:tcW w:w="1379" w:type="pct"/>
            <w:tcBorders>
              <w:top w:val="double" w:sz="4" w:space="0" w:color="FFFFFF"/>
              <w:bottom w:val="double" w:sz="4" w:space="0" w:color="FFFFFF"/>
              <w:right w:val="nil"/>
            </w:tcBorders>
            <w:shd w:val="clear" w:color="auto" w:fill="E8F5F8"/>
            <w:vAlign w:val="center"/>
          </w:tcPr>
          <w:p w14:paraId="7CB52F0C"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clearly affecting, or would clearly affect, the nature of the ecosystem over a wide area.  Recovery periods greater than 20 years likely</w:t>
            </w:r>
          </w:p>
        </w:tc>
        <w:tc>
          <w:tcPr>
            <w:tcW w:w="1330" w:type="pct"/>
            <w:tcBorders>
              <w:top w:val="double" w:sz="4" w:space="0" w:color="FFFFFF"/>
              <w:bottom w:val="double" w:sz="4" w:space="0" w:color="FFFFFF"/>
              <w:right w:val="nil"/>
            </w:tcBorders>
            <w:shd w:val="clear" w:color="auto" w:fill="E8F5F8"/>
            <w:vAlign w:val="center"/>
          </w:tcPr>
          <w:p w14:paraId="4DDADA9E" w14:textId="77777777" w:rsidR="003A15A0" w:rsidRPr="003A15A0" w:rsidRDefault="003A15A0" w:rsidP="003A15A0">
            <w:pPr>
              <w:spacing w:before="120" w:after="120" w:line="240" w:lineRule="auto"/>
              <w:rPr>
                <w:rFonts w:ascii="Arial" w:eastAsia="Calibri" w:hAnsi="Arial" w:cs="Arial"/>
                <w:color w:val="000000"/>
                <w:sz w:val="16"/>
                <w:szCs w:val="16"/>
              </w:rPr>
            </w:pPr>
          </w:p>
        </w:tc>
        <w:tc>
          <w:tcPr>
            <w:tcW w:w="1423" w:type="pct"/>
            <w:tcBorders>
              <w:top w:val="double" w:sz="4" w:space="0" w:color="FFFFFF"/>
              <w:bottom w:val="double" w:sz="4" w:space="0" w:color="FFFFFF"/>
              <w:right w:val="nil"/>
            </w:tcBorders>
            <w:shd w:val="clear" w:color="auto" w:fill="E8F5F8"/>
            <w:vAlign w:val="center"/>
          </w:tcPr>
          <w:p w14:paraId="6001B198"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or has the potential to destroy a class or collection of heritage places on a large scale; or is clearly affecting, or would clearly affect, a range of heritage values over a wide area.</w:t>
            </w:r>
          </w:p>
        </w:tc>
      </w:tr>
      <w:tr w:rsidR="003A15A0" w:rsidRPr="003A15A0" w14:paraId="4417ECA9" w14:textId="77777777" w:rsidTr="00451A31">
        <w:trPr>
          <w:trHeight w:val="304"/>
        </w:trPr>
        <w:tc>
          <w:tcPr>
            <w:tcW w:w="868" w:type="pct"/>
            <w:tcBorders>
              <w:left w:val="nil"/>
            </w:tcBorders>
            <w:shd w:val="clear" w:color="auto" w:fill="E8F5F8"/>
            <w:vAlign w:val="center"/>
          </w:tcPr>
          <w:p w14:paraId="7265D5EB" w14:textId="77777777" w:rsidR="003A15A0" w:rsidRPr="003A15A0" w:rsidRDefault="003A15A0" w:rsidP="003A15A0">
            <w:pPr>
              <w:spacing w:before="40" w:after="40" w:line="240" w:lineRule="auto"/>
              <w:rPr>
                <w:rFonts w:ascii="Arial" w:eastAsia="Calibri" w:hAnsi="Arial" w:cs="Arial"/>
                <w:b/>
                <w:bCs/>
                <w:sz w:val="16"/>
                <w:szCs w:val="16"/>
              </w:rPr>
            </w:pPr>
            <w:r w:rsidRPr="003A15A0">
              <w:rPr>
                <w:rFonts w:ascii="Arial" w:eastAsia="Calibri" w:hAnsi="Arial" w:cs="Arial"/>
                <w:b/>
                <w:bCs/>
                <w:sz w:val="16"/>
                <w:szCs w:val="16"/>
              </w:rPr>
              <w:t>Major</w:t>
            </w:r>
          </w:p>
        </w:tc>
        <w:tc>
          <w:tcPr>
            <w:tcW w:w="1379" w:type="pct"/>
            <w:tcBorders>
              <w:right w:val="nil"/>
            </w:tcBorders>
            <w:shd w:val="clear" w:color="auto" w:fill="E8F5F8"/>
            <w:vAlign w:val="center"/>
          </w:tcPr>
          <w:p w14:paraId="47CC8D1C"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or would be, significant as a wider scale.  Recovery periods of 10 to 20 years likely.</w:t>
            </w:r>
          </w:p>
        </w:tc>
        <w:tc>
          <w:tcPr>
            <w:tcW w:w="1330" w:type="pct"/>
            <w:tcBorders>
              <w:right w:val="nil"/>
            </w:tcBorders>
            <w:shd w:val="clear" w:color="auto" w:fill="E8F5F8"/>
            <w:vAlign w:val="center"/>
          </w:tcPr>
          <w:p w14:paraId="0D4E4504"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or would be, extremely serious and possibly irreversible to a sensitive population or community.</w:t>
            </w:r>
          </w:p>
          <w:p w14:paraId="0EBA55C4"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Condition of an affected part of the ecosystem possibly irretrievably compromised.</w:t>
            </w:r>
          </w:p>
        </w:tc>
        <w:tc>
          <w:tcPr>
            <w:tcW w:w="1423" w:type="pct"/>
            <w:tcBorders>
              <w:right w:val="nil"/>
            </w:tcBorders>
            <w:shd w:val="clear" w:color="auto" w:fill="E8F5F8"/>
            <w:vAlign w:val="center"/>
          </w:tcPr>
          <w:p w14:paraId="1D78F33B"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or would be, adversely affect the heritage values of a number of places; destroy individual heritage places of great significance; or significantly affect the heritage values over a wide area.</w:t>
            </w:r>
          </w:p>
        </w:tc>
      </w:tr>
      <w:tr w:rsidR="003A15A0" w:rsidRPr="003A15A0" w14:paraId="3189B350" w14:textId="77777777" w:rsidTr="00451A31">
        <w:trPr>
          <w:trHeight w:val="337"/>
        </w:trPr>
        <w:tc>
          <w:tcPr>
            <w:tcW w:w="868" w:type="pct"/>
            <w:tcBorders>
              <w:top w:val="double" w:sz="4" w:space="0" w:color="FFFFFF"/>
              <w:left w:val="nil"/>
              <w:bottom w:val="double" w:sz="4" w:space="0" w:color="FFFFFF"/>
            </w:tcBorders>
            <w:shd w:val="clear" w:color="auto" w:fill="E8F5F8"/>
            <w:vAlign w:val="center"/>
          </w:tcPr>
          <w:p w14:paraId="64DEDB25" w14:textId="77777777" w:rsidR="003A15A0" w:rsidRPr="003A15A0" w:rsidRDefault="003A15A0" w:rsidP="003A15A0">
            <w:pPr>
              <w:spacing w:before="40" w:after="40" w:line="240" w:lineRule="auto"/>
              <w:rPr>
                <w:rFonts w:ascii="Arial" w:eastAsia="Calibri" w:hAnsi="Arial" w:cs="Arial"/>
                <w:b/>
                <w:bCs/>
                <w:sz w:val="16"/>
                <w:szCs w:val="16"/>
              </w:rPr>
            </w:pPr>
            <w:r w:rsidRPr="003A15A0">
              <w:rPr>
                <w:rFonts w:ascii="Arial" w:eastAsia="Calibri" w:hAnsi="Arial" w:cs="Arial"/>
                <w:b/>
                <w:bCs/>
                <w:sz w:val="16"/>
                <w:szCs w:val="16"/>
              </w:rPr>
              <w:t>Moderate</w:t>
            </w:r>
          </w:p>
        </w:tc>
        <w:tc>
          <w:tcPr>
            <w:tcW w:w="1379" w:type="pct"/>
            <w:tcBorders>
              <w:top w:val="double" w:sz="4" w:space="0" w:color="FFFFFF"/>
              <w:bottom w:val="double" w:sz="4" w:space="0" w:color="FFFFFF"/>
              <w:right w:val="nil"/>
            </w:tcBorders>
            <w:shd w:val="clear" w:color="auto" w:fill="E8F5F8"/>
            <w:vAlign w:val="center"/>
          </w:tcPr>
          <w:p w14:paraId="548A0CC8"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or would be, present at a wider scale, affecting some components of the ecosystem.  Recovery periods of five to 10 years likely.</w:t>
            </w:r>
          </w:p>
        </w:tc>
        <w:tc>
          <w:tcPr>
            <w:tcW w:w="1330" w:type="pct"/>
            <w:tcBorders>
              <w:top w:val="double" w:sz="4" w:space="0" w:color="FFFFFF"/>
              <w:bottom w:val="double" w:sz="4" w:space="0" w:color="FFFFFF"/>
              <w:right w:val="nil"/>
            </w:tcBorders>
            <w:shd w:val="clear" w:color="auto" w:fill="E8F5F8"/>
            <w:vAlign w:val="center"/>
          </w:tcPr>
          <w:p w14:paraId="4F19358A"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or would be, serious and possibly irreversible over a small area.  Recovery periods of 10 to 20 years likely.</w:t>
            </w:r>
          </w:p>
        </w:tc>
        <w:tc>
          <w:tcPr>
            <w:tcW w:w="1423" w:type="pct"/>
            <w:tcBorders>
              <w:top w:val="double" w:sz="4" w:space="0" w:color="FFFFFF"/>
              <w:bottom w:val="double" w:sz="4" w:space="0" w:color="FFFFFF"/>
              <w:right w:val="nil"/>
            </w:tcBorders>
            <w:shd w:val="clear" w:color="auto" w:fill="E8F5F8"/>
            <w:vAlign w:val="center"/>
          </w:tcPr>
          <w:p w14:paraId="1527C3A8" w14:textId="77777777" w:rsidR="003A15A0" w:rsidRPr="003A15A0" w:rsidRDefault="003A15A0" w:rsidP="003A15A0">
            <w:pPr>
              <w:spacing w:before="120" w:after="120" w:line="240" w:lineRule="auto"/>
              <w:rPr>
                <w:rFonts w:ascii="Arial" w:eastAsia="Calibri" w:hAnsi="Arial" w:cs="Arial"/>
                <w:color w:val="000000"/>
                <w:sz w:val="16"/>
                <w:szCs w:val="16"/>
              </w:rPr>
            </w:pPr>
            <w:r w:rsidRPr="003A15A0">
              <w:rPr>
                <w:rFonts w:ascii="Arial" w:eastAsia="Calibri" w:hAnsi="Arial" w:cs="Arial"/>
                <w:color w:val="000000"/>
                <w:sz w:val="16"/>
                <w:szCs w:val="16"/>
              </w:rPr>
              <w:t>Impact is, or would, affect individual heritage places or values of significance; or affect to some extent the heritage values at a wider scale.</w:t>
            </w:r>
          </w:p>
        </w:tc>
      </w:tr>
      <w:tr w:rsidR="003A15A0" w:rsidRPr="003A15A0" w14:paraId="695F8B4A" w14:textId="77777777" w:rsidTr="00451A31">
        <w:trPr>
          <w:trHeight w:val="337"/>
        </w:trPr>
        <w:tc>
          <w:tcPr>
            <w:tcW w:w="868" w:type="pct"/>
            <w:tcBorders>
              <w:top w:val="double" w:sz="4" w:space="0" w:color="FFFFFF"/>
              <w:left w:val="nil"/>
              <w:bottom w:val="double" w:sz="4" w:space="0" w:color="FFFFFF"/>
            </w:tcBorders>
            <w:shd w:val="clear" w:color="auto" w:fill="E8F5F8"/>
            <w:vAlign w:val="center"/>
          </w:tcPr>
          <w:p w14:paraId="0AB0CF25" w14:textId="77777777" w:rsidR="003A15A0" w:rsidRPr="003A15A0" w:rsidRDefault="003A15A0" w:rsidP="003A15A0">
            <w:pPr>
              <w:spacing w:before="40" w:after="40" w:line="240" w:lineRule="auto"/>
              <w:rPr>
                <w:rFonts w:ascii="Arial" w:eastAsia="Calibri" w:hAnsi="Arial" w:cs="Arial"/>
                <w:b/>
                <w:bCs/>
                <w:sz w:val="16"/>
                <w:szCs w:val="16"/>
              </w:rPr>
            </w:pPr>
            <w:r w:rsidRPr="003A15A0">
              <w:rPr>
                <w:rFonts w:ascii="Arial" w:eastAsia="Calibri" w:hAnsi="Arial" w:cs="Arial"/>
                <w:b/>
                <w:bCs/>
                <w:sz w:val="16"/>
                <w:szCs w:val="16"/>
              </w:rPr>
              <w:t>Minor</w:t>
            </w:r>
          </w:p>
        </w:tc>
        <w:tc>
          <w:tcPr>
            <w:tcW w:w="1379" w:type="pct"/>
            <w:tcBorders>
              <w:top w:val="double" w:sz="4" w:space="0" w:color="FFFFFF"/>
              <w:bottom w:val="double" w:sz="4" w:space="0" w:color="FFFFFF"/>
              <w:right w:val="nil"/>
            </w:tcBorders>
            <w:shd w:val="clear" w:color="auto" w:fill="E8F5F8"/>
            <w:vAlign w:val="center"/>
          </w:tcPr>
          <w:p w14:paraId="3C077211" w14:textId="77777777" w:rsidR="003A15A0" w:rsidRPr="003A15A0" w:rsidRDefault="003A15A0" w:rsidP="003A15A0">
            <w:pPr>
              <w:spacing w:before="120" w:after="120" w:line="240" w:lineRule="auto"/>
              <w:rPr>
                <w:rFonts w:ascii="Arial" w:eastAsia="Calibri" w:hAnsi="Arial" w:cs="Arial"/>
                <w:sz w:val="16"/>
                <w:szCs w:val="16"/>
              </w:rPr>
            </w:pPr>
            <w:r w:rsidRPr="003A15A0">
              <w:rPr>
                <w:rFonts w:ascii="Arial" w:eastAsia="Calibri" w:hAnsi="Arial" w:cs="Arial"/>
                <w:sz w:val="16"/>
                <w:szCs w:val="16"/>
              </w:rPr>
              <w:t>Impact is, or would be, not discernible at a wider scale.</w:t>
            </w:r>
          </w:p>
          <w:p w14:paraId="04AFD5CA" w14:textId="77777777" w:rsidR="003A15A0" w:rsidRPr="003A15A0" w:rsidRDefault="003A15A0" w:rsidP="003A15A0">
            <w:pPr>
              <w:spacing w:before="120" w:after="120" w:line="240" w:lineRule="auto"/>
              <w:rPr>
                <w:rFonts w:ascii="Arial" w:eastAsia="Calibri" w:hAnsi="Arial" w:cs="Arial"/>
                <w:sz w:val="16"/>
                <w:szCs w:val="16"/>
              </w:rPr>
            </w:pPr>
            <w:r w:rsidRPr="003A15A0">
              <w:rPr>
                <w:rFonts w:ascii="Arial" w:eastAsia="Calibri" w:hAnsi="Arial" w:cs="Arial"/>
                <w:sz w:val="16"/>
                <w:szCs w:val="16"/>
              </w:rPr>
              <w:t>Impact would not impair the overall condition of the ecosystem, or a sensitive population or community, over a wider level.</w:t>
            </w:r>
          </w:p>
        </w:tc>
        <w:tc>
          <w:tcPr>
            <w:tcW w:w="1330" w:type="pct"/>
            <w:tcBorders>
              <w:top w:val="double" w:sz="4" w:space="0" w:color="FFFFFF"/>
              <w:bottom w:val="double" w:sz="4" w:space="0" w:color="FFFFFF"/>
              <w:right w:val="nil"/>
            </w:tcBorders>
            <w:shd w:val="clear" w:color="auto" w:fill="E8F5F8"/>
            <w:vAlign w:val="center"/>
          </w:tcPr>
          <w:p w14:paraId="68A9512A" w14:textId="77777777" w:rsidR="003A15A0" w:rsidRPr="003A15A0" w:rsidRDefault="003A15A0" w:rsidP="003A15A0">
            <w:pPr>
              <w:spacing w:before="120" w:after="120" w:line="240" w:lineRule="auto"/>
              <w:rPr>
                <w:rFonts w:ascii="Arial" w:eastAsia="Calibri" w:hAnsi="Arial" w:cs="Arial"/>
                <w:sz w:val="16"/>
                <w:szCs w:val="16"/>
              </w:rPr>
            </w:pPr>
            <w:r w:rsidRPr="003A15A0">
              <w:rPr>
                <w:rFonts w:ascii="Arial" w:eastAsia="Calibri" w:hAnsi="Arial" w:cs="Arial"/>
                <w:sz w:val="16"/>
                <w:szCs w:val="16"/>
              </w:rPr>
              <w:t>Impact is, or would be, significant to a sensitive population or community at a local level.  Recovery periods of five to 10 years likely.</w:t>
            </w:r>
          </w:p>
        </w:tc>
        <w:tc>
          <w:tcPr>
            <w:tcW w:w="1423" w:type="pct"/>
            <w:tcBorders>
              <w:top w:val="double" w:sz="4" w:space="0" w:color="FFFFFF"/>
              <w:bottom w:val="double" w:sz="4" w:space="0" w:color="FFFFFF"/>
              <w:right w:val="nil"/>
            </w:tcBorders>
            <w:shd w:val="clear" w:color="auto" w:fill="E8F5F8"/>
            <w:vAlign w:val="center"/>
          </w:tcPr>
          <w:p w14:paraId="429BAD98" w14:textId="77777777" w:rsidR="003A15A0" w:rsidRPr="003A15A0" w:rsidRDefault="003A15A0" w:rsidP="003A15A0">
            <w:pPr>
              <w:spacing w:before="120" w:after="120" w:line="240" w:lineRule="auto"/>
              <w:rPr>
                <w:rFonts w:ascii="Arial" w:eastAsia="Calibri" w:hAnsi="Arial" w:cs="Arial"/>
                <w:sz w:val="16"/>
                <w:szCs w:val="16"/>
              </w:rPr>
            </w:pPr>
            <w:r w:rsidRPr="003A15A0">
              <w:rPr>
                <w:rFonts w:ascii="Arial" w:eastAsia="Calibri" w:hAnsi="Arial" w:cs="Arial"/>
                <w:sz w:val="16"/>
                <w:szCs w:val="16"/>
              </w:rPr>
              <w:t>Impact is, or would, affect heritage places or values of local significance, but not at a wider scale.  Impact would not impair the overall condition of the heritage values.</w:t>
            </w:r>
          </w:p>
        </w:tc>
      </w:tr>
      <w:tr w:rsidR="003A15A0" w:rsidRPr="003A15A0" w14:paraId="597AD51D" w14:textId="77777777" w:rsidTr="00451A31">
        <w:trPr>
          <w:trHeight w:val="337"/>
        </w:trPr>
        <w:tc>
          <w:tcPr>
            <w:tcW w:w="868" w:type="pct"/>
            <w:tcBorders>
              <w:top w:val="double" w:sz="4" w:space="0" w:color="FFFFFF"/>
              <w:left w:val="nil"/>
              <w:bottom w:val="double" w:sz="4" w:space="0" w:color="FFFFFF"/>
            </w:tcBorders>
            <w:shd w:val="clear" w:color="auto" w:fill="E8F5F8"/>
            <w:vAlign w:val="center"/>
          </w:tcPr>
          <w:p w14:paraId="116F8561" w14:textId="77777777" w:rsidR="003A15A0" w:rsidRPr="003A15A0" w:rsidRDefault="003A15A0" w:rsidP="003A15A0">
            <w:pPr>
              <w:spacing w:before="40" w:after="40" w:line="240" w:lineRule="auto"/>
              <w:rPr>
                <w:rFonts w:ascii="Arial" w:eastAsia="Calibri" w:hAnsi="Arial" w:cs="Arial"/>
                <w:b/>
                <w:bCs/>
                <w:sz w:val="16"/>
                <w:szCs w:val="16"/>
              </w:rPr>
            </w:pPr>
            <w:r w:rsidRPr="003A15A0">
              <w:rPr>
                <w:rFonts w:ascii="Arial" w:eastAsia="Calibri" w:hAnsi="Arial" w:cs="Arial"/>
                <w:b/>
                <w:bCs/>
                <w:sz w:val="16"/>
                <w:szCs w:val="16"/>
              </w:rPr>
              <w:t>Insignificant</w:t>
            </w:r>
          </w:p>
        </w:tc>
        <w:tc>
          <w:tcPr>
            <w:tcW w:w="1379" w:type="pct"/>
            <w:tcBorders>
              <w:top w:val="double" w:sz="4" w:space="0" w:color="FFFFFF"/>
              <w:bottom w:val="double" w:sz="4" w:space="0" w:color="FFFFFF"/>
              <w:right w:val="nil"/>
            </w:tcBorders>
            <w:shd w:val="clear" w:color="auto" w:fill="E8F5F8"/>
            <w:vAlign w:val="center"/>
          </w:tcPr>
          <w:p w14:paraId="7E5C9880" w14:textId="77777777" w:rsidR="003A15A0" w:rsidRPr="003A15A0" w:rsidRDefault="003A15A0" w:rsidP="003A15A0">
            <w:pPr>
              <w:spacing w:before="120" w:after="120" w:line="240" w:lineRule="auto"/>
              <w:rPr>
                <w:rFonts w:ascii="Arial" w:eastAsia="Calibri" w:hAnsi="Arial" w:cs="Arial"/>
                <w:sz w:val="16"/>
                <w:szCs w:val="16"/>
              </w:rPr>
            </w:pPr>
            <w:r w:rsidRPr="003A15A0">
              <w:rPr>
                <w:rFonts w:ascii="Arial" w:eastAsia="Calibri" w:hAnsi="Arial" w:cs="Arial"/>
                <w:sz w:val="16"/>
                <w:szCs w:val="16"/>
              </w:rPr>
              <w:t>No impact; or if impact is, or would be, present then only to the extent that it has no discernible effect on the overall condition of the ecosystem.</w:t>
            </w:r>
          </w:p>
        </w:tc>
        <w:tc>
          <w:tcPr>
            <w:tcW w:w="1330" w:type="pct"/>
            <w:tcBorders>
              <w:top w:val="double" w:sz="4" w:space="0" w:color="FFFFFF"/>
              <w:bottom w:val="double" w:sz="4" w:space="0" w:color="FFFFFF"/>
              <w:right w:val="nil"/>
            </w:tcBorders>
            <w:shd w:val="clear" w:color="auto" w:fill="E8F5F8"/>
            <w:vAlign w:val="center"/>
          </w:tcPr>
          <w:p w14:paraId="41536488" w14:textId="77777777" w:rsidR="003A15A0" w:rsidRPr="003A15A0" w:rsidRDefault="003A15A0" w:rsidP="003A15A0">
            <w:pPr>
              <w:spacing w:before="120" w:after="120" w:line="240" w:lineRule="auto"/>
              <w:rPr>
                <w:rFonts w:ascii="Arial" w:eastAsia="Calibri" w:hAnsi="Arial" w:cs="Arial"/>
                <w:sz w:val="16"/>
                <w:szCs w:val="16"/>
              </w:rPr>
            </w:pPr>
            <w:r w:rsidRPr="003A15A0">
              <w:rPr>
                <w:rFonts w:ascii="Arial" w:eastAsia="Calibri" w:hAnsi="Arial" w:cs="Arial"/>
                <w:sz w:val="16"/>
                <w:szCs w:val="16"/>
              </w:rPr>
              <w:t>No impact; or if impact is, or would be, present then only to the extent that it has no discernible effect on the overall condition of the ecosystem.</w:t>
            </w:r>
          </w:p>
        </w:tc>
        <w:tc>
          <w:tcPr>
            <w:tcW w:w="1423" w:type="pct"/>
            <w:tcBorders>
              <w:top w:val="double" w:sz="4" w:space="0" w:color="FFFFFF"/>
              <w:bottom w:val="double" w:sz="4" w:space="0" w:color="FFFFFF"/>
              <w:right w:val="nil"/>
            </w:tcBorders>
            <w:shd w:val="clear" w:color="auto" w:fill="E8F5F8"/>
            <w:vAlign w:val="center"/>
          </w:tcPr>
          <w:p w14:paraId="37447CF7" w14:textId="77777777" w:rsidR="003A15A0" w:rsidRPr="003A15A0" w:rsidRDefault="003A15A0" w:rsidP="003A15A0">
            <w:pPr>
              <w:spacing w:before="120" w:after="120" w:line="240" w:lineRule="auto"/>
              <w:rPr>
                <w:rFonts w:ascii="Arial" w:eastAsia="Calibri" w:hAnsi="Arial" w:cs="Arial"/>
                <w:sz w:val="16"/>
                <w:szCs w:val="16"/>
              </w:rPr>
            </w:pPr>
            <w:r w:rsidRPr="003A15A0">
              <w:rPr>
                <w:rFonts w:ascii="Arial" w:eastAsia="Calibri" w:hAnsi="Arial" w:cs="Arial"/>
                <w:sz w:val="16"/>
                <w:szCs w:val="16"/>
              </w:rPr>
              <w:t>No impact; or if impact is, or would be, present then only to the extent that it has no discernible effect on the heritage values; or positive impacts.</w:t>
            </w:r>
          </w:p>
        </w:tc>
      </w:tr>
    </w:tbl>
    <w:p w14:paraId="26E00648" w14:textId="77777777" w:rsidR="003A15A0" w:rsidRPr="000A4D14" w:rsidRDefault="003A15A0" w:rsidP="00C87438">
      <w:pPr>
        <w:spacing w:before="120" w:after="0" w:line="240" w:lineRule="auto"/>
        <w:rPr>
          <w:rFonts w:ascii="Century Gothic" w:eastAsia="Times New Roman" w:hAnsi="Century Gothic" w:cs="Arial"/>
          <w:i/>
          <w:sz w:val="16"/>
          <w:szCs w:val="20"/>
          <w:lang w:eastAsia="en-AU"/>
        </w:rPr>
      </w:pPr>
    </w:p>
    <w:p w14:paraId="69CCBD22" w14:textId="584E9B04" w:rsidR="00C87438" w:rsidRPr="00C87438" w:rsidRDefault="00C87438" w:rsidP="00C87438">
      <w:pPr>
        <w:spacing w:before="120" w:after="0" w:line="240" w:lineRule="auto"/>
        <w:rPr>
          <w:rFonts w:ascii="Arial" w:eastAsia="Times New Roman" w:hAnsi="Arial" w:cs="Arial"/>
          <w:sz w:val="20"/>
          <w:szCs w:val="20"/>
          <w:lang w:eastAsia="en-AU"/>
        </w:rPr>
      </w:pPr>
    </w:p>
    <w:p w14:paraId="69CCBD23" w14:textId="77777777" w:rsidR="00C87438" w:rsidRPr="000A4D14" w:rsidRDefault="00C87438" w:rsidP="00C87438">
      <w:pPr>
        <w:spacing w:before="120" w:after="0" w:line="240" w:lineRule="auto"/>
        <w:rPr>
          <w:rFonts w:ascii="Century Gothic" w:eastAsia="Times New Roman" w:hAnsi="Century Gothic" w:cs="Arial"/>
          <w:b/>
          <w:sz w:val="20"/>
          <w:szCs w:val="20"/>
          <w:lang w:eastAsia="en-AU"/>
        </w:rPr>
      </w:pPr>
      <w:r>
        <w:rPr>
          <w:rFonts w:ascii="Arial" w:eastAsia="Times New Roman" w:hAnsi="Arial" w:cs="Arial"/>
          <w:b/>
          <w:sz w:val="20"/>
          <w:szCs w:val="20"/>
          <w:lang w:eastAsia="en-AU"/>
        </w:rPr>
        <w:br w:type="page"/>
      </w:r>
      <w:r w:rsidRPr="000A4D14">
        <w:rPr>
          <w:rFonts w:ascii="Century Gothic" w:eastAsia="Times New Roman" w:hAnsi="Century Gothic" w:cs="Arial"/>
          <w:b/>
          <w:sz w:val="20"/>
          <w:szCs w:val="20"/>
          <w:lang w:eastAsia="en-AU"/>
        </w:rPr>
        <w:t>Figure A2.3 -</w:t>
      </w:r>
      <w:r w:rsidRPr="000A4D14">
        <w:rPr>
          <w:rFonts w:ascii="Century Gothic" w:eastAsia="Times New Roman" w:hAnsi="Century Gothic" w:cs="Arial"/>
          <w:b/>
          <w:color w:val="005782"/>
          <w:sz w:val="21"/>
          <w:szCs w:val="21"/>
          <w:lang w:eastAsia="en-AU"/>
        </w:rPr>
        <w:t xml:space="preserve"> </w:t>
      </w:r>
      <w:r w:rsidRPr="000A4D14">
        <w:rPr>
          <w:rFonts w:ascii="Century Gothic" w:eastAsia="Times New Roman" w:hAnsi="Century Gothic" w:cs="Arial"/>
          <w:b/>
          <w:sz w:val="20"/>
          <w:szCs w:val="20"/>
          <w:lang w:eastAsia="en-AU"/>
        </w:rPr>
        <w:t>Risk matrix legend</w:t>
      </w:r>
    </w:p>
    <w:p w14:paraId="69CCBD24" w14:textId="77777777" w:rsidR="00C87438" w:rsidRDefault="00C87438" w:rsidP="00C87438">
      <w:pPr>
        <w:spacing w:before="120" w:after="0" w:line="240" w:lineRule="auto"/>
        <w:rPr>
          <w:rFonts w:ascii="Century Gothic" w:eastAsia="Times New Roman" w:hAnsi="Century Gothic" w:cs="Arial"/>
          <w:sz w:val="20"/>
          <w:szCs w:val="20"/>
          <w:lang w:eastAsia="en-AU"/>
        </w:rPr>
      </w:pPr>
      <w:r w:rsidRPr="000A4D14">
        <w:rPr>
          <w:rFonts w:ascii="Century Gothic" w:eastAsia="Times New Roman" w:hAnsi="Century Gothic" w:cs="Arial"/>
          <w:sz w:val="20"/>
          <w:szCs w:val="20"/>
          <w:lang w:eastAsia="en-AU"/>
        </w:rPr>
        <w:t>Likelihood and consequence are combined to determine risk level, in accordance with the Australian Standard for Risk Assessment (AS/NZS ISO 31000:2009).</w:t>
      </w:r>
    </w:p>
    <w:p w14:paraId="61E86406" w14:textId="77777777" w:rsidR="003A15A0" w:rsidRDefault="003A15A0" w:rsidP="003A15A0">
      <w:pPr>
        <w:spacing w:after="0" w:line="240" w:lineRule="auto"/>
        <w:rPr>
          <w:rFonts w:ascii="Century Gothic" w:eastAsia="Times New Roman" w:hAnsi="Century Gothic" w:cs="Arial"/>
          <w:sz w:val="20"/>
          <w:szCs w:val="20"/>
          <w:lang w:eastAsia="en-AU"/>
        </w:rPr>
      </w:pPr>
    </w:p>
    <w:tbl>
      <w:tblPr>
        <w:tblW w:w="3103" w:type="pct"/>
        <w:tblInd w:w="1998"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721"/>
        <w:gridCol w:w="1351"/>
        <w:gridCol w:w="879"/>
        <w:gridCol w:w="879"/>
        <w:gridCol w:w="879"/>
        <w:gridCol w:w="879"/>
        <w:gridCol w:w="879"/>
      </w:tblGrid>
      <w:tr w:rsidR="003A15A0" w:rsidRPr="004D60BE" w14:paraId="79164D72" w14:textId="77777777" w:rsidTr="00451A31">
        <w:trPr>
          <w:trHeight w:val="496"/>
          <w:tblHeader/>
        </w:trPr>
        <w:tc>
          <w:tcPr>
            <w:tcW w:w="721" w:type="dxa"/>
            <w:tcBorders>
              <w:left w:val="nil"/>
            </w:tcBorders>
            <w:shd w:val="clear" w:color="auto" w:fill="FFFFFF"/>
          </w:tcPr>
          <w:p w14:paraId="2B522DCC" w14:textId="77777777" w:rsidR="003A15A0" w:rsidRPr="0085201F" w:rsidRDefault="003A15A0" w:rsidP="00451A31">
            <w:pPr>
              <w:spacing w:before="40" w:after="40" w:line="240" w:lineRule="auto"/>
              <w:rPr>
                <w:rFonts w:ascii="Arial" w:eastAsia="Calibri" w:hAnsi="Arial" w:cs="Arial"/>
                <w:b/>
                <w:bCs/>
                <w:color w:val="FFFFFF"/>
                <w:sz w:val="16"/>
                <w:szCs w:val="16"/>
              </w:rPr>
            </w:pPr>
          </w:p>
        </w:tc>
        <w:tc>
          <w:tcPr>
            <w:tcW w:w="1351" w:type="dxa"/>
            <w:vMerge w:val="restart"/>
            <w:tcBorders>
              <w:left w:val="nil"/>
            </w:tcBorders>
            <w:shd w:val="clear" w:color="auto" w:fill="FFFFFF"/>
            <w:vAlign w:val="center"/>
          </w:tcPr>
          <w:p w14:paraId="0AB3A901" w14:textId="77777777" w:rsidR="003A15A0" w:rsidRPr="00930444" w:rsidRDefault="003A15A0" w:rsidP="00451A31">
            <w:pPr>
              <w:spacing w:before="40" w:after="40" w:line="240" w:lineRule="auto"/>
              <w:rPr>
                <w:rFonts w:ascii="Arial" w:eastAsia="Calibri" w:hAnsi="Arial" w:cs="Arial"/>
                <w:b/>
                <w:bCs/>
                <w:color w:val="FFFFFF"/>
                <w:sz w:val="16"/>
                <w:szCs w:val="16"/>
              </w:rPr>
            </w:pPr>
          </w:p>
        </w:tc>
        <w:tc>
          <w:tcPr>
            <w:tcW w:w="4395" w:type="dxa"/>
            <w:gridSpan w:val="5"/>
            <w:shd w:val="clear" w:color="auto" w:fill="808080"/>
            <w:vAlign w:val="center"/>
          </w:tcPr>
          <w:p w14:paraId="29674030" w14:textId="77777777" w:rsidR="003A15A0" w:rsidRDefault="003A15A0" w:rsidP="00451A31">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LIKELIHOOD</w:t>
            </w:r>
          </w:p>
        </w:tc>
      </w:tr>
      <w:tr w:rsidR="003A15A0" w:rsidRPr="004D60BE" w14:paraId="66DDCC5E" w14:textId="77777777" w:rsidTr="00451A31">
        <w:trPr>
          <w:trHeight w:val="361"/>
          <w:tblHeader/>
        </w:trPr>
        <w:tc>
          <w:tcPr>
            <w:tcW w:w="721" w:type="dxa"/>
            <w:tcBorders>
              <w:left w:val="nil"/>
            </w:tcBorders>
            <w:shd w:val="clear" w:color="auto" w:fill="FFFFFF"/>
          </w:tcPr>
          <w:p w14:paraId="67A610B6" w14:textId="77777777" w:rsidR="003A15A0" w:rsidRDefault="003A15A0" w:rsidP="00451A31">
            <w:pPr>
              <w:spacing w:before="40" w:after="40" w:line="240" w:lineRule="auto"/>
              <w:jc w:val="center"/>
              <w:rPr>
                <w:rFonts w:ascii="Arial" w:eastAsia="Calibri" w:hAnsi="Arial" w:cs="Arial"/>
                <w:b/>
                <w:bCs/>
                <w:sz w:val="16"/>
                <w:szCs w:val="16"/>
              </w:rPr>
            </w:pPr>
          </w:p>
        </w:tc>
        <w:tc>
          <w:tcPr>
            <w:tcW w:w="1351" w:type="dxa"/>
            <w:vMerge/>
            <w:tcBorders>
              <w:left w:val="nil"/>
            </w:tcBorders>
            <w:shd w:val="clear" w:color="auto" w:fill="FFFFFF"/>
          </w:tcPr>
          <w:p w14:paraId="68DC1186" w14:textId="77777777" w:rsidR="003A15A0" w:rsidRDefault="003A15A0" w:rsidP="00451A31">
            <w:pPr>
              <w:spacing w:before="40" w:after="40" w:line="240" w:lineRule="auto"/>
              <w:jc w:val="center"/>
              <w:rPr>
                <w:rFonts w:ascii="Arial" w:eastAsia="Calibri" w:hAnsi="Arial" w:cs="Arial"/>
                <w:b/>
                <w:bCs/>
                <w:sz w:val="16"/>
                <w:szCs w:val="16"/>
              </w:rPr>
            </w:pPr>
          </w:p>
        </w:tc>
        <w:tc>
          <w:tcPr>
            <w:tcW w:w="879" w:type="dxa"/>
            <w:tcBorders>
              <w:right w:val="nil"/>
            </w:tcBorders>
            <w:shd w:val="clear" w:color="auto" w:fill="808080"/>
          </w:tcPr>
          <w:p w14:paraId="5D9921BC" w14:textId="77777777" w:rsidR="003A15A0" w:rsidRPr="00930444" w:rsidRDefault="003A15A0" w:rsidP="00451A31">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Rare</w:t>
            </w:r>
          </w:p>
        </w:tc>
        <w:tc>
          <w:tcPr>
            <w:tcW w:w="879" w:type="dxa"/>
            <w:tcBorders>
              <w:right w:val="nil"/>
            </w:tcBorders>
            <w:shd w:val="clear" w:color="auto" w:fill="808080"/>
          </w:tcPr>
          <w:p w14:paraId="56B02441" w14:textId="77777777" w:rsidR="003A15A0" w:rsidRPr="00930444" w:rsidRDefault="003A15A0" w:rsidP="00451A31">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Unlikely</w:t>
            </w:r>
          </w:p>
        </w:tc>
        <w:tc>
          <w:tcPr>
            <w:tcW w:w="879" w:type="dxa"/>
            <w:shd w:val="clear" w:color="auto" w:fill="808080"/>
          </w:tcPr>
          <w:p w14:paraId="3E6BAE3A" w14:textId="77777777" w:rsidR="003A15A0" w:rsidRPr="00930444" w:rsidRDefault="003A15A0" w:rsidP="00451A31">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Possible</w:t>
            </w:r>
          </w:p>
        </w:tc>
        <w:tc>
          <w:tcPr>
            <w:tcW w:w="879" w:type="dxa"/>
            <w:shd w:val="clear" w:color="auto" w:fill="808080"/>
          </w:tcPr>
          <w:p w14:paraId="4407AE07" w14:textId="77777777" w:rsidR="003A15A0" w:rsidRPr="00930444" w:rsidRDefault="003A15A0" w:rsidP="00451A31">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Likely</w:t>
            </w:r>
          </w:p>
        </w:tc>
        <w:tc>
          <w:tcPr>
            <w:tcW w:w="879" w:type="dxa"/>
            <w:shd w:val="clear" w:color="auto" w:fill="808080"/>
          </w:tcPr>
          <w:p w14:paraId="75AC1CE7" w14:textId="77777777" w:rsidR="003A15A0" w:rsidRPr="00930444" w:rsidRDefault="003A15A0" w:rsidP="00451A31">
            <w:pPr>
              <w:spacing w:before="40" w:after="40" w:line="240" w:lineRule="auto"/>
              <w:jc w:val="center"/>
              <w:rPr>
                <w:rFonts w:ascii="Arial" w:eastAsia="Calibri" w:hAnsi="Arial" w:cs="Arial"/>
                <w:b/>
                <w:bCs/>
                <w:color w:val="FFFFFF"/>
                <w:sz w:val="16"/>
                <w:szCs w:val="16"/>
              </w:rPr>
            </w:pPr>
            <w:r>
              <w:rPr>
                <w:rFonts w:ascii="Arial" w:eastAsia="Calibri" w:hAnsi="Arial" w:cs="Arial"/>
                <w:b/>
                <w:bCs/>
                <w:color w:val="FFFFFF"/>
                <w:sz w:val="16"/>
                <w:szCs w:val="16"/>
              </w:rPr>
              <w:t>Almost certain</w:t>
            </w:r>
          </w:p>
        </w:tc>
      </w:tr>
      <w:tr w:rsidR="003A15A0" w:rsidRPr="004D60BE" w14:paraId="7463452E" w14:textId="77777777" w:rsidTr="00451A31">
        <w:trPr>
          <w:trHeight w:val="864"/>
        </w:trPr>
        <w:tc>
          <w:tcPr>
            <w:tcW w:w="721" w:type="dxa"/>
            <w:vMerge w:val="restart"/>
            <w:tcBorders>
              <w:top w:val="double" w:sz="4" w:space="0" w:color="FFFFFF"/>
              <w:left w:val="nil"/>
            </w:tcBorders>
            <w:shd w:val="clear" w:color="auto" w:fill="808080"/>
            <w:textDirection w:val="btLr"/>
            <w:vAlign w:val="center"/>
          </w:tcPr>
          <w:p w14:paraId="65F61520" w14:textId="77777777" w:rsidR="003A15A0" w:rsidRPr="00CF5787" w:rsidRDefault="003A15A0" w:rsidP="00451A31">
            <w:pPr>
              <w:spacing w:before="40" w:after="40" w:line="240" w:lineRule="auto"/>
              <w:ind w:left="113" w:right="113"/>
              <w:jc w:val="center"/>
              <w:rPr>
                <w:rFonts w:ascii="Arial" w:eastAsia="Calibri" w:hAnsi="Arial" w:cs="Arial"/>
                <w:b/>
                <w:bCs/>
                <w:color w:val="FFFFFF"/>
                <w:sz w:val="16"/>
                <w:szCs w:val="16"/>
              </w:rPr>
            </w:pPr>
            <w:r w:rsidRPr="00CF5787">
              <w:rPr>
                <w:rFonts w:ascii="Arial" w:eastAsia="Calibri" w:hAnsi="Arial" w:cs="Arial"/>
                <w:b/>
                <w:bCs/>
                <w:color w:val="FFFFFF"/>
                <w:sz w:val="16"/>
                <w:szCs w:val="16"/>
              </w:rPr>
              <w:t>CONSEQUENCE</w:t>
            </w:r>
          </w:p>
        </w:tc>
        <w:tc>
          <w:tcPr>
            <w:tcW w:w="1351" w:type="dxa"/>
            <w:tcBorders>
              <w:top w:val="double" w:sz="4" w:space="0" w:color="FFFFFF"/>
              <w:left w:val="nil"/>
              <w:bottom w:val="double" w:sz="4" w:space="0" w:color="FFFFFF"/>
            </w:tcBorders>
            <w:shd w:val="clear" w:color="auto" w:fill="808080"/>
            <w:vAlign w:val="center"/>
          </w:tcPr>
          <w:p w14:paraId="2C956ACE" w14:textId="77777777" w:rsidR="003A15A0" w:rsidRPr="00CF5787" w:rsidRDefault="003A15A0" w:rsidP="00451A31">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Catastrophic</w:t>
            </w:r>
          </w:p>
        </w:tc>
        <w:tc>
          <w:tcPr>
            <w:tcW w:w="879" w:type="dxa"/>
            <w:tcBorders>
              <w:top w:val="double" w:sz="4" w:space="0" w:color="FFFFFF"/>
              <w:bottom w:val="double" w:sz="4" w:space="0" w:color="FFFFFF"/>
              <w:right w:val="nil"/>
            </w:tcBorders>
            <w:shd w:val="clear" w:color="auto" w:fill="E36C0A"/>
            <w:vAlign w:val="center"/>
          </w:tcPr>
          <w:p w14:paraId="7B2F362D"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right w:val="nil"/>
            </w:tcBorders>
            <w:shd w:val="clear" w:color="auto" w:fill="E36C0A"/>
            <w:vAlign w:val="center"/>
          </w:tcPr>
          <w:p w14:paraId="5D3E5847"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943634"/>
          </w:tcPr>
          <w:p w14:paraId="3BCD866B"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943634"/>
          </w:tcPr>
          <w:p w14:paraId="56AA7C8E"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943634"/>
          </w:tcPr>
          <w:p w14:paraId="65792A93" w14:textId="77777777" w:rsidR="003A15A0" w:rsidRPr="00930444" w:rsidRDefault="003A15A0" w:rsidP="00451A31">
            <w:pPr>
              <w:spacing w:before="120" w:after="120" w:line="240" w:lineRule="auto"/>
              <w:rPr>
                <w:rFonts w:ascii="Arial" w:eastAsia="Calibri" w:hAnsi="Arial" w:cs="Arial"/>
                <w:color w:val="000000"/>
                <w:sz w:val="16"/>
                <w:szCs w:val="16"/>
              </w:rPr>
            </w:pPr>
          </w:p>
        </w:tc>
      </w:tr>
      <w:tr w:rsidR="003A15A0" w:rsidRPr="004D60BE" w14:paraId="2025A0FD" w14:textId="77777777" w:rsidTr="00451A31">
        <w:trPr>
          <w:trHeight w:val="864"/>
        </w:trPr>
        <w:tc>
          <w:tcPr>
            <w:tcW w:w="721" w:type="dxa"/>
            <w:vMerge/>
            <w:tcBorders>
              <w:left w:val="nil"/>
            </w:tcBorders>
            <w:shd w:val="clear" w:color="auto" w:fill="808080"/>
          </w:tcPr>
          <w:p w14:paraId="1F61F89D" w14:textId="77777777" w:rsidR="003A15A0" w:rsidRDefault="003A15A0" w:rsidP="00451A31">
            <w:pPr>
              <w:spacing w:before="40" w:after="40" w:line="240" w:lineRule="auto"/>
              <w:rPr>
                <w:rFonts w:ascii="Arial" w:eastAsia="Calibri" w:hAnsi="Arial" w:cs="Arial"/>
                <w:b/>
                <w:bCs/>
                <w:sz w:val="16"/>
                <w:szCs w:val="16"/>
              </w:rPr>
            </w:pPr>
          </w:p>
        </w:tc>
        <w:tc>
          <w:tcPr>
            <w:tcW w:w="1351" w:type="dxa"/>
            <w:tcBorders>
              <w:left w:val="nil"/>
            </w:tcBorders>
            <w:shd w:val="clear" w:color="auto" w:fill="808080"/>
            <w:vAlign w:val="center"/>
          </w:tcPr>
          <w:p w14:paraId="0C8B5F1A" w14:textId="77777777" w:rsidR="003A15A0" w:rsidRPr="00CF5787" w:rsidRDefault="003A15A0" w:rsidP="00451A31">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Major</w:t>
            </w:r>
          </w:p>
        </w:tc>
        <w:tc>
          <w:tcPr>
            <w:tcW w:w="879" w:type="dxa"/>
            <w:tcBorders>
              <w:right w:val="nil"/>
            </w:tcBorders>
            <w:shd w:val="clear" w:color="auto" w:fill="FFC000"/>
            <w:vAlign w:val="center"/>
          </w:tcPr>
          <w:p w14:paraId="59CC2789"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right w:val="nil"/>
            </w:tcBorders>
            <w:shd w:val="clear" w:color="auto" w:fill="FFC000"/>
            <w:vAlign w:val="center"/>
          </w:tcPr>
          <w:p w14:paraId="08158A5D"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shd w:val="clear" w:color="auto" w:fill="E36C0A"/>
          </w:tcPr>
          <w:p w14:paraId="3D69D239"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shd w:val="clear" w:color="auto" w:fill="E36C0A"/>
          </w:tcPr>
          <w:p w14:paraId="1FB2B6A4"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shd w:val="clear" w:color="auto" w:fill="943634"/>
          </w:tcPr>
          <w:p w14:paraId="26157491" w14:textId="77777777" w:rsidR="003A15A0" w:rsidRPr="00930444" w:rsidRDefault="003A15A0" w:rsidP="00451A31">
            <w:pPr>
              <w:spacing w:before="120" w:after="120" w:line="240" w:lineRule="auto"/>
              <w:rPr>
                <w:rFonts w:ascii="Arial" w:eastAsia="Calibri" w:hAnsi="Arial" w:cs="Arial"/>
                <w:color w:val="000000"/>
                <w:sz w:val="16"/>
                <w:szCs w:val="16"/>
              </w:rPr>
            </w:pPr>
          </w:p>
        </w:tc>
      </w:tr>
      <w:tr w:rsidR="003A15A0" w:rsidRPr="004D60BE" w14:paraId="396832CB" w14:textId="77777777" w:rsidTr="00451A31">
        <w:trPr>
          <w:trHeight w:val="864"/>
        </w:trPr>
        <w:tc>
          <w:tcPr>
            <w:tcW w:w="721" w:type="dxa"/>
            <w:vMerge/>
            <w:tcBorders>
              <w:left w:val="nil"/>
            </w:tcBorders>
            <w:shd w:val="clear" w:color="auto" w:fill="808080"/>
          </w:tcPr>
          <w:p w14:paraId="5E9DDA3B" w14:textId="77777777" w:rsidR="003A15A0" w:rsidRDefault="003A15A0" w:rsidP="00451A31">
            <w:pPr>
              <w:spacing w:before="40" w:after="40" w:line="240" w:lineRule="auto"/>
              <w:rPr>
                <w:rFonts w:ascii="Arial" w:eastAsia="Calibri" w:hAnsi="Arial"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68C9FED8" w14:textId="77777777" w:rsidR="003A15A0" w:rsidRPr="00CF5787" w:rsidRDefault="003A15A0" w:rsidP="00451A31">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Moderate</w:t>
            </w:r>
          </w:p>
        </w:tc>
        <w:tc>
          <w:tcPr>
            <w:tcW w:w="879" w:type="dxa"/>
            <w:tcBorders>
              <w:top w:val="double" w:sz="4" w:space="0" w:color="FFFFFF"/>
              <w:bottom w:val="double" w:sz="4" w:space="0" w:color="FFFFFF"/>
              <w:right w:val="nil"/>
            </w:tcBorders>
            <w:shd w:val="clear" w:color="auto" w:fill="FFFF00"/>
            <w:vAlign w:val="center"/>
          </w:tcPr>
          <w:p w14:paraId="28429683"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right w:val="nil"/>
            </w:tcBorders>
            <w:shd w:val="clear" w:color="auto" w:fill="FFFF00"/>
            <w:vAlign w:val="center"/>
          </w:tcPr>
          <w:p w14:paraId="1D94E49A"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FFC000"/>
          </w:tcPr>
          <w:p w14:paraId="7412A695"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E36C0A"/>
          </w:tcPr>
          <w:p w14:paraId="0A8D9CA4" w14:textId="77777777" w:rsidR="003A15A0" w:rsidRPr="00930444" w:rsidRDefault="003A15A0" w:rsidP="00451A31">
            <w:pPr>
              <w:spacing w:before="120" w:after="120" w:line="240" w:lineRule="auto"/>
              <w:rPr>
                <w:rFonts w:ascii="Arial" w:eastAsia="Calibri" w:hAnsi="Arial" w:cs="Arial"/>
                <w:color w:val="000000"/>
                <w:sz w:val="16"/>
                <w:szCs w:val="16"/>
              </w:rPr>
            </w:pPr>
          </w:p>
        </w:tc>
        <w:tc>
          <w:tcPr>
            <w:tcW w:w="879" w:type="dxa"/>
            <w:tcBorders>
              <w:top w:val="double" w:sz="4" w:space="0" w:color="FFFFFF"/>
              <w:bottom w:val="double" w:sz="4" w:space="0" w:color="FFFFFF"/>
            </w:tcBorders>
            <w:shd w:val="clear" w:color="auto" w:fill="E36C0A"/>
          </w:tcPr>
          <w:p w14:paraId="75BEF274" w14:textId="77777777" w:rsidR="003A15A0" w:rsidRPr="00930444" w:rsidRDefault="003A15A0" w:rsidP="00451A31">
            <w:pPr>
              <w:spacing w:before="120" w:after="120" w:line="240" w:lineRule="auto"/>
              <w:rPr>
                <w:rFonts w:ascii="Arial" w:eastAsia="Calibri" w:hAnsi="Arial" w:cs="Arial"/>
                <w:color w:val="000000"/>
                <w:sz w:val="16"/>
                <w:szCs w:val="16"/>
              </w:rPr>
            </w:pPr>
          </w:p>
        </w:tc>
      </w:tr>
      <w:tr w:rsidR="003A15A0" w:rsidRPr="004D60BE" w14:paraId="756B6ED8" w14:textId="77777777" w:rsidTr="00451A31">
        <w:trPr>
          <w:trHeight w:val="864"/>
        </w:trPr>
        <w:tc>
          <w:tcPr>
            <w:tcW w:w="721" w:type="dxa"/>
            <w:vMerge/>
            <w:tcBorders>
              <w:left w:val="nil"/>
            </w:tcBorders>
            <w:shd w:val="clear" w:color="auto" w:fill="808080"/>
          </w:tcPr>
          <w:p w14:paraId="6D7169E3" w14:textId="77777777" w:rsidR="003A15A0" w:rsidRDefault="003A15A0" w:rsidP="00451A31">
            <w:pPr>
              <w:spacing w:before="40" w:after="40" w:line="240" w:lineRule="auto"/>
              <w:rPr>
                <w:rFonts w:ascii="Arial" w:eastAsia="Calibri" w:hAnsi="Arial"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32F828FE" w14:textId="77777777" w:rsidR="003A15A0" w:rsidRPr="00CF5787" w:rsidRDefault="003A15A0" w:rsidP="00451A31">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Minor</w:t>
            </w:r>
          </w:p>
        </w:tc>
        <w:tc>
          <w:tcPr>
            <w:tcW w:w="879" w:type="dxa"/>
            <w:tcBorders>
              <w:top w:val="double" w:sz="4" w:space="0" w:color="FFFFFF"/>
              <w:bottom w:val="double" w:sz="4" w:space="0" w:color="FFFFFF"/>
              <w:right w:val="nil"/>
            </w:tcBorders>
            <w:shd w:val="clear" w:color="auto" w:fill="FFFF00"/>
            <w:vAlign w:val="center"/>
          </w:tcPr>
          <w:p w14:paraId="7549781B"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1E9189DD"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5062A60C"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C000"/>
          </w:tcPr>
          <w:p w14:paraId="7388EE20"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C000"/>
          </w:tcPr>
          <w:p w14:paraId="672444AC" w14:textId="77777777" w:rsidR="003A15A0" w:rsidRPr="00930444" w:rsidRDefault="003A15A0" w:rsidP="00451A31">
            <w:pPr>
              <w:spacing w:before="120" w:after="120" w:line="240" w:lineRule="auto"/>
              <w:rPr>
                <w:rFonts w:ascii="Arial" w:eastAsia="Calibri" w:hAnsi="Arial" w:cs="Arial"/>
                <w:sz w:val="16"/>
                <w:szCs w:val="16"/>
              </w:rPr>
            </w:pPr>
          </w:p>
        </w:tc>
      </w:tr>
      <w:tr w:rsidR="003A15A0" w:rsidRPr="004D60BE" w14:paraId="674DE955" w14:textId="77777777" w:rsidTr="00451A31">
        <w:trPr>
          <w:trHeight w:val="864"/>
        </w:trPr>
        <w:tc>
          <w:tcPr>
            <w:tcW w:w="721" w:type="dxa"/>
            <w:vMerge/>
            <w:tcBorders>
              <w:left w:val="nil"/>
              <w:bottom w:val="double" w:sz="4" w:space="0" w:color="FFFFFF"/>
            </w:tcBorders>
            <w:shd w:val="clear" w:color="auto" w:fill="808080"/>
          </w:tcPr>
          <w:p w14:paraId="3588580B" w14:textId="77777777" w:rsidR="003A15A0" w:rsidRDefault="003A15A0" w:rsidP="00451A31">
            <w:pPr>
              <w:spacing w:before="40" w:after="40" w:line="240" w:lineRule="auto"/>
              <w:rPr>
                <w:rFonts w:ascii="Arial" w:eastAsia="Calibri" w:hAnsi="Arial"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4AA67656" w14:textId="77777777" w:rsidR="003A15A0" w:rsidRPr="00CF5787" w:rsidRDefault="003A15A0" w:rsidP="00451A31">
            <w:pPr>
              <w:spacing w:before="40" w:after="40" w:line="240" w:lineRule="auto"/>
              <w:rPr>
                <w:rFonts w:ascii="Arial" w:eastAsia="Calibri" w:hAnsi="Arial" w:cs="Arial"/>
                <w:b/>
                <w:bCs/>
                <w:color w:val="FFFFFF"/>
                <w:sz w:val="16"/>
                <w:szCs w:val="16"/>
              </w:rPr>
            </w:pPr>
            <w:r w:rsidRPr="00CF5787">
              <w:rPr>
                <w:rFonts w:ascii="Arial" w:eastAsia="Calibri" w:hAnsi="Arial" w:cs="Arial"/>
                <w:b/>
                <w:bCs/>
                <w:color w:val="FFFFFF"/>
                <w:sz w:val="16"/>
                <w:szCs w:val="16"/>
              </w:rPr>
              <w:t>Insignificant</w:t>
            </w:r>
          </w:p>
        </w:tc>
        <w:tc>
          <w:tcPr>
            <w:tcW w:w="879" w:type="dxa"/>
            <w:tcBorders>
              <w:top w:val="double" w:sz="4" w:space="0" w:color="FFFFFF"/>
              <w:bottom w:val="double" w:sz="4" w:space="0" w:color="FFFFFF"/>
              <w:right w:val="nil"/>
            </w:tcBorders>
            <w:shd w:val="clear" w:color="auto" w:fill="FFFF00"/>
            <w:vAlign w:val="center"/>
          </w:tcPr>
          <w:p w14:paraId="6F16A0FF"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522B5C15"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64787ECC"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7DA54AE5" w14:textId="77777777" w:rsidR="003A15A0" w:rsidRPr="00930444" w:rsidRDefault="003A15A0" w:rsidP="00451A31">
            <w:pPr>
              <w:spacing w:before="120" w:after="120" w:line="240" w:lineRule="auto"/>
              <w:rPr>
                <w:rFonts w:ascii="Arial" w:eastAsia="Calibri" w:hAnsi="Arial" w:cs="Arial"/>
                <w:sz w:val="16"/>
                <w:szCs w:val="16"/>
              </w:rPr>
            </w:pPr>
          </w:p>
        </w:tc>
        <w:tc>
          <w:tcPr>
            <w:tcW w:w="879" w:type="dxa"/>
            <w:tcBorders>
              <w:top w:val="double" w:sz="4" w:space="0" w:color="FFFFFF"/>
              <w:bottom w:val="double" w:sz="4" w:space="0" w:color="FFFFFF"/>
            </w:tcBorders>
            <w:shd w:val="clear" w:color="auto" w:fill="FFFF00"/>
          </w:tcPr>
          <w:p w14:paraId="49373DE2" w14:textId="77777777" w:rsidR="003A15A0" w:rsidRPr="00930444" w:rsidRDefault="003A15A0" w:rsidP="00451A31">
            <w:pPr>
              <w:spacing w:before="120" w:after="120" w:line="240" w:lineRule="auto"/>
              <w:rPr>
                <w:rFonts w:ascii="Arial" w:eastAsia="Calibri" w:hAnsi="Arial" w:cs="Arial"/>
                <w:sz w:val="16"/>
                <w:szCs w:val="16"/>
              </w:rPr>
            </w:pPr>
          </w:p>
        </w:tc>
      </w:tr>
    </w:tbl>
    <w:p w14:paraId="32FD40BD" w14:textId="77777777" w:rsidR="003A15A0" w:rsidRPr="008A6FBD" w:rsidRDefault="003A15A0" w:rsidP="003A15A0">
      <w:pPr>
        <w:spacing w:after="0" w:line="240" w:lineRule="auto"/>
        <w:rPr>
          <w:vanish/>
        </w:rPr>
      </w:pPr>
    </w:p>
    <w:tbl>
      <w:tblPr>
        <w:tblpPr w:leftFromText="180" w:rightFromText="180" w:vertAnchor="text" w:horzAnchor="margin" w:tblpXSpec="center" w:tblpY="87"/>
        <w:tblW w:w="6336" w:type="dxa"/>
        <w:tblBorders>
          <w:top w:val="single" w:sz="4" w:space="0" w:color="A6A6A6"/>
          <w:left w:val="single" w:sz="4" w:space="0" w:color="A6A6A6"/>
          <w:bottom w:val="single" w:sz="4" w:space="0" w:color="A6A6A6"/>
          <w:right w:val="single" w:sz="4" w:space="0" w:color="A6A6A6"/>
        </w:tblBorders>
        <w:tblLook w:val="04A0" w:firstRow="1" w:lastRow="0" w:firstColumn="1" w:lastColumn="0" w:noHBand="0" w:noVBand="1"/>
      </w:tblPr>
      <w:tblGrid>
        <w:gridCol w:w="576"/>
        <w:gridCol w:w="1008"/>
        <w:gridCol w:w="576"/>
        <w:gridCol w:w="1008"/>
        <w:gridCol w:w="576"/>
        <w:gridCol w:w="1008"/>
        <w:gridCol w:w="576"/>
        <w:gridCol w:w="1008"/>
      </w:tblGrid>
      <w:tr w:rsidR="003A15A0" w:rsidRPr="000B56C8" w14:paraId="27F49194" w14:textId="77777777" w:rsidTr="00451A31">
        <w:tc>
          <w:tcPr>
            <w:tcW w:w="576" w:type="dxa"/>
            <w:shd w:val="clear" w:color="auto" w:fill="BFBFBF"/>
          </w:tcPr>
          <w:p w14:paraId="38A96ADA" w14:textId="77777777" w:rsidR="003A15A0" w:rsidRPr="000B56C8" w:rsidRDefault="003A15A0" w:rsidP="00451A31">
            <w:pPr>
              <w:spacing w:before="120" w:after="120" w:line="240" w:lineRule="auto"/>
              <w:jc w:val="right"/>
              <w:rPr>
                <w:rFonts w:ascii="Arial" w:eastAsia="Times New Roman" w:hAnsi="Arial" w:cs="Arial"/>
                <w:sz w:val="16"/>
                <w:szCs w:val="16"/>
                <w:lang w:eastAsia="en-AU"/>
              </w:rPr>
            </w:pPr>
            <w:r w:rsidRPr="000B56C8">
              <w:rPr>
                <w:rFonts w:ascii="Arial" w:eastAsia="Times New Roman" w:hAnsi="Arial" w:cs="Arial"/>
                <w:sz w:val="16"/>
                <w:szCs w:val="16"/>
                <w:lang w:eastAsia="en-AU"/>
              </w:rPr>
              <w:t>Risk</w:t>
            </w:r>
          </w:p>
        </w:tc>
        <w:tc>
          <w:tcPr>
            <w:tcW w:w="1008" w:type="dxa"/>
            <w:shd w:val="clear" w:color="auto" w:fill="BFBFBF"/>
          </w:tcPr>
          <w:p w14:paraId="5674FF04" w14:textId="77777777" w:rsidR="003A15A0" w:rsidRPr="000B56C8" w:rsidRDefault="003A15A0" w:rsidP="00451A31">
            <w:pPr>
              <w:spacing w:before="120" w:after="0" w:line="240" w:lineRule="auto"/>
              <w:rPr>
                <w:rFonts w:ascii="Arial" w:eastAsia="Times New Roman" w:hAnsi="Arial" w:cs="Arial"/>
                <w:sz w:val="16"/>
                <w:szCs w:val="16"/>
                <w:lang w:eastAsia="en-AU"/>
              </w:rPr>
            </w:pPr>
          </w:p>
        </w:tc>
        <w:tc>
          <w:tcPr>
            <w:tcW w:w="576" w:type="dxa"/>
            <w:shd w:val="clear" w:color="auto" w:fill="BFBFBF"/>
          </w:tcPr>
          <w:p w14:paraId="616823C7" w14:textId="77777777" w:rsidR="003A15A0" w:rsidRPr="000B56C8" w:rsidRDefault="003A15A0" w:rsidP="00451A31">
            <w:pPr>
              <w:spacing w:before="120" w:after="0" w:line="240" w:lineRule="auto"/>
              <w:rPr>
                <w:rFonts w:ascii="Arial" w:eastAsia="Times New Roman" w:hAnsi="Arial" w:cs="Arial"/>
                <w:sz w:val="16"/>
                <w:szCs w:val="16"/>
                <w:lang w:eastAsia="en-AU"/>
              </w:rPr>
            </w:pPr>
          </w:p>
        </w:tc>
        <w:tc>
          <w:tcPr>
            <w:tcW w:w="1008" w:type="dxa"/>
            <w:shd w:val="clear" w:color="auto" w:fill="BFBFBF"/>
          </w:tcPr>
          <w:p w14:paraId="733175A3" w14:textId="77777777" w:rsidR="003A15A0" w:rsidRPr="000B56C8" w:rsidRDefault="003A15A0" w:rsidP="00451A31">
            <w:pPr>
              <w:spacing w:before="120" w:after="0" w:line="240" w:lineRule="auto"/>
              <w:rPr>
                <w:rFonts w:ascii="Arial" w:eastAsia="Times New Roman" w:hAnsi="Arial" w:cs="Arial"/>
                <w:sz w:val="16"/>
                <w:szCs w:val="16"/>
                <w:lang w:eastAsia="en-AU"/>
              </w:rPr>
            </w:pPr>
          </w:p>
        </w:tc>
        <w:tc>
          <w:tcPr>
            <w:tcW w:w="576" w:type="dxa"/>
            <w:shd w:val="clear" w:color="auto" w:fill="BFBFBF"/>
          </w:tcPr>
          <w:p w14:paraId="4B7AE114" w14:textId="77777777" w:rsidR="003A15A0" w:rsidRPr="000B56C8" w:rsidRDefault="003A15A0" w:rsidP="00451A31">
            <w:pPr>
              <w:spacing w:before="120" w:after="0" w:line="240" w:lineRule="auto"/>
              <w:rPr>
                <w:rFonts w:ascii="Arial" w:eastAsia="Times New Roman" w:hAnsi="Arial" w:cs="Arial"/>
                <w:sz w:val="16"/>
                <w:szCs w:val="16"/>
                <w:lang w:eastAsia="en-AU"/>
              </w:rPr>
            </w:pPr>
          </w:p>
        </w:tc>
        <w:tc>
          <w:tcPr>
            <w:tcW w:w="1008" w:type="dxa"/>
            <w:shd w:val="clear" w:color="auto" w:fill="BFBFBF"/>
          </w:tcPr>
          <w:p w14:paraId="4419A7A3" w14:textId="77777777" w:rsidR="003A15A0" w:rsidRPr="000B56C8" w:rsidRDefault="003A15A0" w:rsidP="00451A31">
            <w:pPr>
              <w:spacing w:before="120" w:after="0" w:line="240" w:lineRule="auto"/>
              <w:rPr>
                <w:rFonts w:ascii="Arial" w:eastAsia="Times New Roman" w:hAnsi="Arial" w:cs="Arial"/>
                <w:sz w:val="16"/>
                <w:szCs w:val="16"/>
                <w:lang w:eastAsia="en-AU"/>
              </w:rPr>
            </w:pPr>
          </w:p>
        </w:tc>
        <w:tc>
          <w:tcPr>
            <w:tcW w:w="576" w:type="dxa"/>
            <w:shd w:val="clear" w:color="auto" w:fill="BFBFBF"/>
          </w:tcPr>
          <w:p w14:paraId="2740FD38" w14:textId="77777777" w:rsidR="003A15A0" w:rsidRPr="000B56C8" w:rsidRDefault="003A15A0" w:rsidP="00451A31">
            <w:pPr>
              <w:spacing w:before="120" w:after="0" w:line="240" w:lineRule="auto"/>
              <w:rPr>
                <w:rFonts w:ascii="Arial" w:eastAsia="Times New Roman" w:hAnsi="Arial" w:cs="Arial"/>
                <w:sz w:val="16"/>
                <w:szCs w:val="16"/>
                <w:lang w:eastAsia="en-AU"/>
              </w:rPr>
            </w:pPr>
          </w:p>
        </w:tc>
        <w:tc>
          <w:tcPr>
            <w:tcW w:w="1008" w:type="dxa"/>
            <w:shd w:val="clear" w:color="auto" w:fill="BFBFBF"/>
          </w:tcPr>
          <w:p w14:paraId="033F217E" w14:textId="77777777" w:rsidR="003A15A0" w:rsidRPr="000B56C8" w:rsidRDefault="003A15A0" w:rsidP="00451A31">
            <w:pPr>
              <w:spacing w:before="120" w:after="0" w:line="240" w:lineRule="auto"/>
              <w:rPr>
                <w:rFonts w:ascii="Arial" w:eastAsia="Times New Roman" w:hAnsi="Arial" w:cs="Arial"/>
                <w:sz w:val="16"/>
                <w:szCs w:val="16"/>
                <w:lang w:eastAsia="en-AU"/>
              </w:rPr>
            </w:pPr>
          </w:p>
        </w:tc>
      </w:tr>
      <w:tr w:rsidR="003A15A0" w:rsidRPr="000B56C8" w14:paraId="5C46AD31" w14:textId="77777777" w:rsidTr="00451A31">
        <w:trPr>
          <w:trHeight w:val="576"/>
        </w:trPr>
        <w:tc>
          <w:tcPr>
            <w:tcW w:w="576" w:type="dxa"/>
            <w:shd w:val="clear" w:color="auto" w:fill="FFFF00"/>
          </w:tcPr>
          <w:p w14:paraId="6C819416" w14:textId="77777777" w:rsidR="003A15A0" w:rsidRPr="000B56C8" w:rsidRDefault="003A15A0" w:rsidP="00451A31">
            <w:pPr>
              <w:spacing w:before="120" w:after="0" w:line="240" w:lineRule="auto"/>
              <w:rPr>
                <w:rFonts w:ascii="Arial" w:eastAsia="Times New Roman" w:hAnsi="Arial" w:cs="Arial"/>
                <w:sz w:val="16"/>
                <w:szCs w:val="16"/>
                <w:lang w:eastAsia="en-AU"/>
              </w:rPr>
            </w:pPr>
          </w:p>
        </w:tc>
        <w:tc>
          <w:tcPr>
            <w:tcW w:w="1008" w:type="dxa"/>
            <w:shd w:val="clear" w:color="auto" w:fill="auto"/>
            <w:vAlign w:val="center"/>
          </w:tcPr>
          <w:p w14:paraId="421AFF1C" w14:textId="77777777" w:rsidR="003A15A0" w:rsidRPr="000B56C8" w:rsidRDefault="003A15A0" w:rsidP="00451A31">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Low</w:t>
            </w:r>
          </w:p>
        </w:tc>
        <w:tc>
          <w:tcPr>
            <w:tcW w:w="576" w:type="dxa"/>
            <w:shd w:val="clear" w:color="auto" w:fill="FFC000"/>
            <w:vAlign w:val="center"/>
          </w:tcPr>
          <w:p w14:paraId="20B9BD66" w14:textId="77777777" w:rsidR="003A15A0" w:rsidRPr="000B56C8" w:rsidRDefault="003A15A0" w:rsidP="00451A31">
            <w:pPr>
              <w:spacing w:before="120" w:after="0" w:line="240" w:lineRule="auto"/>
              <w:jc w:val="center"/>
              <w:rPr>
                <w:rFonts w:ascii="Arial" w:eastAsia="Times New Roman" w:hAnsi="Arial" w:cs="Arial"/>
                <w:sz w:val="16"/>
                <w:szCs w:val="16"/>
                <w:lang w:eastAsia="en-AU"/>
              </w:rPr>
            </w:pPr>
          </w:p>
        </w:tc>
        <w:tc>
          <w:tcPr>
            <w:tcW w:w="1008" w:type="dxa"/>
            <w:shd w:val="clear" w:color="auto" w:fill="auto"/>
            <w:vAlign w:val="center"/>
          </w:tcPr>
          <w:p w14:paraId="10A3BEEF" w14:textId="77777777" w:rsidR="003A15A0" w:rsidRPr="000B56C8" w:rsidRDefault="003A15A0" w:rsidP="00451A31">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Medium</w:t>
            </w:r>
          </w:p>
        </w:tc>
        <w:tc>
          <w:tcPr>
            <w:tcW w:w="576" w:type="dxa"/>
            <w:shd w:val="clear" w:color="auto" w:fill="E36C0A"/>
            <w:vAlign w:val="center"/>
          </w:tcPr>
          <w:p w14:paraId="74E0983C" w14:textId="77777777" w:rsidR="003A15A0" w:rsidRPr="000B56C8" w:rsidRDefault="003A15A0" w:rsidP="00451A31">
            <w:pPr>
              <w:spacing w:before="120" w:after="0" w:line="240" w:lineRule="auto"/>
              <w:jc w:val="center"/>
              <w:rPr>
                <w:rFonts w:ascii="Arial" w:eastAsia="Times New Roman" w:hAnsi="Arial" w:cs="Arial"/>
                <w:sz w:val="16"/>
                <w:szCs w:val="16"/>
                <w:lang w:eastAsia="en-AU"/>
              </w:rPr>
            </w:pPr>
          </w:p>
        </w:tc>
        <w:tc>
          <w:tcPr>
            <w:tcW w:w="1008" w:type="dxa"/>
            <w:shd w:val="clear" w:color="auto" w:fill="auto"/>
            <w:vAlign w:val="center"/>
          </w:tcPr>
          <w:p w14:paraId="673D2596" w14:textId="77777777" w:rsidR="003A15A0" w:rsidRPr="000B56C8" w:rsidRDefault="003A15A0" w:rsidP="00451A31">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High</w:t>
            </w:r>
          </w:p>
        </w:tc>
        <w:tc>
          <w:tcPr>
            <w:tcW w:w="576" w:type="dxa"/>
            <w:shd w:val="clear" w:color="auto" w:fill="943634"/>
            <w:vAlign w:val="center"/>
          </w:tcPr>
          <w:p w14:paraId="2FD7EBFF" w14:textId="77777777" w:rsidR="003A15A0" w:rsidRPr="000B56C8" w:rsidRDefault="003A15A0" w:rsidP="00451A31">
            <w:pPr>
              <w:spacing w:before="120" w:after="0" w:line="240" w:lineRule="auto"/>
              <w:jc w:val="center"/>
              <w:rPr>
                <w:rFonts w:ascii="Arial" w:eastAsia="Times New Roman" w:hAnsi="Arial" w:cs="Arial"/>
                <w:sz w:val="16"/>
                <w:szCs w:val="16"/>
                <w:lang w:eastAsia="en-AU"/>
              </w:rPr>
            </w:pPr>
          </w:p>
        </w:tc>
        <w:tc>
          <w:tcPr>
            <w:tcW w:w="1008" w:type="dxa"/>
            <w:shd w:val="clear" w:color="auto" w:fill="auto"/>
            <w:vAlign w:val="center"/>
          </w:tcPr>
          <w:p w14:paraId="09855CD2" w14:textId="77777777" w:rsidR="003A15A0" w:rsidRPr="000B56C8" w:rsidRDefault="003A15A0" w:rsidP="00451A31">
            <w:pPr>
              <w:spacing w:before="120" w:after="0" w:line="240" w:lineRule="auto"/>
              <w:jc w:val="center"/>
              <w:rPr>
                <w:rFonts w:ascii="Arial" w:eastAsia="Times New Roman" w:hAnsi="Arial" w:cs="Arial"/>
                <w:sz w:val="16"/>
                <w:szCs w:val="16"/>
                <w:lang w:eastAsia="en-AU"/>
              </w:rPr>
            </w:pPr>
            <w:r w:rsidRPr="000B56C8">
              <w:rPr>
                <w:rFonts w:ascii="Arial" w:eastAsia="Times New Roman" w:hAnsi="Arial" w:cs="Arial"/>
                <w:sz w:val="16"/>
                <w:szCs w:val="16"/>
                <w:lang w:eastAsia="en-AU"/>
              </w:rPr>
              <w:t>Very high</w:t>
            </w:r>
          </w:p>
        </w:tc>
      </w:tr>
    </w:tbl>
    <w:p w14:paraId="1E6F26E4" w14:textId="77777777" w:rsidR="003A15A0" w:rsidRPr="000B56C8" w:rsidRDefault="003A15A0" w:rsidP="003A15A0">
      <w:pPr>
        <w:spacing w:after="0"/>
        <w:rPr>
          <w:vanish/>
        </w:rPr>
      </w:pPr>
    </w:p>
    <w:p w14:paraId="2933B67F" w14:textId="77777777" w:rsidR="003A15A0" w:rsidRDefault="003A15A0" w:rsidP="003A15A0">
      <w:pPr>
        <w:spacing w:before="120" w:after="0" w:line="240" w:lineRule="auto"/>
        <w:rPr>
          <w:rFonts w:ascii="Century Gothic" w:eastAsia="Times New Roman" w:hAnsi="Century Gothic" w:cs="Arial"/>
          <w:sz w:val="20"/>
          <w:szCs w:val="20"/>
          <w:lang w:eastAsia="en-AU"/>
        </w:rPr>
      </w:pPr>
    </w:p>
    <w:p w14:paraId="69CCBD25" w14:textId="77777777" w:rsidR="001D5E30" w:rsidRPr="000A4D14" w:rsidRDefault="001D5E30" w:rsidP="00C87438">
      <w:pPr>
        <w:spacing w:before="120" w:after="0" w:line="240" w:lineRule="auto"/>
        <w:rPr>
          <w:rFonts w:ascii="Century Gothic" w:eastAsia="Times New Roman" w:hAnsi="Century Gothic" w:cs="Arial"/>
          <w:sz w:val="20"/>
          <w:szCs w:val="20"/>
          <w:lang w:eastAsia="en-AU"/>
        </w:rPr>
      </w:pPr>
    </w:p>
    <w:p w14:paraId="69CCBD26" w14:textId="0A91902E" w:rsidR="001D5E30" w:rsidRDefault="0095278E" w:rsidP="00C87438">
      <w:pPr>
        <w:spacing w:before="120" w:after="0" w:line="240" w:lineRule="auto"/>
        <w:jc w:val="center"/>
        <w:rPr>
          <w:rFonts w:ascii="Calibri" w:eastAsia="Times New Roman" w:hAnsi="Calibri"/>
          <w:noProof/>
          <w:color w:val="005782"/>
          <w:sz w:val="30"/>
          <w:szCs w:val="30"/>
          <w:lang w:eastAsia="en-AU"/>
        </w:rPr>
      </w:pPr>
      <w:r>
        <w:rPr>
          <w:noProof/>
        </w:rPr>
        <w:pict w14:anchorId="3A1CF717">
          <v:shape id="_x0000_s1202" type="#_x0000_t75" alt="Picture of red soft coral" style="position:absolute;left:0;text-align:left;margin-left:30.4pt;margin-top:20.85pt;width:442.3pt;height:300.75pt;z-index:251677732;mso-position-horizontal-relative:text;mso-position-vertical-relative:text;mso-width-relative:page;mso-height-relative:page">
            <v:imagedata r:id="rId32" o:title="getmedia" cropbottom="6291f"/>
          </v:shape>
        </w:pict>
      </w:r>
    </w:p>
    <w:p w14:paraId="69CCBD27" w14:textId="573AEC8C" w:rsidR="001D5E30" w:rsidRDefault="001D5E30" w:rsidP="00C87438">
      <w:pPr>
        <w:spacing w:before="120" w:after="0" w:line="240" w:lineRule="auto"/>
        <w:jc w:val="center"/>
        <w:rPr>
          <w:rFonts w:ascii="Calibri" w:eastAsia="Times New Roman" w:hAnsi="Calibri"/>
          <w:noProof/>
          <w:color w:val="005782"/>
          <w:sz w:val="30"/>
          <w:szCs w:val="30"/>
          <w:lang w:eastAsia="en-AU"/>
        </w:rPr>
      </w:pPr>
    </w:p>
    <w:p w14:paraId="69CCBD28" w14:textId="31A8126F" w:rsidR="001D5E30" w:rsidRPr="00C87438" w:rsidRDefault="001D5E30" w:rsidP="00C87438">
      <w:pPr>
        <w:spacing w:before="120" w:after="0" w:line="240" w:lineRule="auto"/>
        <w:jc w:val="center"/>
        <w:rPr>
          <w:rFonts w:ascii="Arial" w:eastAsia="Times New Roman" w:hAnsi="Arial" w:cs="Arial"/>
          <w:sz w:val="20"/>
          <w:szCs w:val="20"/>
          <w:lang w:eastAsia="en-AU"/>
        </w:rPr>
      </w:pPr>
    </w:p>
    <w:p w14:paraId="69CCBD29" w14:textId="77777777" w:rsidR="00C87438" w:rsidRPr="00C87438" w:rsidRDefault="00C87438" w:rsidP="007F556E">
      <w:pPr>
        <w:pStyle w:val="Heading2"/>
        <w:keepNext/>
        <w:tabs>
          <w:tab w:val="left" w:pos="9498"/>
        </w:tabs>
        <w:spacing w:before="240" w:after="120"/>
        <w:rPr>
          <w:rFonts w:ascii="Century Gothic" w:hAnsi="Century Gothic"/>
          <w:b/>
          <w:szCs w:val="20"/>
        </w:rPr>
      </w:pPr>
      <w:r w:rsidRPr="00C87438">
        <w:rPr>
          <w:rFonts w:eastAsia="Calibri"/>
          <w:sz w:val="19"/>
          <w:szCs w:val="19"/>
        </w:rPr>
        <w:br w:type="page"/>
      </w:r>
      <w:bookmarkStart w:id="21" w:name="_Toc479240264"/>
      <w:bookmarkStart w:id="22" w:name="_Toc482002032"/>
      <w:r w:rsidRPr="00C87438">
        <w:rPr>
          <w:rFonts w:ascii="Century Gothic" w:hAnsi="Century Gothic"/>
          <w:b/>
          <w:szCs w:val="20"/>
        </w:rPr>
        <w:t>Attachment 3: Condition and trend of Great Barrier Reef values</w:t>
      </w:r>
      <w:bookmarkEnd w:id="21"/>
      <w:bookmarkEnd w:id="22"/>
    </w:p>
    <w:p w14:paraId="69CCBD2A" w14:textId="77777777"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Relationship between values and processes and ‘outstanding universal value’</w:t>
      </w:r>
    </w:p>
    <w:p w14:paraId="69CCBD2B" w14:textId="43D11A9C"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A property is considered to be of </w:t>
      </w:r>
      <w:r w:rsidR="006163CC">
        <w:rPr>
          <w:rFonts w:ascii="Century Gothic" w:hAnsi="Century Gothic"/>
          <w:szCs w:val="20"/>
        </w:rPr>
        <w:t>‘</w:t>
      </w:r>
      <w:r w:rsidRPr="00C87438">
        <w:rPr>
          <w:rFonts w:ascii="Century Gothic" w:hAnsi="Century Gothic"/>
          <w:szCs w:val="20"/>
        </w:rPr>
        <w:t>outstanding universal value’ if it meets one or more of 10 world heritage criteria and is inscribed on the World Heritage List. To be deemed to be of outstanding universal value ‘a property must also meet the conditions of integrity and/or authenticity and must have an adequate protection and management system to ensure its safeguarding’.</w:t>
      </w:r>
      <w:r w:rsidR="004679AB">
        <w:rPr>
          <w:rFonts w:ascii="Century Gothic" w:hAnsi="Century Gothic"/>
          <w:szCs w:val="20"/>
        </w:rPr>
        <w:t xml:space="preserve"> </w:t>
      </w:r>
      <w:r w:rsidRPr="00C87438">
        <w:rPr>
          <w:rFonts w:ascii="Century Gothic" w:hAnsi="Century Gothic"/>
          <w:szCs w:val="20"/>
        </w:rPr>
        <w:t>Effective future protection of the Great Barrier Reef’s outstanding universal value, together with the seven matters of national environmental significance, relies on the integration of management measures and a systems approach to the protection of values and processes.</w:t>
      </w:r>
    </w:p>
    <w:p w14:paraId="69CCBD2C"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Given the scale and complexity of the Great Barrier Reef and its diversity and interconnectedness, key values and processes are combined into one comprehensive set as a basis for assessment of outstanding universal value and the seven matters of national environmental significance. The key values and processes presented in the following tables are based on those identified in the description of each matter in Sections 4.2 to 4.9 of the Great Barrier Reef Region Strategic Assessment Report. </w:t>
      </w:r>
    </w:p>
    <w:p w14:paraId="69CCBD2D" w14:textId="77777777" w:rsidR="00C87438" w:rsidRPr="004679AB" w:rsidRDefault="00C87438" w:rsidP="004679AB">
      <w:pPr>
        <w:pStyle w:val="BodyTextNumbering"/>
        <w:keepNext/>
        <w:spacing w:after="120"/>
        <w:rPr>
          <w:rFonts w:ascii="Century Gothic" w:hAnsi="Century Gothic"/>
          <w:b/>
          <w:i/>
          <w:szCs w:val="20"/>
        </w:rPr>
      </w:pPr>
      <w:r w:rsidRPr="004679AB">
        <w:rPr>
          <w:rFonts w:ascii="Century Gothic" w:hAnsi="Century Gothic"/>
          <w:b/>
          <w:i/>
          <w:szCs w:val="20"/>
        </w:rPr>
        <w:t>Great Barrier Reef Outlook report condition and trend assessment approach (adapted from page 9 of the Great Barrier Reef Outlook Report 2014)</w:t>
      </w:r>
    </w:p>
    <w:p w14:paraId="69CCBD2E" w14:textId="0A8DD6A9"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A set of assessment criteria is used to analyse available evidence. For example, the assessment of biodiversity uses two assessment criteria — habitats to support species and populations of species or groups of species. Within each assessment criterion there are multiple assessment components. A series of statements </w:t>
      </w:r>
      <w:r w:rsidR="009D7B06">
        <w:rPr>
          <w:rFonts w:ascii="Century Gothic" w:hAnsi="Century Gothic"/>
          <w:szCs w:val="20"/>
        </w:rPr>
        <w:t>is</w:t>
      </w:r>
      <w:r w:rsidR="009D7B06" w:rsidRPr="00C87438">
        <w:rPr>
          <w:rFonts w:ascii="Century Gothic" w:hAnsi="Century Gothic"/>
          <w:szCs w:val="20"/>
        </w:rPr>
        <w:t xml:space="preserve"> </w:t>
      </w:r>
      <w:r w:rsidRPr="00C87438">
        <w:rPr>
          <w:rFonts w:ascii="Century Gothic" w:hAnsi="Century Gothic"/>
          <w:szCs w:val="20"/>
        </w:rPr>
        <w:t xml:space="preserve">then used to standardise the allocation of grades for all components examined in an assessment, as well as the overall grade for the criterion. </w:t>
      </w:r>
    </w:p>
    <w:p w14:paraId="69CCBD2F" w14:textId="77777777"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 xml:space="preserve">Grading statements (refer to Table A3.1) </w:t>
      </w:r>
    </w:p>
    <w:p w14:paraId="69CCBD30" w14:textId="026529EB"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The grade allocated is a ‘grade of best fit’, based on a qualitative assessment of the available evidence for the Region. It is not a comparison of the Region in relation to other tropical ecosystems around the world. The statements developed for assessing most heritage values are based on those used in the Australian </w:t>
      </w:r>
      <w:r w:rsidR="009D522E">
        <w:rPr>
          <w:rFonts w:ascii="Century Gothic" w:hAnsi="Century Gothic"/>
          <w:szCs w:val="20"/>
        </w:rPr>
        <w:t>S</w:t>
      </w:r>
      <w:r w:rsidRPr="00C87438">
        <w:rPr>
          <w:rFonts w:ascii="Century Gothic" w:hAnsi="Century Gothic"/>
          <w:szCs w:val="20"/>
        </w:rPr>
        <w:t xml:space="preserve">tate of the </w:t>
      </w:r>
      <w:r w:rsidR="009D522E">
        <w:rPr>
          <w:rFonts w:ascii="Century Gothic" w:hAnsi="Century Gothic"/>
          <w:szCs w:val="20"/>
        </w:rPr>
        <w:t>E</w:t>
      </w:r>
      <w:r w:rsidRPr="00C87438">
        <w:rPr>
          <w:rFonts w:ascii="Century Gothic" w:hAnsi="Century Gothic"/>
          <w:szCs w:val="20"/>
        </w:rPr>
        <w:t xml:space="preserve">nvironment </w:t>
      </w:r>
      <w:r w:rsidR="009D522E">
        <w:rPr>
          <w:rFonts w:ascii="Century Gothic" w:hAnsi="Century Gothic"/>
          <w:szCs w:val="20"/>
        </w:rPr>
        <w:t>R</w:t>
      </w:r>
      <w:r w:rsidRPr="00C87438">
        <w:rPr>
          <w:rFonts w:ascii="Century Gothic" w:hAnsi="Century Gothic"/>
          <w:szCs w:val="20"/>
        </w:rPr>
        <w:t xml:space="preserve">eport and </w:t>
      </w:r>
      <w:r w:rsidR="009D522E">
        <w:rPr>
          <w:rFonts w:ascii="Century Gothic" w:hAnsi="Century Gothic"/>
          <w:szCs w:val="20"/>
        </w:rPr>
        <w:t>S</w:t>
      </w:r>
      <w:r w:rsidRPr="00C87438">
        <w:rPr>
          <w:rFonts w:ascii="Century Gothic" w:hAnsi="Century Gothic"/>
          <w:szCs w:val="20"/>
        </w:rPr>
        <w:t xml:space="preserve">trategic </w:t>
      </w:r>
      <w:r w:rsidR="009D522E">
        <w:rPr>
          <w:rFonts w:ascii="Century Gothic" w:hAnsi="Century Gothic"/>
          <w:szCs w:val="20"/>
        </w:rPr>
        <w:t>A</w:t>
      </w:r>
      <w:r w:rsidRPr="00C87438">
        <w:rPr>
          <w:rFonts w:ascii="Century Gothic" w:hAnsi="Century Gothic"/>
          <w:szCs w:val="20"/>
        </w:rPr>
        <w:t>ssessment draft report. Those for the assessment of world and national heritage values are adapted from a grading system developed by the International Union for Conservation of Nature to assess the outstanding universal value of natural world heritage sites. One aspect considered in grading the condition of heritage values is the degree to which those values have been recorded and identified. This recognises the important role an understanding of heritage plays in its protection.</w:t>
      </w:r>
    </w:p>
    <w:p w14:paraId="69CCBD31" w14:textId="77777777"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Trend and confidence</w:t>
      </w:r>
    </w:p>
    <w:p w14:paraId="69CCBD32" w14:textId="0CFE5D69"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The approach to grading is refined by including an indication of trend and confidence, similar to the Australian </w:t>
      </w:r>
      <w:r w:rsidR="003014F6">
        <w:rPr>
          <w:rFonts w:ascii="Century Gothic" w:hAnsi="Century Gothic"/>
          <w:szCs w:val="20"/>
        </w:rPr>
        <w:t>S</w:t>
      </w:r>
      <w:r w:rsidRPr="00C87438">
        <w:rPr>
          <w:rFonts w:ascii="Century Gothic" w:hAnsi="Century Gothic"/>
          <w:szCs w:val="20"/>
        </w:rPr>
        <w:t xml:space="preserve">tate of the </w:t>
      </w:r>
      <w:r w:rsidR="003014F6">
        <w:rPr>
          <w:rFonts w:ascii="Century Gothic" w:hAnsi="Century Gothic"/>
          <w:szCs w:val="20"/>
        </w:rPr>
        <w:t>E</w:t>
      </w:r>
      <w:r w:rsidRPr="00C87438">
        <w:rPr>
          <w:rFonts w:ascii="Century Gothic" w:hAnsi="Century Gothic"/>
          <w:szCs w:val="20"/>
        </w:rPr>
        <w:t xml:space="preserve">nvironment </w:t>
      </w:r>
      <w:r w:rsidR="003014F6">
        <w:rPr>
          <w:rFonts w:ascii="Century Gothic" w:hAnsi="Century Gothic"/>
          <w:szCs w:val="20"/>
        </w:rPr>
        <w:t>R</w:t>
      </w:r>
      <w:r w:rsidRPr="00C87438">
        <w:rPr>
          <w:rFonts w:ascii="Century Gothic" w:hAnsi="Century Gothic"/>
          <w:szCs w:val="20"/>
        </w:rPr>
        <w:t xml:space="preserve">eport and the </w:t>
      </w:r>
      <w:r w:rsidR="003014F6">
        <w:rPr>
          <w:rFonts w:ascii="Century Gothic" w:hAnsi="Century Gothic"/>
          <w:szCs w:val="20"/>
        </w:rPr>
        <w:t>S</w:t>
      </w:r>
      <w:r w:rsidRPr="00C87438">
        <w:rPr>
          <w:rFonts w:ascii="Century Gothic" w:hAnsi="Century Gothic"/>
          <w:szCs w:val="20"/>
        </w:rPr>
        <w:t xml:space="preserve">trategic </w:t>
      </w:r>
      <w:r w:rsidR="003014F6">
        <w:rPr>
          <w:rFonts w:ascii="Century Gothic" w:hAnsi="Century Gothic"/>
          <w:szCs w:val="20"/>
        </w:rPr>
        <w:t>A</w:t>
      </w:r>
      <w:r w:rsidRPr="00C87438">
        <w:rPr>
          <w:rFonts w:ascii="Century Gothic" w:hAnsi="Century Gothic"/>
          <w:szCs w:val="20"/>
        </w:rPr>
        <w:t xml:space="preserve">ssessment report. There are four categories for trend: improved, stable, deteriorated and no consistent trend. The category of ‘no consistent trend’ is applied to a component when the available information is too variable to establish a trend, for example where there is strong variation across broad areas or across species within a group. The terms ‘improved’ and ‘deteriorated’ are replaced with ‘increased’ and ‘decreased’ in assessments of benefits, impacts, threats and risks. Similar to the Australian </w:t>
      </w:r>
      <w:r w:rsidR="003014F6">
        <w:rPr>
          <w:rFonts w:ascii="Century Gothic" w:hAnsi="Century Gothic"/>
          <w:szCs w:val="20"/>
        </w:rPr>
        <w:t>S</w:t>
      </w:r>
      <w:r w:rsidRPr="00C87438">
        <w:rPr>
          <w:rFonts w:ascii="Century Gothic" w:hAnsi="Century Gothic"/>
          <w:szCs w:val="20"/>
        </w:rPr>
        <w:t xml:space="preserve">tate of the </w:t>
      </w:r>
      <w:r w:rsidR="003014F6">
        <w:rPr>
          <w:rFonts w:ascii="Century Gothic" w:hAnsi="Century Gothic"/>
          <w:szCs w:val="20"/>
        </w:rPr>
        <w:t>E</w:t>
      </w:r>
      <w:r w:rsidRPr="00C87438">
        <w:rPr>
          <w:rFonts w:ascii="Century Gothic" w:hAnsi="Century Gothic"/>
          <w:szCs w:val="20"/>
        </w:rPr>
        <w:t xml:space="preserve">nvironment </w:t>
      </w:r>
      <w:r w:rsidR="003014F6">
        <w:rPr>
          <w:rFonts w:ascii="Century Gothic" w:hAnsi="Century Gothic"/>
          <w:szCs w:val="20"/>
        </w:rPr>
        <w:t>R</w:t>
      </w:r>
      <w:r w:rsidRPr="00C87438">
        <w:rPr>
          <w:rFonts w:ascii="Century Gothic" w:hAnsi="Century Gothic"/>
          <w:szCs w:val="20"/>
        </w:rPr>
        <w:t xml:space="preserve">eport and the </w:t>
      </w:r>
      <w:r w:rsidR="003014F6">
        <w:rPr>
          <w:rFonts w:ascii="Century Gothic" w:hAnsi="Century Gothic"/>
          <w:szCs w:val="20"/>
        </w:rPr>
        <w:t>S</w:t>
      </w:r>
      <w:r w:rsidRPr="00C87438">
        <w:rPr>
          <w:rFonts w:ascii="Century Gothic" w:hAnsi="Century Gothic"/>
          <w:szCs w:val="20"/>
        </w:rPr>
        <w:t xml:space="preserve">trategic </w:t>
      </w:r>
      <w:r w:rsidR="003014F6">
        <w:rPr>
          <w:rFonts w:ascii="Century Gothic" w:hAnsi="Century Gothic"/>
          <w:szCs w:val="20"/>
        </w:rPr>
        <w:t>A</w:t>
      </w:r>
      <w:r w:rsidRPr="00C87438">
        <w:rPr>
          <w:rFonts w:ascii="Century Gothic" w:hAnsi="Century Gothic"/>
          <w:szCs w:val="20"/>
        </w:rPr>
        <w:t>ssessment report, the level of confidence in each assessment of grade and trend is rated. The categories used are:</w:t>
      </w:r>
    </w:p>
    <w:p w14:paraId="69CCBD33" w14:textId="77777777" w:rsidR="00C87438" w:rsidRPr="00C87438" w:rsidRDefault="00C87438" w:rsidP="00C87438">
      <w:pPr>
        <w:pStyle w:val="BodyTextNumbering"/>
        <w:numPr>
          <w:ilvl w:val="1"/>
          <w:numId w:val="2"/>
        </w:numPr>
        <w:spacing w:before="0" w:after="60"/>
        <w:ind w:left="788" w:hanging="431"/>
        <w:rPr>
          <w:rFonts w:ascii="Century Gothic" w:hAnsi="Century Gothic"/>
          <w:szCs w:val="20"/>
        </w:rPr>
      </w:pPr>
      <w:r w:rsidRPr="00C87438">
        <w:rPr>
          <w:rFonts w:ascii="Century Gothic" w:hAnsi="Century Gothic"/>
          <w:szCs w:val="20"/>
        </w:rPr>
        <w:t>adequate high quality evidence and high level of consensus</w:t>
      </w:r>
    </w:p>
    <w:p w14:paraId="69CCBD34" w14:textId="77777777" w:rsidR="00C87438" w:rsidRPr="00C87438" w:rsidRDefault="00C87438" w:rsidP="00C87438">
      <w:pPr>
        <w:pStyle w:val="BodyTextNumbering"/>
        <w:numPr>
          <w:ilvl w:val="1"/>
          <w:numId w:val="2"/>
        </w:numPr>
        <w:spacing w:before="0" w:after="60"/>
        <w:ind w:left="788" w:hanging="431"/>
        <w:rPr>
          <w:rFonts w:ascii="Century Gothic" w:hAnsi="Century Gothic"/>
          <w:szCs w:val="20"/>
        </w:rPr>
      </w:pPr>
      <w:r w:rsidRPr="00C87438">
        <w:rPr>
          <w:rFonts w:ascii="Century Gothic" w:hAnsi="Century Gothic"/>
          <w:szCs w:val="20"/>
        </w:rPr>
        <w:t>limited evidence or limited consensus</w:t>
      </w:r>
    </w:p>
    <w:p w14:paraId="69CCBD35" w14:textId="77777777" w:rsidR="00C87438" w:rsidRPr="00C87438" w:rsidRDefault="00C87438" w:rsidP="00C87438">
      <w:pPr>
        <w:pStyle w:val="BodyTextNumbering"/>
        <w:numPr>
          <w:ilvl w:val="1"/>
          <w:numId w:val="2"/>
        </w:numPr>
        <w:spacing w:before="0" w:after="60"/>
        <w:ind w:left="788" w:hanging="431"/>
        <w:rPr>
          <w:rFonts w:ascii="Century Gothic" w:hAnsi="Century Gothic"/>
          <w:szCs w:val="20"/>
        </w:rPr>
      </w:pPr>
      <w:r w:rsidRPr="00C87438">
        <w:rPr>
          <w:rFonts w:ascii="Century Gothic" w:hAnsi="Century Gothic"/>
          <w:szCs w:val="20"/>
        </w:rPr>
        <w:t>inferred, very limited evidence.</w:t>
      </w:r>
    </w:p>
    <w:p w14:paraId="69CCBD36" w14:textId="77777777" w:rsidR="00C87438" w:rsidRPr="00C87438" w:rsidRDefault="00C87438" w:rsidP="00C87438">
      <w:pPr>
        <w:pStyle w:val="BodyTextNumbering"/>
        <w:spacing w:after="120"/>
        <w:rPr>
          <w:rFonts w:ascii="Century Gothic" w:hAnsi="Century Gothic"/>
          <w:szCs w:val="20"/>
        </w:rPr>
      </w:pPr>
      <w:r w:rsidRPr="00C87438">
        <w:rPr>
          <w:rFonts w:ascii="Century Gothic" w:hAnsi="Century Gothic"/>
          <w:szCs w:val="20"/>
        </w:rPr>
        <w:t xml:space="preserve">For components where the confidence level is ‘inferred, very limited evidence’, the assessment is based on knowledge from managing agencies, Traditional Owners, topic experts and informed stakeholders (expert elicitation). </w:t>
      </w:r>
    </w:p>
    <w:p w14:paraId="69CCBD37" w14:textId="77777777" w:rsidR="001D5E30" w:rsidRDefault="001D5E30" w:rsidP="00C87438">
      <w:pPr>
        <w:pStyle w:val="BodyTextNumbering"/>
        <w:keepNext/>
        <w:spacing w:after="120"/>
        <w:rPr>
          <w:rFonts w:ascii="Century Gothic" w:hAnsi="Century Gothic"/>
          <w:b/>
          <w:i/>
          <w:szCs w:val="20"/>
        </w:rPr>
      </w:pPr>
    </w:p>
    <w:p w14:paraId="69CCBD38" w14:textId="77777777" w:rsidR="00C87438" w:rsidRPr="00C87438" w:rsidRDefault="00C87438" w:rsidP="00C87438">
      <w:pPr>
        <w:pStyle w:val="BodyTextNumbering"/>
        <w:keepNext/>
        <w:spacing w:after="120"/>
        <w:rPr>
          <w:rFonts w:ascii="Century Gothic" w:hAnsi="Century Gothic"/>
          <w:b/>
          <w:i/>
          <w:szCs w:val="20"/>
        </w:rPr>
      </w:pPr>
      <w:r w:rsidRPr="00C87438">
        <w:rPr>
          <w:rFonts w:ascii="Century Gothic" w:hAnsi="Century Gothic"/>
          <w:b/>
          <w:i/>
          <w:szCs w:val="20"/>
        </w:rPr>
        <w:t>Evidence used</w:t>
      </w:r>
    </w:p>
    <w:p w14:paraId="69CCBD39" w14:textId="77777777" w:rsidR="00C87438" w:rsidRPr="004679AB" w:rsidRDefault="00C87438" w:rsidP="00C87438">
      <w:pPr>
        <w:pStyle w:val="BodyTextNumbering"/>
        <w:spacing w:after="120"/>
        <w:rPr>
          <w:rFonts w:ascii="Century Gothic" w:hAnsi="Century Gothic"/>
          <w:szCs w:val="20"/>
        </w:rPr>
      </w:pPr>
      <w:r w:rsidRPr="004679AB">
        <w:rPr>
          <w:rFonts w:ascii="Century Gothic" w:hAnsi="Century Gothic"/>
          <w:szCs w:val="20"/>
        </w:rPr>
        <w:t>The evidence used in the Great Barrier Reef Outlook Report is derived from existing research and information sources. It is drawn from the best available published science based on:</w:t>
      </w:r>
    </w:p>
    <w:p w14:paraId="69CCBD3A" w14:textId="77777777" w:rsidR="00C87438" w:rsidRPr="004679AB"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relevance to the required assessments</w:t>
      </w:r>
    </w:p>
    <w:p w14:paraId="69CCBD3B" w14:textId="77777777" w:rsidR="00C87438" w:rsidRPr="004679AB"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duration of study</w:t>
      </w:r>
    </w:p>
    <w:p w14:paraId="69CCBD3C" w14:textId="77777777" w:rsidR="00C87438" w:rsidRPr="004679AB"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extent of area studied</w:t>
      </w:r>
    </w:p>
    <w:p w14:paraId="69CCBD3D" w14:textId="77777777" w:rsidR="00C87438" w:rsidRDefault="00C87438" w:rsidP="00C87438">
      <w:pPr>
        <w:pStyle w:val="BodyTextNumbering"/>
        <w:numPr>
          <w:ilvl w:val="1"/>
          <w:numId w:val="2"/>
        </w:numPr>
        <w:spacing w:before="0" w:after="60"/>
        <w:ind w:left="788" w:hanging="431"/>
        <w:rPr>
          <w:rFonts w:ascii="Century Gothic" w:hAnsi="Century Gothic"/>
          <w:szCs w:val="20"/>
        </w:rPr>
      </w:pPr>
      <w:r w:rsidRPr="004679AB">
        <w:rPr>
          <w:rFonts w:ascii="Century Gothic" w:hAnsi="Century Gothic"/>
          <w:szCs w:val="20"/>
        </w:rPr>
        <w:t>reliability (such as consistency of results across different sources, peer-review and rigour of study).</w:t>
      </w:r>
    </w:p>
    <w:p w14:paraId="69CCBD3E" w14:textId="77777777" w:rsidR="001D5E30" w:rsidRDefault="001D5E30" w:rsidP="001D5E30">
      <w:pPr>
        <w:pStyle w:val="BodyTextNumbering"/>
        <w:spacing w:before="0" w:after="60"/>
        <w:rPr>
          <w:rFonts w:ascii="Century Gothic" w:hAnsi="Century Gothic"/>
          <w:szCs w:val="20"/>
        </w:rPr>
      </w:pPr>
    </w:p>
    <w:p w14:paraId="69CCBD3F" w14:textId="77777777" w:rsidR="001D5E30" w:rsidRPr="004679AB" w:rsidRDefault="001D5E30" w:rsidP="001D5E30">
      <w:pPr>
        <w:pStyle w:val="BodyTextNumbering"/>
        <w:spacing w:before="0" w:after="60"/>
        <w:rPr>
          <w:rFonts w:ascii="Century Gothic" w:hAnsi="Century Gothic"/>
          <w:szCs w:val="20"/>
        </w:rPr>
      </w:pPr>
    </w:p>
    <w:p w14:paraId="69CCBD40" w14:textId="0306646E" w:rsidR="00C87438" w:rsidRPr="004679AB" w:rsidRDefault="001D5E30" w:rsidP="008546EA">
      <w:pPr>
        <w:pStyle w:val="BodyTextNumbering"/>
        <w:spacing w:after="120"/>
        <w:jc w:val="center"/>
        <w:rPr>
          <w:rFonts w:ascii="Century Gothic" w:hAnsi="Century Gothic"/>
          <w:szCs w:val="20"/>
        </w:rPr>
      </w:pPr>
      <w:r>
        <w:rPr>
          <w:rFonts w:ascii="Verdana" w:hAnsi="Verdana"/>
          <w:color w:val="FFFFFF"/>
          <w:sz w:val="18"/>
          <w:szCs w:val="18"/>
        </w:rPr>
        <w:fldChar w:fldCharType="begin"/>
      </w:r>
      <w:r>
        <w:rPr>
          <w:rFonts w:ascii="Verdana" w:hAnsi="Verdana"/>
          <w:color w:val="FFFFFF"/>
          <w:sz w:val="18"/>
          <w:szCs w:val="18"/>
        </w:rPr>
        <w:instrText xml:space="preserve"> INCLUDEPICTURE "http://gallerypro.gbrmpa.gov.au/Gallery/gs/handler/getmedia.ashx?moid=8674&amp;dt=2&amp;g=2" \* MERGEFORMATINET </w:instrText>
      </w:r>
      <w:r>
        <w:rPr>
          <w:rFonts w:ascii="Verdana" w:hAnsi="Verdana"/>
          <w:color w:val="FFFFFF"/>
          <w:sz w:val="18"/>
          <w:szCs w:val="18"/>
        </w:rPr>
        <w:fldChar w:fldCharType="separate"/>
      </w:r>
      <w:r w:rsidR="00484A58">
        <w:rPr>
          <w:rFonts w:ascii="Verdana" w:hAnsi="Verdana"/>
          <w:color w:val="FFFFFF"/>
          <w:sz w:val="18"/>
          <w:szCs w:val="18"/>
        </w:rPr>
        <w:fldChar w:fldCharType="begin"/>
      </w:r>
      <w:r w:rsidR="00484A58">
        <w:rPr>
          <w:rFonts w:ascii="Verdana" w:hAnsi="Verdana"/>
          <w:color w:val="FFFFFF"/>
          <w:sz w:val="18"/>
          <w:szCs w:val="18"/>
        </w:rPr>
        <w:instrText xml:space="preserve"> INCLUDEPICTURE  "http://gallerypro.gbrmpa.gov.au/Gallery/gs/handler/getmedia.ashx?moid=8674&amp;dt=2&amp;g=2" \* MERGEFORMATINET </w:instrText>
      </w:r>
      <w:r w:rsidR="00484A58">
        <w:rPr>
          <w:rFonts w:ascii="Verdana" w:hAnsi="Verdana"/>
          <w:color w:val="FFFFFF"/>
          <w:sz w:val="18"/>
          <w:szCs w:val="18"/>
        </w:rPr>
        <w:fldChar w:fldCharType="separate"/>
      </w:r>
      <w:r w:rsidR="004F5352">
        <w:rPr>
          <w:rFonts w:ascii="Verdana" w:hAnsi="Verdana"/>
          <w:color w:val="FFFFFF"/>
          <w:sz w:val="18"/>
          <w:szCs w:val="18"/>
        </w:rPr>
        <w:fldChar w:fldCharType="begin"/>
      </w:r>
      <w:r w:rsidR="004F5352">
        <w:rPr>
          <w:rFonts w:ascii="Verdana" w:hAnsi="Verdana"/>
          <w:color w:val="FFFFFF"/>
          <w:sz w:val="18"/>
          <w:szCs w:val="18"/>
        </w:rPr>
        <w:instrText xml:space="preserve"> INCLUDEPICTURE  "http://gallerypro.gbrmpa.gov.au/Gallery/gs/handler/getmedia.ashx?moid=8674&amp;dt=2&amp;g=2" \* MERGEFORMATINET </w:instrText>
      </w:r>
      <w:r w:rsidR="004F5352">
        <w:rPr>
          <w:rFonts w:ascii="Verdana" w:hAnsi="Verdana"/>
          <w:color w:val="FFFFFF"/>
          <w:sz w:val="18"/>
          <w:szCs w:val="18"/>
        </w:rPr>
        <w:fldChar w:fldCharType="separate"/>
      </w:r>
      <w:r w:rsidR="005C3CDA">
        <w:rPr>
          <w:rFonts w:ascii="Verdana" w:hAnsi="Verdana"/>
          <w:color w:val="FFFFFF"/>
          <w:sz w:val="18"/>
          <w:szCs w:val="18"/>
        </w:rPr>
        <w:fldChar w:fldCharType="begin"/>
      </w:r>
      <w:r w:rsidR="005C3CDA">
        <w:rPr>
          <w:rFonts w:ascii="Verdana" w:hAnsi="Verdana"/>
          <w:color w:val="FFFFFF"/>
          <w:sz w:val="18"/>
          <w:szCs w:val="18"/>
        </w:rPr>
        <w:instrText xml:space="preserve"> INCLUDEPICTURE  "http://gallerypro.gbrmpa.gov.au/Gallery/gs/handler/getmedia.ashx?moid=8674&amp;dt=2&amp;g=2" \* MERGEFORMATINET </w:instrText>
      </w:r>
      <w:r w:rsidR="005C3CDA">
        <w:rPr>
          <w:rFonts w:ascii="Verdana" w:hAnsi="Verdana"/>
          <w:color w:val="FFFFFF"/>
          <w:sz w:val="18"/>
          <w:szCs w:val="18"/>
        </w:rPr>
        <w:fldChar w:fldCharType="separate"/>
      </w:r>
      <w:r w:rsidR="00BC3814">
        <w:rPr>
          <w:rFonts w:ascii="Verdana" w:hAnsi="Verdana"/>
          <w:color w:val="FFFFFF"/>
          <w:sz w:val="18"/>
          <w:szCs w:val="18"/>
        </w:rPr>
        <w:fldChar w:fldCharType="begin"/>
      </w:r>
      <w:r w:rsidR="00BC3814">
        <w:rPr>
          <w:rFonts w:ascii="Verdana" w:hAnsi="Verdana"/>
          <w:color w:val="FFFFFF"/>
          <w:sz w:val="18"/>
          <w:szCs w:val="18"/>
        </w:rPr>
        <w:instrText xml:space="preserve"> INCLUDEPICTURE  "http://gallerypro.gbrmpa.gov.au/Gallery/gs/handler/getmedia.ashx?moid=8674&amp;dt=2&amp;g=2" \* MERGEFORMATINET </w:instrText>
      </w:r>
      <w:r w:rsidR="00BC3814">
        <w:rPr>
          <w:rFonts w:ascii="Verdana" w:hAnsi="Verdana"/>
          <w:color w:val="FFFFFF"/>
          <w:sz w:val="18"/>
          <w:szCs w:val="18"/>
        </w:rPr>
        <w:fldChar w:fldCharType="separate"/>
      </w:r>
      <w:r w:rsidR="00846E3F">
        <w:rPr>
          <w:rFonts w:ascii="Verdana" w:hAnsi="Verdana"/>
          <w:color w:val="FFFFFF"/>
          <w:sz w:val="18"/>
          <w:szCs w:val="18"/>
        </w:rPr>
        <w:fldChar w:fldCharType="begin"/>
      </w:r>
      <w:r w:rsidR="00846E3F">
        <w:rPr>
          <w:rFonts w:ascii="Verdana" w:hAnsi="Verdana"/>
          <w:color w:val="FFFFFF"/>
          <w:sz w:val="18"/>
          <w:szCs w:val="18"/>
        </w:rPr>
        <w:instrText xml:space="preserve"> INCLUDEPICTURE  "http://gallerypro.gbrmpa.gov.au/Gallery/gs/handler/getmedia.ashx?moid=8674&amp;dt=2&amp;g=2" \* MERGEFORMATINET </w:instrText>
      </w:r>
      <w:r w:rsidR="00846E3F">
        <w:rPr>
          <w:rFonts w:ascii="Verdana" w:hAnsi="Verdana"/>
          <w:color w:val="FFFFFF"/>
          <w:sz w:val="18"/>
          <w:szCs w:val="18"/>
        </w:rPr>
        <w:fldChar w:fldCharType="separate"/>
      </w:r>
      <w:r w:rsidR="00EC2B00">
        <w:rPr>
          <w:rFonts w:ascii="Verdana" w:hAnsi="Verdana"/>
          <w:color w:val="FFFFFF"/>
          <w:sz w:val="18"/>
          <w:szCs w:val="18"/>
        </w:rPr>
        <w:fldChar w:fldCharType="begin"/>
      </w:r>
      <w:r w:rsidR="00EC2B00">
        <w:rPr>
          <w:rFonts w:ascii="Verdana" w:hAnsi="Verdana"/>
          <w:color w:val="FFFFFF"/>
          <w:sz w:val="18"/>
          <w:szCs w:val="18"/>
        </w:rPr>
        <w:instrText xml:space="preserve"> INCLUDEPICTURE  "http://gallerypro.gbrmpa.gov.au/Gallery/gs/handler/getmedia.ashx?moid=8674&amp;dt=2&amp;g=2" \* MERGEFORMATINET </w:instrText>
      </w:r>
      <w:r w:rsidR="00EC2B00">
        <w:rPr>
          <w:rFonts w:ascii="Verdana" w:hAnsi="Verdana"/>
          <w:color w:val="FFFFFF"/>
          <w:sz w:val="18"/>
          <w:szCs w:val="18"/>
        </w:rPr>
        <w:fldChar w:fldCharType="separate"/>
      </w:r>
      <w:r w:rsidR="00935E0F">
        <w:rPr>
          <w:rFonts w:ascii="Verdana" w:hAnsi="Verdana"/>
          <w:color w:val="FFFFFF"/>
          <w:sz w:val="18"/>
          <w:szCs w:val="18"/>
        </w:rPr>
        <w:fldChar w:fldCharType="begin"/>
      </w:r>
      <w:r w:rsidR="00935E0F">
        <w:rPr>
          <w:rFonts w:ascii="Verdana" w:hAnsi="Verdana"/>
          <w:color w:val="FFFFFF"/>
          <w:sz w:val="18"/>
          <w:szCs w:val="18"/>
        </w:rPr>
        <w:instrText xml:space="preserve"> INCLUDEPICTURE  "http://gallerypro.gbrmpa.gov.au/Gallery/gs/handler/getmedia.ashx?moid=8674&amp;dt=2&amp;g=2" \* MERGEFORMATINET </w:instrText>
      </w:r>
      <w:r w:rsidR="00935E0F">
        <w:rPr>
          <w:rFonts w:ascii="Verdana" w:hAnsi="Verdana"/>
          <w:color w:val="FFFFFF"/>
          <w:sz w:val="18"/>
          <w:szCs w:val="18"/>
        </w:rPr>
        <w:fldChar w:fldCharType="separate"/>
      </w:r>
      <w:r w:rsidR="00D7187C">
        <w:rPr>
          <w:rFonts w:ascii="Verdana" w:hAnsi="Verdana"/>
          <w:color w:val="FFFFFF"/>
          <w:sz w:val="18"/>
          <w:szCs w:val="18"/>
        </w:rPr>
        <w:fldChar w:fldCharType="begin"/>
      </w:r>
      <w:r w:rsidR="00D7187C">
        <w:rPr>
          <w:rFonts w:ascii="Verdana" w:hAnsi="Verdana"/>
          <w:color w:val="FFFFFF"/>
          <w:sz w:val="18"/>
          <w:szCs w:val="18"/>
        </w:rPr>
        <w:instrText xml:space="preserve"> INCLUDEPICTURE  "http://gallerypro.gbrmpa.gov.au/Gallery/gs/handler/getmedia.ashx?moid=8674&amp;dt=2&amp;g=2" \* MERGEFORMATINET </w:instrText>
      </w:r>
      <w:r w:rsidR="00D7187C">
        <w:rPr>
          <w:rFonts w:ascii="Verdana" w:hAnsi="Verdana"/>
          <w:color w:val="FFFFFF"/>
          <w:sz w:val="18"/>
          <w:szCs w:val="18"/>
        </w:rPr>
        <w:fldChar w:fldCharType="separate"/>
      </w:r>
      <w:r w:rsidR="00641CA4">
        <w:rPr>
          <w:rFonts w:ascii="Verdana" w:hAnsi="Verdana"/>
          <w:color w:val="FFFFFF"/>
          <w:sz w:val="18"/>
          <w:szCs w:val="18"/>
        </w:rPr>
        <w:fldChar w:fldCharType="begin"/>
      </w:r>
      <w:r w:rsidR="00641CA4">
        <w:rPr>
          <w:rFonts w:ascii="Verdana" w:hAnsi="Verdana"/>
          <w:color w:val="FFFFFF"/>
          <w:sz w:val="18"/>
          <w:szCs w:val="18"/>
        </w:rPr>
        <w:instrText xml:space="preserve"> INCLUDEPICTURE  "http://gallerypro.gbrmpa.gov.au/Gallery/gs/handler/getmedia.ashx?moid=8674&amp;dt=2&amp;g=2" \* MERGEFORMATINET </w:instrText>
      </w:r>
      <w:r w:rsidR="00641CA4">
        <w:rPr>
          <w:rFonts w:ascii="Verdana" w:hAnsi="Verdana"/>
          <w:color w:val="FFFFFF"/>
          <w:sz w:val="18"/>
          <w:szCs w:val="18"/>
        </w:rPr>
        <w:fldChar w:fldCharType="separate"/>
      </w:r>
      <w:r w:rsidR="00F60982">
        <w:rPr>
          <w:rFonts w:ascii="Verdana" w:hAnsi="Verdana"/>
          <w:color w:val="FFFFFF"/>
          <w:sz w:val="18"/>
          <w:szCs w:val="18"/>
        </w:rPr>
        <w:fldChar w:fldCharType="begin"/>
      </w:r>
      <w:r w:rsidR="00F60982">
        <w:rPr>
          <w:rFonts w:ascii="Verdana" w:hAnsi="Verdana"/>
          <w:color w:val="FFFFFF"/>
          <w:sz w:val="18"/>
          <w:szCs w:val="18"/>
        </w:rPr>
        <w:instrText xml:space="preserve"> INCLUDEPICTURE  "http://gallerypro.gbrmpa.gov.au/Gallery/gs/handler/getmedia.ashx?moid=8674&amp;dt=2&amp;g=2" \* MERGEFORMATINET </w:instrText>
      </w:r>
      <w:r w:rsidR="00F60982">
        <w:rPr>
          <w:rFonts w:ascii="Verdana" w:hAnsi="Verdana"/>
          <w:color w:val="FFFFFF"/>
          <w:sz w:val="18"/>
          <w:szCs w:val="18"/>
        </w:rPr>
        <w:fldChar w:fldCharType="separate"/>
      </w:r>
      <w:r w:rsidR="00A97D56">
        <w:rPr>
          <w:rFonts w:ascii="Verdana" w:hAnsi="Verdana"/>
          <w:color w:val="FFFFFF"/>
          <w:sz w:val="18"/>
          <w:szCs w:val="18"/>
        </w:rPr>
        <w:fldChar w:fldCharType="begin"/>
      </w:r>
      <w:r w:rsidR="00A97D56">
        <w:rPr>
          <w:rFonts w:ascii="Verdana" w:hAnsi="Verdana"/>
          <w:color w:val="FFFFFF"/>
          <w:sz w:val="18"/>
          <w:szCs w:val="18"/>
        </w:rPr>
        <w:instrText xml:space="preserve"> INCLUDEPICTURE  "http://gallerypro.gbrmpa.gov.au/Gallery/gs/handler/getmedia.ashx?moid=8674&amp;dt=2&amp;g=2" \* MERGEFORMATINET </w:instrText>
      </w:r>
      <w:r w:rsidR="00A97D56">
        <w:rPr>
          <w:rFonts w:ascii="Verdana" w:hAnsi="Verdana"/>
          <w:color w:val="FFFFFF"/>
          <w:sz w:val="18"/>
          <w:szCs w:val="18"/>
        </w:rPr>
        <w:fldChar w:fldCharType="separate"/>
      </w:r>
      <w:r w:rsidR="00514459">
        <w:rPr>
          <w:rFonts w:ascii="Verdana" w:hAnsi="Verdana"/>
          <w:color w:val="FFFFFF"/>
          <w:sz w:val="18"/>
          <w:szCs w:val="18"/>
        </w:rPr>
        <w:fldChar w:fldCharType="begin"/>
      </w:r>
      <w:r w:rsidR="00514459">
        <w:rPr>
          <w:rFonts w:ascii="Verdana" w:hAnsi="Verdana"/>
          <w:color w:val="FFFFFF"/>
          <w:sz w:val="18"/>
          <w:szCs w:val="18"/>
        </w:rPr>
        <w:instrText xml:space="preserve"> INCLUDEPICTURE  "http://gallerypro.gbrmpa.gov.au/Gallery/gs/handler/getmedia.ashx?moid=8674&amp;dt=2&amp;g=2" \* MERGEFORMATINET </w:instrText>
      </w:r>
      <w:r w:rsidR="00514459">
        <w:rPr>
          <w:rFonts w:ascii="Verdana" w:hAnsi="Verdana"/>
          <w:color w:val="FFFFFF"/>
          <w:sz w:val="18"/>
          <w:szCs w:val="18"/>
        </w:rPr>
        <w:fldChar w:fldCharType="separate"/>
      </w:r>
      <w:r w:rsidR="006163CC">
        <w:rPr>
          <w:rFonts w:ascii="Verdana" w:hAnsi="Verdana"/>
          <w:color w:val="FFFFFF"/>
          <w:sz w:val="18"/>
          <w:szCs w:val="18"/>
        </w:rPr>
        <w:fldChar w:fldCharType="begin"/>
      </w:r>
      <w:r w:rsidR="006163CC">
        <w:rPr>
          <w:rFonts w:ascii="Verdana" w:hAnsi="Verdana"/>
          <w:color w:val="FFFFFF"/>
          <w:sz w:val="18"/>
          <w:szCs w:val="18"/>
        </w:rPr>
        <w:instrText xml:space="preserve"> INCLUDEPICTURE  "http://gallerypro.gbrmpa.gov.au/Gallery/gs/handler/getmedia.ashx?moid=8674&amp;dt=2&amp;g=2" \* MERGEFORMATINET </w:instrText>
      </w:r>
      <w:r w:rsidR="006163CC">
        <w:rPr>
          <w:rFonts w:ascii="Verdana" w:hAnsi="Verdana"/>
          <w:color w:val="FFFFFF"/>
          <w:sz w:val="18"/>
          <w:szCs w:val="18"/>
        </w:rPr>
        <w:fldChar w:fldCharType="separate"/>
      </w:r>
      <w:r w:rsidR="007848F7">
        <w:rPr>
          <w:rFonts w:ascii="Verdana" w:hAnsi="Verdana"/>
          <w:color w:val="FFFFFF"/>
          <w:sz w:val="18"/>
          <w:szCs w:val="18"/>
        </w:rPr>
        <w:fldChar w:fldCharType="begin"/>
      </w:r>
      <w:r w:rsidR="007848F7">
        <w:rPr>
          <w:rFonts w:ascii="Verdana" w:hAnsi="Verdana"/>
          <w:color w:val="FFFFFF"/>
          <w:sz w:val="18"/>
          <w:szCs w:val="18"/>
        </w:rPr>
        <w:instrText xml:space="preserve"> INCLUDEPICTURE  "http://gallerypro.gbrmpa.gov.au/Gallery/gs/handler/getmedia.ashx?moid=8674&amp;dt=2&amp;g=2" \* MERGEFORMATINET </w:instrText>
      </w:r>
      <w:r w:rsidR="007848F7">
        <w:rPr>
          <w:rFonts w:ascii="Verdana" w:hAnsi="Verdana"/>
          <w:color w:val="FFFFFF"/>
          <w:sz w:val="18"/>
          <w:szCs w:val="18"/>
        </w:rPr>
        <w:fldChar w:fldCharType="separate"/>
      </w:r>
      <w:r w:rsidR="00C3557B">
        <w:rPr>
          <w:rFonts w:ascii="Verdana" w:hAnsi="Verdana"/>
          <w:color w:val="FFFFFF"/>
          <w:sz w:val="18"/>
          <w:szCs w:val="18"/>
        </w:rPr>
        <w:fldChar w:fldCharType="begin"/>
      </w:r>
      <w:r w:rsidR="00C3557B">
        <w:rPr>
          <w:rFonts w:ascii="Verdana" w:hAnsi="Verdana"/>
          <w:color w:val="FFFFFF"/>
          <w:sz w:val="18"/>
          <w:szCs w:val="18"/>
        </w:rPr>
        <w:instrText xml:space="preserve"> INCLUDEPICTURE  "http://gallerypro.gbrmpa.gov.au/Gallery/gs/handler/getmedia.ashx?moid=8674&amp;dt=2&amp;g=2" \* MERGEFORMATINET </w:instrText>
      </w:r>
      <w:r w:rsidR="00C3557B">
        <w:rPr>
          <w:rFonts w:ascii="Verdana" w:hAnsi="Verdana"/>
          <w:color w:val="FFFFFF"/>
          <w:sz w:val="18"/>
          <w:szCs w:val="18"/>
        </w:rPr>
        <w:fldChar w:fldCharType="separate"/>
      </w:r>
      <w:r w:rsidR="00970E34">
        <w:rPr>
          <w:rFonts w:ascii="Verdana" w:hAnsi="Verdana"/>
          <w:color w:val="FFFFFF"/>
          <w:sz w:val="18"/>
          <w:szCs w:val="18"/>
        </w:rPr>
        <w:fldChar w:fldCharType="begin"/>
      </w:r>
      <w:r w:rsidR="00970E34">
        <w:rPr>
          <w:rFonts w:ascii="Verdana" w:hAnsi="Verdana"/>
          <w:color w:val="FFFFFF"/>
          <w:sz w:val="18"/>
          <w:szCs w:val="18"/>
        </w:rPr>
        <w:instrText xml:space="preserve"> INCLUDEPICTURE  "http://gallerypro.gbrmpa.gov.au/Gallery/gs/handler/getmedia.ashx?moid=8674&amp;dt=2&amp;g=2" \* MERGEFORMATINET </w:instrText>
      </w:r>
      <w:r w:rsidR="00970E34">
        <w:rPr>
          <w:rFonts w:ascii="Verdana" w:hAnsi="Verdana"/>
          <w:color w:val="FFFFFF"/>
          <w:sz w:val="18"/>
          <w:szCs w:val="18"/>
        </w:rPr>
        <w:fldChar w:fldCharType="separate"/>
      </w:r>
      <w:r w:rsidR="00560C17">
        <w:rPr>
          <w:rFonts w:ascii="Verdana" w:hAnsi="Verdana"/>
          <w:color w:val="FFFFFF"/>
          <w:sz w:val="18"/>
          <w:szCs w:val="18"/>
        </w:rPr>
        <w:fldChar w:fldCharType="begin"/>
      </w:r>
      <w:r w:rsidR="00560C17">
        <w:rPr>
          <w:rFonts w:ascii="Verdana" w:hAnsi="Verdana"/>
          <w:color w:val="FFFFFF"/>
          <w:sz w:val="18"/>
          <w:szCs w:val="18"/>
        </w:rPr>
        <w:instrText xml:space="preserve"> INCLUDEPICTURE  "http://gallerypro.gbrmpa.gov.au/Gallery/gs/handler/getmedia.ashx?moid=8674&amp;dt=2&amp;g=2" \* MERGEFORMATINET </w:instrText>
      </w:r>
      <w:r w:rsidR="00560C17">
        <w:rPr>
          <w:rFonts w:ascii="Verdana" w:hAnsi="Verdana"/>
          <w:color w:val="FFFFFF"/>
          <w:sz w:val="18"/>
          <w:szCs w:val="18"/>
        </w:rPr>
        <w:fldChar w:fldCharType="separate"/>
      </w:r>
      <w:r w:rsidR="004B4957">
        <w:rPr>
          <w:rFonts w:ascii="Verdana" w:hAnsi="Verdana"/>
          <w:color w:val="FFFFFF"/>
          <w:sz w:val="18"/>
          <w:szCs w:val="18"/>
        </w:rPr>
        <w:fldChar w:fldCharType="begin"/>
      </w:r>
      <w:r w:rsidR="004B4957">
        <w:rPr>
          <w:rFonts w:ascii="Verdana" w:hAnsi="Verdana"/>
          <w:color w:val="FFFFFF"/>
          <w:sz w:val="18"/>
          <w:szCs w:val="18"/>
        </w:rPr>
        <w:instrText xml:space="preserve"> INCLUDEPICTURE  "http://gallerypro.gbrmpa.gov.au/Gallery/gs/handler/getmedia.ashx?moid=8674&amp;dt=2&amp;g=2" \* MERGEFORMATINET </w:instrText>
      </w:r>
      <w:r w:rsidR="004B4957">
        <w:rPr>
          <w:rFonts w:ascii="Verdana" w:hAnsi="Verdana"/>
          <w:color w:val="FFFFFF"/>
          <w:sz w:val="18"/>
          <w:szCs w:val="18"/>
        </w:rPr>
        <w:fldChar w:fldCharType="separate"/>
      </w:r>
      <w:r w:rsidR="0095278E">
        <w:rPr>
          <w:rFonts w:ascii="Verdana" w:hAnsi="Verdana"/>
          <w:color w:val="FFFFFF"/>
          <w:sz w:val="18"/>
          <w:szCs w:val="18"/>
        </w:rPr>
        <w:fldChar w:fldCharType="begin"/>
      </w:r>
      <w:r w:rsidR="0095278E">
        <w:rPr>
          <w:rFonts w:ascii="Verdana" w:hAnsi="Verdana"/>
          <w:color w:val="FFFFFF"/>
          <w:sz w:val="18"/>
          <w:szCs w:val="18"/>
        </w:rPr>
        <w:instrText xml:space="preserve"> </w:instrText>
      </w:r>
      <w:r w:rsidR="0095278E">
        <w:rPr>
          <w:rFonts w:ascii="Verdana" w:hAnsi="Verdana"/>
          <w:color w:val="FFFFFF"/>
          <w:sz w:val="18"/>
          <w:szCs w:val="18"/>
        </w:rPr>
        <w:instrText>INCLUDEPICTURE  "http://gallerypro.gbrmpa.gov.au/Gallery/gs/handler/getmedia.ashx?moid=8674&amp;dt=2&amp;g=2" \* MERGEFORMATINET</w:instrText>
      </w:r>
      <w:r w:rsidR="0095278E">
        <w:rPr>
          <w:rFonts w:ascii="Verdana" w:hAnsi="Verdana"/>
          <w:color w:val="FFFFFF"/>
          <w:sz w:val="18"/>
          <w:szCs w:val="18"/>
        </w:rPr>
        <w:instrText xml:space="preserve"> </w:instrText>
      </w:r>
      <w:r w:rsidR="0095278E">
        <w:rPr>
          <w:rFonts w:ascii="Verdana" w:hAnsi="Verdana"/>
          <w:color w:val="FFFFFF"/>
          <w:sz w:val="18"/>
          <w:szCs w:val="18"/>
        </w:rPr>
        <w:fldChar w:fldCharType="separate"/>
      </w:r>
      <w:r w:rsidR="0095278E">
        <w:rPr>
          <w:rFonts w:ascii="Verdana" w:hAnsi="Verdana"/>
          <w:color w:val="FFFFFF"/>
          <w:sz w:val="18"/>
          <w:szCs w:val="18"/>
        </w:rPr>
        <w:pict w14:anchorId="69CCC411">
          <v:shape id="_x0000_i1032" type="#_x0000_t75" alt="Picture of brown feathered sea star entwined with a red coral" style="width:470.25pt;height:526.5pt">
            <v:imagedata r:id="rId33" r:href="rId34" cropbottom="10764f"/>
          </v:shape>
        </w:pict>
      </w:r>
      <w:r w:rsidR="0095278E">
        <w:rPr>
          <w:rFonts w:ascii="Verdana" w:hAnsi="Verdana"/>
          <w:color w:val="FFFFFF"/>
          <w:sz w:val="18"/>
          <w:szCs w:val="18"/>
        </w:rPr>
        <w:fldChar w:fldCharType="end"/>
      </w:r>
      <w:r w:rsidR="004B4957">
        <w:rPr>
          <w:rFonts w:ascii="Verdana" w:hAnsi="Verdana"/>
          <w:color w:val="FFFFFF"/>
          <w:sz w:val="18"/>
          <w:szCs w:val="18"/>
        </w:rPr>
        <w:fldChar w:fldCharType="end"/>
      </w:r>
      <w:r w:rsidR="00560C17">
        <w:rPr>
          <w:rFonts w:ascii="Verdana" w:hAnsi="Verdana"/>
          <w:color w:val="FFFFFF"/>
          <w:sz w:val="18"/>
          <w:szCs w:val="18"/>
        </w:rPr>
        <w:fldChar w:fldCharType="end"/>
      </w:r>
      <w:r w:rsidR="00970E34">
        <w:rPr>
          <w:rFonts w:ascii="Verdana" w:hAnsi="Verdana"/>
          <w:color w:val="FFFFFF"/>
          <w:sz w:val="18"/>
          <w:szCs w:val="18"/>
        </w:rPr>
        <w:fldChar w:fldCharType="end"/>
      </w:r>
      <w:r w:rsidR="00C3557B">
        <w:rPr>
          <w:rFonts w:ascii="Verdana" w:hAnsi="Verdana"/>
          <w:color w:val="FFFFFF"/>
          <w:sz w:val="18"/>
          <w:szCs w:val="18"/>
        </w:rPr>
        <w:fldChar w:fldCharType="end"/>
      </w:r>
      <w:r w:rsidR="007848F7">
        <w:rPr>
          <w:rFonts w:ascii="Verdana" w:hAnsi="Verdana"/>
          <w:color w:val="FFFFFF"/>
          <w:sz w:val="18"/>
          <w:szCs w:val="18"/>
        </w:rPr>
        <w:fldChar w:fldCharType="end"/>
      </w:r>
      <w:r w:rsidR="006163CC">
        <w:rPr>
          <w:rFonts w:ascii="Verdana" w:hAnsi="Verdana"/>
          <w:color w:val="FFFFFF"/>
          <w:sz w:val="18"/>
          <w:szCs w:val="18"/>
        </w:rPr>
        <w:fldChar w:fldCharType="end"/>
      </w:r>
      <w:r w:rsidR="00514459">
        <w:rPr>
          <w:rFonts w:ascii="Verdana" w:hAnsi="Verdana"/>
          <w:color w:val="FFFFFF"/>
          <w:sz w:val="18"/>
          <w:szCs w:val="18"/>
        </w:rPr>
        <w:fldChar w:fldCharType="end"/>
      </w:r>
      <w:r w:rsidR="00A97D56">
        <w:rPr>
          <w:rFonts w:ascii="Verdana" w:hAnsi="Verdana"/>
          <w:color w:val="FFFFFF"/>
          <w:sz w:val="18"/>
          <w:szCs w:val="18"/>
        </w:rPr>
        <w:fldChar w:fldCharType="end"/>
      </w:r>
      <w:r w:rsidR="00F60982">
        <w:rPr>
          <w:rFonts w:ascii="Verdana" w:hAnsi="Verdana"/>
          <w:color w:val="FFFFFF"/>
          <w:sz w:val="18"/>
          <w:szCs w:val="18"/>
        </w:rPr>
        <w:fldChar w:fldCharType="end"/>
      </w:r>
      <w:r w:rsidR="00641CA4">
        <w:rPr>
          <w:rFonts w:ascii="Verdana" w:hAnsi="Verdana"/>
          <w:color w:val="FFFFFF"/>
          <w:sz w:val="18"/>
          <w:szCs w:val="18"/>
        </w:rPr>
        <w:fldChar w:fldCharType="end"/>
      </w:r>
      <w:r w:rsidR="00D7187C">
        <w:rPr>
          <w:rFonts w:ascii="Verdana" w:hAnsi="Verdana"/>
          <w:color w:val="FFFFFF"/>
          <w:sz w:val="18"/>
          <w:szCs w:val="18"/>
        </w:rPr>
        <w:fldChar w:fldCharType="end"/>
      </w:r>
      <w:r w:rsidR="00935E0F">
        <w:rPr>
          <w:rFonts w:ascii="Verdana" w:hAnsi="Verdana"/>
          <w:color w:val="FFFFFF"/>
          <w:sz w:val="18"/>
          <w:szCs w:val="18"/>
        </w:rPr>
        <w:fldChar w:fldCharType="end"/>
      </w:r>
      <w:r w:rsidR="00EC2B00">
        <w:rPr>
          <w:rFonts w:ascii="Verdana" w:hAnsi="Verdana"/>
          <w:color w:val="FFFFFF"/>
          <w:sz w:val="18"/>
          <w:szCs w:val="18"/>
        </w:rPr>
        <w:fldChar w:fldCharType="end"/>
      </w:r>
      <w:r w:rsidR="00846E3F">
        <w:rPr>
          <w:rFonts w:ascii="Verdana" w:hAnsi="Verdana"/>
          <w:color w:val="FFFFFF"/>
          <w:sz w:val="18"/>
          <w:szCs w:val="18"/>
        </w:rPr>
        <w:fldChar w:fldCharType="end"/>
      </w:r>
      <w:r w:rsidR="00BC3814">
        <w:rPr>
          <w:rFonts w:ascii="Verdana" w:hAnsi="Verdana"/>
          <w:color w:val="FFFFFF"/>
          <w:sz w:val="18"/>
          <w:szCs w:val="18"/>
        </w:rPr>
        <w:fldChar w:fldCharType="end"/>
      </w:r>
      <w:r w:rsidR="005C3CDA">
        <w:rPr>
          <w:rFonts w:ascii="Verdana" w:hAnsi="Verdana"/>
          <w:color w:val="FFFFFF"/>
          <w:sz w:val="18"/>
          <w:szCs w:val="18"/>
        </w:rPr>
        <w:fldChar w:fldCharType="end"/>
      </w:r>
      <w:r w:rsidR="004F5352">
        <w:rPr>
          <w:rFonts w:ascii="Verdana" w:hAnsi="Verdana"/>
          <w:color w:val="FFFFFF"/>
          <w:sz w:val="18"/>
          <w:szCs w:val="18"/>
        </w:rPr>
        <w:fldChar w:fldCharType="end"/>
      </w:r>
      <w:r w:rsidR="00484A58">
        <w:rPr>
          <w:rFonts w:ascii="Verdana" w:hAnsi="Verdana"/>
          <w:color w:val="FFFFFF"/>
          <w:sz w:val="18"/>
          <w:szCs w:val="18"/>
        </w:rPr>
        <w:fldChar w:fldCharType="end"/>
      </w:r>
      <w:r>
        <w:rPr>
          <w:rFonts w:ascii="Verdana" w:hAnsi="Verdana"/>
          <w:color w:val="FFFFFF"/>
          <w:sz w:val="18"/>
          <w:szCs w:val="18"/>
        </w:rPr>
        <w:fldChar w:fldCharType="end"/>
      </w:r>
    </w:p>
    <w:p w14:paraId="69CCBD41" w14:textId="77777777" w:rsidR="00C87438" w:rsidRPr="004679AB" w:rsidRDefault="004679AB" w:rsidP="00C87438">
      <w:pPr>
        <w:keepNext/>
        <w:spacing w:after="0" w:line="240" w:lineRule="auto"/>
        <w:rPr>
          <w:rFonts w:ascii="Century Gothic" w:eastAsia="Calibri" w:hAnsi="Century Gothic"/>
          <w:b/>
          <w:bCs/>
          <w:color w:val="000000"/>
          <w:sz w:val="20"/>
          <w:szCs w:val="18"/>
        </w:rPr>
      </w:pPr>
      <w:r>
        <w:rPr>
          <w:rFonts w:ascii="Century Gothic" w:eastAsia="Calibri" w:hAnsi="Century Gothic"/>
          <w:b/>
          <w:bCs/>
          <w:color w:val="000000"/>
          <w:sz w:val="20"/>
          <w:szCs w:val="18"/>
        </w:rPr>
        <w:br w:type="page"/>
      </w:r>
      <w:r w:rsidR="00C87438" w:rsidRPr="004679AB">
        <w:rPr>
          <w:rFonts w:ascii="Century Gothic" w:eastAsia="Calibri" w:hAnsi="Century Gothic"/>
          <w:b/>
          <w:bCs/>
          <w:color w:val="000000"/>
          <w:sz w:val="20"/>
          <w:szCs w:val="18"/>
        </w:rPr>
        <w:t>Table A3.1 - Condition of values grading statements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235"/>
        <w:gridCol w:w="2236"/>
        <w:gridCol w:w="2235"/>
        <w:gridCol w:w="2236"/>
      </w:tblGrid>
      <w:tr w:rsidR="00C87438" w:rsidRPr="007B6255" w14:paraId="69CCBD44" w14:textId="77777777" w:rsidTr="007B6255">
        <w:trPr>
          <w:trHeight w:val="300"/>
        </w:trPr>
        <w:tc>
          <w:tcPr>
            <w:tcW w:w="1408" w:type="dxa"/>
            <w:vMerge w:val="restart"/>
            <w:shd w:val="clear" w:color="auto" w:fill="auto"/>
            <w:vAlign w:val="center"/>
          </w:tcPr>
          <w:p w14:paraId="69CCBD42" w14:textId="77777777" w:rsidR="00C87438" w:rsidRPr="007B6255" w:rsidRDefault="00C87438" w:rsidP="007B6255">
            <w:pPr>
              <w:spacing w:before="60" w:after="60" w:line="240" w:lineRule="auto"/>
              <w:rPr>
                <w:rFonts w:ascii="Century Gothic" w:eastAsia="Calibri" w:hAnsi="Century Gothic" w:cs="Arial"/>
                <w:b/>
                <w:sz w:val="16"/>
                <w:szCs w:val="16"/>
              </w:rPr>
            </w:pPr>
            <w:r w:rsidRPr="007B6255">
              <w:rPr>
                <w:rFonts w:ascii="Century Gothic" w:eastAsia="Calibri" w:hAnsi="Century Gothic" w:cs="Arial"/>
                <w:b/>
                <w:sz w:val="16"/>
                <w:szCs w:val="16"/>
              </w:rPr>
              <w:t>Functional group of values</w:t>
            </w:r>
          </w:p>
        </w:tc>
        <w:tc>
          <w:tcPr>
            <w:tcW w:w="8942" w:type="dxa"/>
            <w:gridSpan w:val="4"/>
            <w:shd w:val="clear" w:color="auto" w:fill="auto"/>
            <w:vAlign w:val="center"/>
          </w:tcPr>
          <w:p w14:paraId="69CCBD43"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Condition grading statement</w:t>
            </w:r>
          </w:p>
        </w:tc>
      </w:tr>
      <w:tr w:rsidR="00C87438" w:rsidRPr="007B6255" w14:paraId="69CCBD4A" w14:textId="77777777" w:rsidTr="007B6255">
        <w:trPr>
          <w:trHeight w:val="300"/>
        </w:trPr>
        <w:tc>
          <w:tcPr>
            <w:tcW w:w="1408" w:type="dxa"/>
            <w:vMerge/>
            <w:shd w:val="clear" w:color="auto" w:fill="auto"/>
            <w:vAlign w:val="center"/>
            <w:hideMark/>
          </w:tcPr>
          <w:p w14:paraId="69CCBD45" w14:textId="77777777" w:rsidR="00C87438" w:rsidRPr="007B6255" w:rsidRDefault="00C87438" w:rsidP="007B6255">
            <w:pPr>
              <w:spacing w:before="60" w:after="60" w:line="240" w:lineRule="auto"/>
              <w:rPr>
                <w:rFonts w:ascii="Century Gothic" w:eastAsia="Calibri" w:hAnsi="Century Gothic" w:cs="Arial"/>
                <w:sz w:val="16"/>
                <w:szCs w:val="16"/>
              </w:rPr>
            </w:pPr>
          </w:p>
        </w:tc>
        <w:tc>
          <w:tcPr>
            <w:tcW w:w="2235" w:type="dxa"/>
            <w:shd w:val="clear" w:color="auto" w:fill="00B050"/>
            <w:vAlign w:val="center"/>
            <w:hideMark/>
          </w:tcPr>
          <w:p w14:paraId="69CCBD46"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Very good</w:t>
            </w:r>
          </w:p>
        </w:tc>
        <w:tc>
          <w:tcPr>
            <w:tcW w:w="2236" w:type="dxa"/>
            <w:shd w:val="clear" w:color="auto" w:fill="92D050"/>
            <w:vAlign w:val="center"/>
            <w:hideMark/>
          </w:tcPr>
          <w:p w14:paraId="69CCBD47"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Good</w:t>
            </w:r>
          </w:p>
        </w:tc>
        <w:tc>
          <w:tcPr>
            <w:tcW w:w="2235" w:type="dxa"/>
            <w:shd w:val="clear" w:color="auto" w:fill="FFC000"/>
            <w:vAlign w:val="center"/>
            <w:hideMark/>
          </w:tcPr>
          <w:p w14:paraId="69CCBD48"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Poor</w:t>
            </w:r>
          </w:p>
        </w:tc>
        <w:tc>
          <w:tcPr>
            <w:tcW w:w="2236" w:type="dxa"/>
            <w:shd w:val="clear" w:color="auto" w:fill="FF0000"/>
            <w:vAlign w:val="center"/>
            <w:hideMark/>
          </w:tcPr>
          <w:p w14:paraId="69CCBD49" w14:textId="77777777" w:rsidR="00C87438" w:rsidRPr="007B6255" w:rsidRDefault="00C87438" w:rsidP="007B6255">
            <w:pPr>
              <w:spacing w:before="60" w:after="6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Very poor</w:t>
            </w:r>
          </w:p>
        </w:tc>
      </w:tr>
      <w:tr w:rsidR="00C87438" w:rsidRPr="007B6255" w14:paraId="69CCBD50" w14:textId="77777777" w:rsidTr="007B6255">
        <w:trPr>
          <w:trHeight w:val="350"/>
        </w:trPr>
        <w:tc>
          <w:tcPr>
            <w:tcW w:w="1408" w:type="dxa"/>
            <w:shd w:val="clear" w:color="auto" w:fill="auto"/>
            <w:hideMark/>
          </w:tcPr>
          <w:p w14:paraId="69CCBD4B"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Habitat to support species</w:t>
            </w:r>
          </w:p>
        </w:tc>
        <w:tc>
          <w:tcPr>
            <w:tcW w:w="2235" w:type="dxa"/>
            <w:shd w:val="clear" w:color="auto" w:fill="auto"/>
            <w:hideMark/>
          </w:tcPr>
          <w:p w14:paraId="69CCBD4C"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All major habitats are essentially structurally and functionally intact and able to support all dependent species.</w:t>
            </w:r>
          </w:p>
        </w:tc>
        <w:tc>
          <w:tcPr>
            <w:tcW w:w="2236" w:type="dxa"/>
            <w:shd w:val="clear" w:color="auto" w:fill="auto"/>
            <w:hideMark/>
          </w:tcPr>
          <w:p w14:paraId="69CCBD4D"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is some habitat loss, degradation or alteration in some small areas, leading to minimal degradation but no persistent, substantial effects on populations of dependant species.</w:t>
            </w:r>
          </w:p>
        </w:tc>
        <w:tc>
          <w:tcPr>
            <w:tcW w:w="2235" w:type="dxa"/>
            <w:shd w:val="clear" w:color="auto" w:fill="auto"/>
            <w:hideMark/>
          </w:tcPr>
          <w:p w14:paraId="69CCBD4E"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Habitat loss, degradation or alteration has occurred in a number of areas leading to persistent substantial effects on populations of dependent species.</w:t>
            </w:r>
          </w:p>
        </w:tc>
        <w:tc>
          <w:tcPr>
            <w:tcW w:w="2236" w:type="dxa"/>
            <w:shd w:val="clear" w:color="auto" w:fill="auto"/>
            <w:hideMark/>
          </w:tcPr>
          <w:p w14:paraId="69CCBD4F"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is widespread habitat loss, degradation or alteration leading to persistent, substantial effects on many populations of dependent species.</w:t>
            </w:r>
          </w:p>
        </w:tc>
      </w:tr>
      <w:tr w:rsidR="00C87438" w:rsidRPr="007B6255" w14:paraId="69CCBD56" w14:textId="77777777" w:rsidTr="007B6255">
        <w:trPr>
          <w:trHeight w:val="1209"/>
        </w:trPr>
        <w:tc>
          <w:tcPr>
            <w:tcW w:w="1408" w:type="dxa"/>
            <w:shd w:val="clear" w:color="auto" w:fill="auto"/>
            <w:hideMark/>
          </w:tcPr>
          <w:p w14:paraId="69CCBD51"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Populations of species and groups of species</w:t>
            </w:r>
          </w:p>
        </w:tc>
        <w:tc>
          <w:tcPr>
            <w:tcW w:w="2235" w:type="dxa"/>
            <w:shd w:val="clear" w:color="auto" w:fill="auto"/>
            <w:hideMark/>
          </w:tcPr>
          <w:p w14:paraId="69CCBD52"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Only a few, if any, species populations have deteriorated as a result of human activities or declining environmental conditions.</w:t>
            </w:r>
          </w:p>
        </w:tc>
        <w:tc>
          <w:tcPr>
            <w:tcW w:w="2236" w:type="dxa"/>
            <w:shd w:val="clear" w:color="auto" w:fill="auto"/>
            <w:hideMark/>
          </w:tcPr>
          <w:p w14:paraId="69CCBD53"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Populations of some species (but no species groups) have deteriorated significantly as a result of human activities or declining environmental conditions.</w:t>
            </w:r>
          </w:p>
        </w:tc>
        <w:tc>
          <w:tcPr>
            <w:tcW w:w="2235" w:type="dxa"/>
            <w:shd w:val="clear" w:color="auto" w:fill="auto"/>
            <w:hideMark/>
          </w:tcPr>
          <w:p w14:paraId="69CCBD54"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Populations of many species or some species groups have deteriorated significantly as a result of human activities or declining environmental conditions.</w:t>
            </w:r>
          </w:p>
        </w:tc>
        <w:tc>
          <w:tcPr>
            <w:tcW w:w="2236" w:type="dxa"/>
            <w:shd w:val="clear" w:color="auto" w:fill="auto"/>
            <w:hideMark/>
          </w:tcPr>
          <w:p w14:paraId="69CCBD55"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Populations of a large number of species have deteriorated significantly.</w:t>
            </w:r>
          </w:p>
        </w:tc>
      </w:tr>
      <w:tr w:rsidR="00C87438" w:rsidRPr="007B6255" w14:paraId="69CCBD5C" w14:textId="77777777" w:rsidTr="007B6255">
        <w:trPr>
          <w:trHeight w:val="1335"/>
        </w:trPr>
        <w:tc>
          <w:tcPr>
            <w:tcW w:w="1408" w:type="dxa"/>
            <w:shd w:val="clear" w:color="auto" w:fill="auto"/>
            <w:hideMark/>
          </w:tcPr>
          <w:p w14:paraId="69CCBD57"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Physical, chemical and ecological processes</w:t>
            </w:r>
          </w:p>
        </w:tc>
        <w:tc>
          <w:tcPr>
            <w:tcW w:w="2235" w:type="dxa"/>
            <w:shd w:val="clear" w:color="auto" w:fill="auto"/>
            <w:hideMark/>
          </w:tcPr>
          <w:p w14:paraId="69CCBD58" w14:textId="44772AF4"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no significant changes in processes as a result of human activities</w:t>
            </w:r>
            <w:r w:rsidR="003014F6">
              <w:rPr>
                <w:rFonts w:ascii="Century Gothic" w:eastAsia="Calibri" w:hAnsi="Century Gothic" w:cs="Arial"/>
                <w:sz w:val="16"/>
                <w:szCs w:val="16"/>
              </w:rPr>
              <w:t>.</w:t>
            </w:r>
          </w:p>
        </w:tc>
        <w:tc>
          <w:tcPr>
            <w:tcW w:w="2236" w:type="dxa"/>
            <w:shd w:val="clear" w:color="auto" w:fill="auto"/>
            <w:hideMark/>
          </w:tcPr>
          <w:p w14:paraId="69CCBD59"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some significant changes in processes as a result of human activities in some areas, but these are not to the extent that they are significantly affecting ecosystem function.</w:t>
            </w:r>
          </w:p>
        </w:tc>
        <w:tc>
          <w:tcPr>
            <w:tcW w:w="2235" w:type="dxa"/>
            <w:shd w:val="clear" w:color="auto" w:fill="auto"/>
            <w:hideMark/>
          </w:tcPr>
          <w:p w14:paraId="69CCBD5A"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substantial changes in processes as a result of human activities, and these are significantly affecting ecosystem functions in some areas.</w:t>
            </w:r>
          </w:p>
        </w:tc>
        <w:tc>
          <w:tcPr>
            <w:tcW w:w="2236" w:type="dxa"/>
            <w:shd w:val="clear" w:color="auto" w:fill="auto"/>
            <w:hideMark/>
          </w:tcPr>
          <w:p w14:paraId="69CCBD5B"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substantial changes in processes across a wide area as a result of human activities, and ecosystem functions are seriously affected in much of the area.</w:t>
            </w:r>
          </w:p>
        </w:tc>
      </w:tr>
      <w:tr w:rsidR="00C87438" w:rsidRPr="007B6255" w14:paraId="69CCBD62" w14:textId="77777777" w:rsidTr="007B6255">
        <w:trPr>
          <w:trHeight w:val="2078"/>
        </w:trPr>
        <w:tc>
          <w:tcPr>
            <w:tcW w:w="1408" w:type="dxa"/>
            <w:shd w:val="clear" w:color="auto" w:fill="auto"/>
            <w:hideMark/>
          </w:tcPr>
          <w:p w14:paraId="69CCBD5D"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Outbreak of disease, introduced species and pest species</w:t>
            </w:r>
          </w:p>
        </w:tc>
        <w:tc>
          <w:tcPr>
            <w:tcW w:w="2235" w:type="dxa"/>
            <w:shd w:val="clear" w:color="auto" w:fill="auto"/>
            <w:hideMark/>
          </w:tcPr>
          <w:p w14:paraId="69CCBD5E"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No records of diseases above expected natural levels; no introduced species recorded; pests populations within naturally expected levels.</w:t>
            </w:r>
          </w:p>
        </w:tc>
        <w:tc>
          <w:tcPr>
            <w:tcW w:w="2236" w:type="dxa"/>
            <w:shd w:val="clear" w:color="auto" w:fill="auto"/>
            <w:hideMark/>
          </w:tcPr>
          <w:p w14:paraId="69CCBD5F"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Diseases occasionally above expected natural levels but recovery prompt; any occurrences or introduced species successfully addressed; pests sometimes present above natural levels with limited effects on ecosystem function.</w:t>
            </w:r>
          </w:p>
        </w:tc>
        <w:tc>
          <w:tcPr>
            <w:tcW w:w="2235" w:type="dxa"/>
            <w:shd w:val="clear" w:color="auto" w:fill="auto"/>
            <w:hideMark/>
          </w:tcPr>
          <w:p w14:paraId="69CCBD60"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Unnaturally high levels of disease regularly recorded in some areas; occurrences of introduced species require significant intervention; pests outbreaks in some areas affecting ecosystem function more than expected under natural conditions.</w:t>
            </w:r>
          </w:p>
        </w:tc>
        <w:tc>
          <w:tcPr>
            <w:tcW w:w="2236" w:type="dxa"/>
            <w:shd w:val="clear" w:color="auto" w:fill="auto"/>
            <w:hideMark/>
          </w:tcPr>
          <w:p w14:paraId="69CCBD61"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Unnaturally high levels of disease often recorded in many areas; uncontrollable outbreaks of introduced pests; opportunistic pests seriously affecting ecosystem function in many areas.</w:t>
            </w:r>
          </w:p>
        </w:tc>
      </w:tr>
      <w:tr w:rsidR="00C87438" w:rsidRPr="007B6255" w14:paraId="69CCBD68" w14:textId="77777777" w:rsidTr="007B6255">
        <w:trPr>
          <w:trHeight w:val="1700"/>
        </w:trPr>
        <w:tc>
          <w:tcPr>
            <w:tcW w:w="1408" w:type="dxa"/>
            <w:shd w:val="clear" w:color="auto" w:fill="auto"/>
            <w:hideMark/>
          </w:tcPr>
          <w:p w14:paraId="69CCBD63"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Indigenous, historic, social, aesthetic, scientific, Commonwealth and Natural heritage values</w:t>
            </w:r>
          </w:p>
        </w:tc>
        <w:tc>
          <w:tcPr>
            <w:tcW w:w="2235" w:type="dxa"/>
            <w:shd w:val="clear" w:color="auto" w:fill="auto"/>
            <w:hideMark/>
          </w:tcPr>
          <w:p w14:paraId="69CCBD64"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been systematically and comprehensively identified and included in relevant inventories or reserves.  Known heritage values are well maintained and retain a high degree of integrity.</w:t>
            </w:r>
          </w:p>
        </w:tc>
        <w:tc>
          <w:tcPr>
            <w:tcW w:w="2236" w:type="dxa"/>
            <w:shd w:val="clear" w:color="auto" w:fill="auto"/>
            <w:hideMark/>
          </w:tcPr>
          <w:p w14:paraId="69CCBD65"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been mostly identified and included in relevant inventories or reserves.  Known heritage values are generally maintained and retain much of their integrity.</w:t>
            </w:r>
          </w:p>
        </w:tc>
        <w:tc>
          <w:tcPr>
            <w:tcW w:w="2235" w:type="dxa"/>
            <w:shd w:val="clear" w:color="auto" w:fill="auto"/>
            <w:hideMark/>
          </w:tcPr>
          <w:p w14:paraId="69CCBD66"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not been systematically identified. Known heritage values are degrading and generally lack integrity.</w:t>
            </w:r>
          </w:p>
        </w:tc>
        <w:tc>
          <w:tcPr>
            <w:tcW w:w="2236" w:type="dxa"/>
            <w:shd w:val="clear" w:color="auto" w:fill="auto"/>
            <w:hideMark/>
          </w:tcPr>
          <w:p w14:paraId="69CCBD67"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Heritage values have not been identified.  Known heritage values are degraded and lack integrity.</w:t>
            </w:r>
          </w:p>
        </w:tc>
      </w:tr>
      <w:tr w:rsidR="00C87438" w:rsidRPr="007B6255" w14:paraId="69CCBD6E" w14:textId="77777777" w:rsidTr="007B6255">
        <w:trPr>
          <w:trHeight w:val="2060"/>
        </w:trPr>
        <w:tc>
          <w:tcPr>
            <w:tcW w:w="1408" w:type="dxa"/>
            <w:shd w:val="clear" w:color="auto" w:fill="auto"/>
            <w:hideMark/>
          </w:tcPr>
          <w:p w14:paraId="69CCBD69"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World and national heritage values</w:t>
            </w:r>
          </w:p>
        </w:tc>
        <w:tc>
          <w:tcPr>
            <w:tcW w:w="2235" w:type="dxa"/>
            <w:shd w:val="clear" w:color="auto" w:fill="auto"/>
            <w:hideMark/>
          </w:tcPr>
          <w:p w14:paraId="69CCBD6A"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All elements necessary to maintain the outstanding universal value are essentially intact, and their overall condition is stable or improving.  Available evidence indicates only minor, if any, disturbance to this element of outstanding universal value.</w:t>
            </w:r>
          </w:p>
        </w:tc>
        <w:tc>
          <w:tcPr>
            <w:tcW w:w="2236" w:type="dxa"/>
            <w:shd w:val="clear" w:color="auto" w:fill="auto"/>
            <w:hideMark/>
          </w:tcPr>
          <w:p w14:paraId="69CCBD6B"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Some loss or alteration of the elements necessary to maintain the outstanding universal value has occurred, but their overall condition is not causing persistent or substantial effects on this element of outstanding universal value.</w:t>
            </w:r>
          </w:p>
        </w:tc>
        <w:tc>
          <w:tcPr>
            <w:tcW w:w="2235" w:type="dxa"/>
            <w:shd w:val="clear" w:color="auto" w:fill="auto"/>
            <w:hideMark/>
          </w:tcPr>
          <w:p w14:paraId="69CCBD6C"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Loss or alteration of the elements necessary to maintain outstanding universal value has occurred, which is leading to a significant reduction in this element of the outstanding universal value.</w:t>
            </w:r>
          </w:p>
        </w:tc>
        <w:tc>
          <w:tcPr>
            <w:tcW w:w="2236" w:type="dxa"/>
            <w:shd w:val="clear" w:color="auto" w:fill="auto"/>
            <w:hideMark/>
          </w:tcPr>
          <w:p w14:paraId="69CCBD6D"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Loss or alteration of most elements necessary to maintain the outstanding universal value has occurred, causing a major loss of the outstanding universal value.</w:t>
            </w:r>
          </w:p>
        </w:tc>
      </w:tr>
      <w:tr w:rsidR="00C87438" w:rsidRPr="007B6255" w14:paraId="69CCBD74" w14:textId="77777777" w:rsidTr="007B6255">
        <w:trPr>
          <w:trHeight w:val="1970"/>
        </w:trPr>
        <w:tc>
          <w:tcPr>
            <w:tcW w:w="1408" w:type="dxa"/>
            <w:shd w:val="clear" w:color="auto" w:fill="auto"/>
            <w:hideMark/>
          </w:tcPr>
          <w:p w14:paraId="69CCBD6F" w14:textId="77777777" w:rsidR="00C87438" w:rsidRPr="007B6255" w:rsidRDefault="00C87438" w:rsidP="007B6255">
            <w:pPr>
              <w:spacing w:before="60"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Economic and social benefits of use</w:t>
            </w:r>
          </w:p>
        </w:tc>
        <w:tc>
          <w:tcPr>
            <w:tcW w:w="2235" w:type="dxa"/>
            <w:shd w:val="clear" w:color="auto" w:fill="auto"/>
            <w:hideMark/>
          </w:tcPr>
          <w:p w14:paraId="69CCBD70"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Use of the Region provides significant economic and social benefit, in ways that sustain the fundamental value of the natural resource.  The Region is strongly recognised, valued and enjoyed by catchment residents, the nation and the world community.</w:t>
            </w:r>
          </w:p>
        </w:tc>
        <w:tc>
          <w:tcPr>
            <w:tcW w:w="2236" w:type="dxa"/>
            <w:shd w:val="clear" w:color="auto" w:fill="auto"/>
            <w:hideMark/>
          </w:tcPr>
          <w:p w14:paraId="69CCBD71"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Use of the Region provides valuable economic and social benefit.  The Region is valued by catchment residents, the nation and the world community.</w:t>
            </w:r>
          </w:p>
        </w:tc>
        <w:tc>
          <w:tcPr>
            <w:tcW w:w="2235" w:type="dxa"/>
            <w:shd w:val="clear" w:color="auto" w:fill="auto"/>
            <w:hideMark/>
          </w:tcPr>
          <w:p w14:paraId="69CCBD72"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There are few and declining economic and social benefits derived from the use of the Region.  Many do not recognise the value of the Region and do not enjoy their visit to the Region.</w:t>
            </w:r>
          </w:p>
        </w:tc>
        <w:tc>
          <w:tcPr>
            <w:tcW w:w="2236" w:type="dxa"/>
            <w:shd w:val="clear" w:color="auto" w:fill="auto"/>
            <w:hideMark/>
          </w:tcPr>
          <w:p w14:paraId="69CCBD73" w14:textId="77777777" w:rsidR="00C87438" w:rsidRPr="007B6255" w:rsidRDefault="00C87438" w:rsidP="007B6255">
            <w:pPr>
              <w:spacing w:before="60" w:after="0" w:line="240" w:lineRule="auto"/>
              <w:rPr>
                <w:rFonts w:ascii="Century Gothic" w:eastAsia="Calibri" w:hAnsi="Century Gothic" w:cs="Arial"/>
                <w:sz w:val="16"/>
                <w:szCs w:val="16"/>
              </w:rPr>
            </w:pPr>
            <w:r w:rsidRPr="007B6255">
              <w:rPr>
                <w:rFonts w:ascii="Century Gothic" w:eastAsia="Calibri" w:hAnsi="Century Gothic" w:cs="Arial"/>
                <w:sz w:val="16"/>
                <w:szCs w:val="16"/>
              </w:rPr>
              <w:t>Use of the Region contributes little or no economic and social benefit.  The Region holds little value for catchment residents, the nation or the world community.</w:t>
            </w:r>
          </w:p>
        </w:tc>
      </w:tr>
    </w:tbl>
    <w:p w14:paraId="69CCBD75" w14:textId="77777777" w:rsidR="00C87438" w:rsidRPr="00C87438" w:rsidRDefault="00C87438" w:rsidP="00C87438">
      <w:pPr>
        <w:spacing w:after="0"/>
        <w:rPr>
          <w:rFonts w:ascii="Calibri" w:eastAsia="Calibri" w:hAnsi="Calibri"/>
          <w:color w:val="FFFFFF"/>
          <w:sz w:val="8"/>
          <w:szCs w:val="8"/>
        </w:rPr>
      </w:pPr>
    </w:p>
    <w:p w14:paraId="69CCBD76" w14:textId="3E2F5ECB" w:rsidR="00C87438" w:rsidRPr="00C87438" w:rsidRDefault="00C87438" w:rsidP="00C87438">
      <w:pPr>
        <w:rPr>
          <w:rFonts w:ascii="Calibri" w:eastAsia="Calibri" w:hAnsi="Calibri"/>
          <w:color w:val="FFFFFF"/>
          <w:sz w:val="8"/>
          <w:szCs w:val="8"/>
        </w:rPr>
      </w:pPr>
    </w:p>
    <w:p w14:paraId="69CCBD77" w14:textId="77777777" w:rsidR="00C87438" w:rsidRPr="00C87438" w:rsidRDefault="00C87438" w:rsidP="00C87438">
      <w:pPr>
        <w:shd w:val="clear" w:color="auto" w:fill="59534D"/>
        <w:spacing w:after="0"/>
        <w:rPr>
          <w:rFonts w:ascii="Calibri" w:eastAsia="Calibri" w:hAnsi="Calibri"/>
          <w:color w:val="FFFFFF"/>
          <w:sz w:val="8"/>
          <w:szCs w:val="8"/>
        </w:rPr>
      </w:pPr>
    </w:p>
    <w:p w14:paraId="69CCBD78" w14:textId="4AED40D7" w:rsidR="00C87438" w:rsidRPr="00E149B9" w:rsidRDefault="00C87438" w:rsidP="00C87438">
      <w:pPr>
        <w:shd w:val="clear" w:color="auto" w:fill="59534D"/>
        <w:tabs>
          <w:tab w:val="left" w:pos="113"/>
        </w:tabs>
        <w:spacing w:after="0" w:line="240" w:lineRule="auto"/>
        <w:ind w:left="113" w:hanging="113"/>
        <w:rPr>
          <w:rFonts w:ascii="Century Gothic" w:eastAsia="Calibri" w:hAnsi="Century Gothic" w:cs="Arial"/>
          <w:b/>
          <w:bCs/>
          <w:color w:val="FFFFFF"/>
          <w:sz w:val="18"/>
          <w:szCs w:val="18"/>
        </w:rPr>
      </w:pPr>
      <w:bookmarkStart w:id="23" w:name="_Ref356828413"/>
      <w:r w:rsidRPr="001F4CCA">
        <w:rPr>
          <w:rFonts w:ascii="Calibri" w:eastAsia="Calibri" w:hAnsi="Calibri"/>
          <w:b/>
          <w:bCs/>
          <w:color w:val="FFFFFF"/>
          <w:sz w:val="20"/>
          <w:szCs w:val="20"/>
        </w:rPr>
        <w:tab/>
      </w:r>
      <w:bookmarkStart w:id="24" w:name="_Ref364089003"/>
      <w:r w:rsidRPr="001F4CCA">
        <w:rPr>
          <w:rFonts w:ascii="Century Gothic" w:eastAsia="Calibri" w:hAnsi="Century Gothic" w:cs="Arial"/>
          <w:b/>
          <w:bCs/>
          <w:color w:val="FFFFFF"/>
          <w:sz w:val="18"/>
          <w:szCs w:val="18"/>
        </w:rPr>
        <w:t xml:space="preserve">Table </w:t>
      </w:r>
      <w:bookmarkEnd w:id="23"/>
      <w:bookmarkEnd w:id="24"/>
      <w:r w:rsidRPr="001F4CCA">
        <w:rPr>
          <w:rFonts w:ascii="Century Gothic" w:eastAsia="Calibri" w:hAnsi="Century Gothic" w:cs="Arial"/>
          <w:b/>
          <w:bCs/>
          <w:color w:val="FFFFFF"/>
          <w:sz w:val="18"/>
          <w:szCs w:val="18"/>
        </w:rPr>
        <w:t xml:space="preserve">A3.2 </w:t>
      </w:r>
      <w:r w:rsidR="001F4CCA" w:rsidRPr="001F4CCA">
        <w:rPr>
          <w:rFonts w:ascii="Century Gothic" w:eastAsia="Calibri" w:hAnsi="Century Gothic" w:cs="Arial"/>
          <w:b/>
          <w:bCs/>
          <w:color w:val="FFFFFF"/>
          <w:sz w:val="18"/>
          <w:szCs w:val="18"/>
        </w:rPr>
        <w:t>–</w:t>
      </w:r>
      <w:r w:rsidRPr="001F4CCA">
        <w:rPr>
          <w:rFonts w:ascii="Century Gothic" w:eastAsia="Calibri" w:hAnsi="Century Gothic" w:cs="Arial"/>
          <w:b/>
          <w:bCs/>
          <w:color w:val="FFFFFF"/>
          <w:sz w:val="18"/>
          <w:szCs w:val="18"/>
        </w:rPr>
        <w:t xml:space="preserve"> </w:t>
      </w:r>
      <w:r w:rsidRPr="00E149B9">
        <w:rPr>
          <w:rFonts w:ascii="Century Gothic" w:eastAsia="Calibri" w:hAnsi="Century Gothic" w:cs="Arial"/>
          <w:b/>
          <w:bCs/>
          <w:color w:val="FFFFFF"/>
          <w:sz w:val="18"/>
          <w:szCs w:val="18"/>
        </w:rPr>
        <w:t>Key</w:t>
      </w:r>
      <w:r w:rsidR="001F4CCA" w:rsidRPr="00E149B9">
        <w:rPr>
          <w:rFonts w:ascii="Century Gothic" w:eastAsia="Calibri" w:hAnsi="Century Gothic" w:cs="Arial"/>
          <w:b/>
          <w:bCs/>
          <w:color w:val="FFFFFF"/>
          <w:sz w:val="18"/>
          <w:szCs w:val="18"/>
        </w:rPr>
        <w:t xml:space="preserve"> Great Barrier Reef</w:t>
      </w:r>
      <w:r w:rsidRPr="00E149B9">
        <w:rPr>
          <w:rFonts w:ascii="Century Gothic" w:eastAsia="Calibri" w:hAnsi="Century Gothic" w:cs="Arial"/>
          <w:b/>
          <w:bCs/>
          <w:color w:val="FFFFFF"/>
          <w:sz w:val="18"/>
          <w:szCs w:val="18"/>
        </w:rPr>
        <w:t xml:space="preserve"> values and attributes</w:t>
      </w:r>
    </w:p>
    <w:p w14:paraId="69CCBD79" w14:textId="7CED99C0" w:rsidR="00C87438" w:rsidRPr="000A4D14" w:rsidRDefault="00C87438" w:rsidP="00C87438">
      <w:pPr>
        <w:shd w:val="clear" w:color="auto" w:fill="59534D"/>
        <w:tabs>
          <w:tab w:val="left" w:pos="113"/>
        </w:tabs>
        <w:spacing w:after="0" w:line="240" w:lineRule="auto"/>
        <w:ind w:left="113" w:hanging="113"/>
        <w:rPr>
          <w:rFonts w:ascii="Century Gothic" w:eastAsia="Calibri" w:hAnsi="Century Gothic" w:cs="Arial"/>
          <w:color w:val="FFFFFF"/>
          <w:sz w:val="18"/>
          <w:szCs w:val="18"/>
        </w:rPr>
      </w:pPr>
      <w:r w:rsidRPr="00E149B9">
        <w:rPr>
          <w:rFonts w:ascii="Century Gothic" w:eastAsia="Calibri" w:hAnsi="Century Gothic" w:cs="Arial"/>
          <w:color w:val="FFFFFF"/>
          <w:sz w:val="18"/>
          <w:szCs w:val="18"/>
        </w:rPr>
        <w:tab/>
      </w:r>
      <w:r w:rsidR="001F4CCA" w:rsidRPr="00E149B9">
        <w:rPr>
          <w:rFonts w:ascii="Century Gothic" w:eastAsia="Calibri" w:hAnsi="Century Gothic" w:cs="Arial"/>
          <w:color w:val="FFFFFF"/>
          <w:sz w:val="18"/>
          <w:szCs w:val="18"/>
        </w:rPr>
        <w:t xml:space="preserve">The following table outlines key values and attributes for the Great Barrier Reef. These values and attributes underpin Reef-related </w:t>
      </w:r>
      <w:r w:rsidR="00E149B9">
        <w:rPr>
          <w:rFonts w:ascii="Century Gothic" w:eastAsia="Calibri" w:hAnsi="Century Gothic" w:cs="Arial"/>
          <w:color w:val="FFFFFF"/>
          <w:sz w:val="18"/>
          <w:szCs w:val="18"/>
        </w:rPr>
        <w:t xml:space="preserve">Matters of National Environmental </w:t>
      </w:r>
      <w:r w:rsidR="00F80DB3">
        <w:rPr>
          <w:rFonts w:ascii="Century Gothic" w:eastAsia="Calibri" w:hAnsi="Century Gothic" w:cs="Arial"/>
          <w:color w:val="FFFFFF"/>
          <w:sz w:val="18"/>
          <w:szCs w:val="18"/>
        </w:rPr>
        <w:t>Significance</w:t>
      </w:r>
      <w:r w:rsidR="00F80DB3" w:rsidRPr="00E149B9">
        <w:rPr>
          <w:rFonts w:ascii="Century Gothic" w:eastAsia="Calibri" w:hAnsi="Century Gothic" w:cs="Arial"/>
          <w:color w:val="FFFFFF"/>
          <w:sz w:val="18"/>
          <w:szCs w:val="18"/>
        </w:rPr>
        <w:t xml:space="preserve">. </w:t>
      </w:r>
      <w:r w:rsidR="001F4CCA" w:rsidRPr="00E149B9">
        <w:rPr>
          <w:rFonts w:ascii="Century Gothic" w:eastAsia="Calibri" w:hAnsi="Century Gothic" w:cs="Arial"/>
          <w:color w:val="FFFFFF"/>
          <w:sz w:val="18"/>
          <w:szCs w:val="18"/>
        </w:rPr>
        <w:t xml:space="preserve">For the </w:t>
      </w:r>
      <w:r w:rsidR="00E149B9" w:rsidRPr="00E149B9">
        <w:rPr>
          <w:rFonts w:ascii="Century Gothic" w:eastAsia="Calibri" w:hAnsi="Century Gothic" w:cs="Arial"/>
          <w:color w:val="FFFFFF"/>
          <w:sz w:val="18"/>
          <w:szCs w:val="18"/>
        </w:rPr>
        <w:t>World</w:t>
      </w:r>
      <w:r w:rsidR="001F4CCA" w:rsidRPr="00E149B9">
        <w:rPr>
          <w:rFonts w:ascii="Century Gothic" w:eastAsia="Calibri" w:hAnsi="Century Gothic" w:cs="Arial"/>
          <w:color w:val="FFFFFF"/>
          <w:sz w:val="18"/>
          <w:szCs w:val="18"/>
        </w:rPr>
        <w:t xml:space="preserve"> Heritage Area</w:t>
      </w:r>
      <w:r w:rsidR="00E149B9">
        <w:rPr>
          <w:rFonts w:ascii="Century Gothic" w:eastAsia="Calibri" w:hAnsi="Century Gothic" w:cs="Arial"/>
          <w:color w:val="FFFFFF"/>
          <w:sz w:val="18"/>
          <w:szCs w:val="18"/>
        </w:rPr>
        <w:t>,</w:t>
      </w:r>
      <w:r w:rsidR="001F4CCA" w:rsidRPr="00E149B9">
        <w:rPr>
          <w:rFonts w:ascii="Century Gothic" w:eastAsia="Calibri" w:hAnsi="Century Gothic" w:cs="Arial"/>
          <w:color w:val="FFFFFF"/>
          <w:sz w:val="18"/>
          <w:szCs w:val="18"/>
        </w:rPr>
        <w:t xml:space="preserve"> values are based </w:t>
      </w:r>
      <w:r w:rsidRPr="00E149B9">
        <w:rPr>
          <w:rFonts w:ascii="Century Gothic" w:eastAsia="Calibri" w:hAnsi="Century Gothic" w:cs="Arial"/>
          <w:color w:val="FFFFFF"/>
          <w:sz w:val="18"/>
          <w:szCs w:val="18"/>
        </w:rPr>
        <w:t>t</w:t>
      </w:r>
      <w:r w:rsidR="00F80DB3">
        <w:rPr>
          <w:rFonts w:ascii="Century Gothic" w:eastAsia="Calibri" w:hAnsi="Century Gothic" w:cs="Arial"/>
          <w:color w:val="FFFFFF"/>
          <w:sz w:val="18"/>
          <w:szCs w:val="18"/>
        </w:rPr>
        <w:t>he Statement of Outstanding Universal Value</w:t>
      </w:r>
      <w:r w:rsidRPr="00E149B9">
        <w:rPr>
          <w:rFonts w:ascii="Century Gothic" w:eastAsia="Calibri" w:hAnsi="Century Gothic" w:cs="Arial"/>
          <w:color w:val="FFFFFF"/>
          <w:sz w:val="18"/>
          <w:szCs w:val="18"/>
        </w:rPr>
        <w:t xml:space="preserve">. </w:t>
      </w:r>
    </w:p>
    <w:p w14:paraId="69CCBD7A" w14:textId="77777777" w:rsidR="00C87438" w:rsidRPr="00C87438" w:rsidRDefault="00C87438" w:rsidP="00C87438">
      <w:pPr>
        <w:shd w:val="clear" w:color="auto" w:fill="59534D"/>
        <w:spacing w:after="60"/>
        <w:rPr>
          <w:rFonts w:ascii="Calibri" w:eastAsia="Calibri" w:hAnsi="Calibri"/>
          <w:color w:val="FFFFFF"/>
          <w:sz w:val="8"/>
          <w:szCs w:val="8"/>
        </w:rPr>
      </w:pPr>
    </w:p>
    <w:tbl>
      <w:tblPr>
        <w:tblW w:w="10105"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4161"/>
        <w:gridCol w:w="334"/>
        <w:gridCol w:w="334"/>
        <w:gridCol w:w="334"/>
        <w:gridCol w:w="335"/>
        <w:gridCol w:w="335"/>
        <w:gridCol w:w="336"/>
        <w:gridCol w:w="336"/>
        <w:gridCol w:w="336"/>
        <w:gridCol w:w="336"/>
        <w:gridCol w:w="336"/>
        <w:gridCol w:w="336"/>
        <w:gridCol w:w="336"/>
        <w:gridCol w:w="336"/>
        <w:gridCol w:w="336"/>
        <w:gridCol w:w="336"/>
        <w:gridCol w:w="336"/>
        <w:gridCol w:w="576"/>
      </w:tblGrid>
      <w:tr w:rsidR="00C87438" w:rsidRPr="007B6255" w14:paraId="69CCBD83" w14:textId="77777777" w:rsidTr="00E67C45">
        <w:trPr>
          <w:trHeight w:val="352"/>
          <w:tblHeader/>
          <w:tblCellSpacing w:w="28" w:type="dxa"/>
          <w:jc w:val="center"/>
        </w:trPr>
        <w:tc>
          <w:tcPr>
            <w:tcW w:w="4077" w:type="dxa"/>
            <w:tcBorders>
              <w:top w:val="nil"/>
              <w:left w:val="nil"/>
              <w:bottom w:val="nil"/>
              <w:right w:val="nil"/>
            </w:tcBorders>
            <w:shd w:val="clear" w:color="auto" w:fill="auto"/>
            <w:vAlign w:val="bottom"/>
          </w:tcPr>
          <w:p w14:paraId="69CCBD7B" w14:textId="77777777" w:rsidR="00C87438" w:rsidRPr="007B6255" w:rsidRDefault="00C87438" w:rsidP="007B6255">
            <w:pPr>
              <w:spacing w:after="0" w:line="240" w:lineRule="auto"/>
              <w:rPr>
                <w:rFonts w:ascii="Century Gothic" w:eastAsia="Calibri" w:hAnsi="Century Gothic" w:cs="Arial"/>
                <w:b/>
                <w:sz w:val="16"/>
                <w:szCs w:val="16"/>
              </w:rPr>
            </w:pPr>
          </w:p>
        </w:tc>
        <w:tc>
          <w:tcPr>
            <w:tcW w:w="1616" w:type="dxa"/>
            <w:gridSpan w:val="5"/>
            <w:tcBorders>
              <w:top w:val="single" w:sz="2" w:space="0" w:color="59534D"/>
              <w:left w:val="single" w:sz="2" w:space="0" w:color="59534D"/>
              <w:bottom w:val="nil"/>
              <w:right w:val="single" w:sz="2" w:space="0" w:color="59534D"/>
            </w:tcBorders>
            <w:shd w:val="clear" w:color="auto" w:fill="auto"/>
            <w:vAlign w:val="center"/>
            <w:hideMark/>
          </w:tcPr>
          <w:p w14:paraId="69CCBD7C"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World heritage properties</w:t>
            </w:r>
          </w:p>
        </w:tc>
        <w:tc>
          <w:tcPr>
            <w:tcW w:w="280" w:type="dxa"/>
            <w:tcBorders>
              <w:top w:val="nil"/>
              <w:left w:val="nil"/>
              <w:bottom w:val="nil"/>
              <w:right w:val="nil"/>
            </w:tcBorders>
            <w:shd w:val="clear" w:color="auto" w:fill="auto"/>
            <w:textDirection w:val="btLr"/>
            <w:vAlign w:val="center"/>
          </w:tcPr>
          <w:p w14:paraId="69CCBD7D" w14:textId="77777777" w:rsidR="00C87438" w:rsidRPr="007B6255" w:rsidRDefault="00C87438" w:rsidP="007B6255">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69CCBD7E" w14:textId="77777777" w:rsidR="00C87438" w:rsidRPr="007B6255" w:rsidRDefault="00C87438" w:rsidP="007B6255">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69CCBD7F" w14:textId="77777777" w:rsidR="00C87438" w:rsidRPr="007B6255" w:rsidRDefault="00C87438" w:rsidP="007B6255">
            <w:pPr>
              <w:spacing w:after="0" w:line="240" w:lineRule="auto"/>
              <w:rPr>
                <w:rFonts w:ascii="Century Gothic" w:eastAsia="Calibri" w:hAnsi="Century Gothic" w:cs="Arial"/>
                <w:b/>
                <w:sz w:val="16"/>
                <w:szCs w:val="16"/>
              </w:rPr>
            </w:pPr>
          </w:p>
        </w:tc>
        <w:tc>
          <w:tcPr>
            <w:tcW w:w="2632" w:type="dxa"/>
            <w:gridSpan w:val="8"/>
            <w:tcBorders>
              <w:top w:val="single" w:sz="2" w:space="0" w:color="59534D"/>
              <w:left w:val="single" w:sz="2" w:space="0" w:color="59534D"/>
              <w:bottom w:val="nil"/>
              <w:right w:val="single" w:sz="2" w:space="0" w:color="59534D"/>
            </w:tcBorders>
            <w:shd w:val="clear" w:color="auto" w:fill="auto"/>
            <w:vAlign w:val="center"/>
            <w:hideMark/>
          </w:tcPr>
          <w:p w14:paraId="69CCBD80"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Listed migratory and</w:t>
            </w:r>
          </w:p>
          <w:p w14:paraId="69CCBD81"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threatened species</w:t>
            </w:r>
          </w:p>
        </w:tc>
        <w:tc>
          <w:tcPr>
            <w:tcW w:w="492" w:type="dxa"/>
            <w:tcBorders>
              <w:top w:val="nil"/>
              <w:left w:val="nil"/>
              <w:bottom w:val="nil"/>
              <w:right w:val="nil"/>
            </w:tcBorders>
            <w:shd w:val="clear" w:color="auto" w:fill="auto"/>
            <w:textDirection w:val="btLr"/>
            <w:vAlign w:val="center"/>
          </w:tcPr>
          <w:p w14:paraId="69CCBD82" w14:textId="77777777" w:rsidR="00C87438" w:rsidRPr="007B6255" w:rsidRDefault="00C87438" w:rsidP="007B6255">
            <w:pPr>
              <w:spacing w:after="0" w:line="240" w:lineRule="auto"/>
              <w:rPr>
                <w:rFonts w:ascii="Century Gothic" w:eastAsia="Calibri" w:hAnsi="Century Gothic" w:cs="Arial"/>
                <w:b/>
                <w:sz w:val="16"/>
                <w:szCs w:val="16"/>
              </w:rPr>
            </w:pPr>
          </w:p>
        </w:tc>
      </w:tr>
      <w:tr w:rsidR="00FF60E8" w:rsidRPr="007B6255" w14:paraId="69CCBD96" w14:textId="77777777" w:rsidTr="00E67C45">
        <w:trPr>
          <w:cantSplit/>
          <w:trHeight w:val="2948"/>
          <w:tblHeader/>
          <w:tblCellSpacing w:w="28" w:type="dxa"/>
          <w:jc w:val="center"/>
        </w:trPr>
        <w:tc>
          <w:tcPr>
            <w:tcW w:w="4077" w:type="dxa"/>
            <w:tcBorders>
              <w:top w:val="nil"/>
              <w:left w:val="nil"/>
              <w:bottom w:val="nil"/>
              <w:right w:val="nil"/>
            </w:tcBorders>
            <w:shd w:val="clear" w:color="auto" w:fill="D9D9D9"/>
            <w:tcMar>
              <w:left w:w="57" w:type="dxa"/>
              <w:bottom w:w="57" w:type="dxa"/>
              <w:right w:w="28" w:type="dxa"/>
            </w:tcMar>
            <w:vAlign w:val="bottom"/>
            <w:hideMark/>
          </w:tcPr>
          <w:p w14:paraId="69CCBD84" w14:textId="77777777" w:rsidR="00C87438" w:rsidRPr="007B6255" w:rsidRDefault="00C87438" w:rsidP="007B6255">
            <w:pPr>
              <w:spacing w:after="0" w:line="240" w:lineRule="auto"/>
              <w:rPr>
                <w:rFonts w:ascii="Century Gothic" w:eastAsia="Calibri" w:hAnsi="Century Gothic" w:cs="Arial"/>
                <w:b/>
                <w:sz w:val="18"/>
                <w:szCs w:val="18"/>
              </w:rPr>
            </w:pPr>
            <w:r w:rsidRPr="007B6255">
              <w:rPr>
                <w:rFonts w:ascii="Century Gothic" w:eastAsia="Calibri" w:hAnsi="Century Gothic" w:cs="Arial"/>
                <w:b/>
                <w:sz w:val="16"/>
                <w:szCs w:val="16"/>
              </w:rPr>
              <w:t>Key values and attributes</w:t>
            </w:r>
          </w:p>
        </w:tc>
        <w:tc>
          <w:tcPr>
            <w:tcW w:w="278"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69CCBD85"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 (now viii)</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6"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 (now ix)</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7"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iii (now vii)</w:t>
            </w:r>
          </w:p>
        </w:tc>
        <w:tc>
          <w:tcPr>
            <w:tcW w:w="279"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8"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iv (now x)</w:t>
            </w:r>
          </w:p>
        </w:tc>
        <w:tc>
          <w:tcPr>
            <w:tcW w:w="279"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69CCBD89"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Integrity</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A"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Great Barrier Reef Marine Park</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B"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National heritage places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C"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Commonwealth marine areas</w:t>
            </w:r>
          </w:p>
        </w:tc>
        <w:tc>
          <w:tcPr>
            <w:tcW w:w="280"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69CCBD8D"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Marine turtles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E"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Estuarine crocodiles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8F"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Whales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90"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Dolphins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91"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Dugongs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92"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Sharks and rays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93"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Seabirds</w:t>
            </w:r>
          </w:p>
        </w:tc>
        <w:tc>
          <w:tcPr>
            <w:tcW w:w="280"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69CCBD94"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Shorebirds</w:t>
            </w:r>
          </w:p>
        </w:tc>
        <w:tc>
          <w:tcPr>
            <w:tcW w:w="492"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BD95"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Wetlands of international importance</w:t>
            </w:r>
          </w:p>
        </w:tc>
      </w:tr>
      <w:tr w:rsidR="00C87438" w:rsidRPr="007B6255" w14:paraId="69CCBD98" w14:textId="77777777" w:rsidTr="00E67C45">
        <w:trPr>
          <w:tblCellSpacing w:w="28" w:type="dxa"/>
          <w:jc w:val="center"/>
        </w:trPr>
        <w:tc>
          <w:tcPr>
            <w:tcW w:w="9993" w:type="dxa"/>
            <w:gridSpan w:val="18"/>
            <w:shd w:val="clear" w:color="auto" w:fill="auto"/>
            <w:vAlign w:val="center"/>
            <w:hideMark/>
          </w:tcPr>
          <w:p w14:paraId="69CCBD97" w14:textId="77777777" w:rsidR="00C87438" w:rsidRPr="007B6255" w:rsidRDefault="00C87438" w:rsidP="007B6255">
            <w:pPr>
              <w:spacing w:after="0" w:line="240" w:lineRule="auto"/>
              <w:rPr>
                <w:rFonts w:ascii="Century Gothic" w:eastAsia="Calibri" w:hAnsi="Century Gothic" w:cs="Arial"/>
                <w:sz w:val="16"/>
                <w:szCs w:val="16"/>
              </w:rPr>
            </w:pPr>
            <w:r w:rsidRPr="007B6255">
              <w:rPr>
                <w:rFonts w:ascii="Century Gothic" w:eastAsia="Calibri" w:hAnsi="Century Gothic" w:cs="Arial"/>
                <w:b/>
                <w:sz w:val="16"/>
                <w:szCs w:val="16"/>
              </w:rPr>
              <w:t>Biodiversity — Great Barrier Reef habitats</w:t>
            </w:r>
          </w:p>
        </w:tc>
      </w:tr>
      <w:tr w:rsidR="00C87438" w:rsidRPr="007B6255" w14:paraId="69CCBDAB"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D9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Islands</w:t>
            </w:r>
          </w:p>
        </w:tc>
        <w:tc>
          <w:tcPr>
            <w:tcW w:w="278" w:type="dxa"/>
            <w:tcBorders>
              <w:top w:val="nil"/>
              <w:left w:val="nil"/>
              <w:bottom w:val="nil"/>
              <w:right w:val="nil"/>
            </w:tcBorders>
            <w:shd w:val="clear" w:color="auto" w:fill="E8E8E8"/>
            <w:vAlign w:val="center"/>
          </w:tcPr>
          <w:p w14:paraId="69CCBD9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D9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69CCBD9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9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9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9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A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A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A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A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A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A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A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DA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A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DA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DBE"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DA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Beaches and coastlines</w:t>
            </w:r>
          </w:p>
        </w:tc>
        <w:tc>
          <w:tcPr>
            <w:tcW w:w="278" w:type="dxa"/>
            <w:tcBorders>
              <w:top w:val="nil"/>
              <w:left w:val="nil"/>
              <w:bottom w:val="nil"/>
              <w:right w:val="nil"/>
            </w:tcBorders>
            <w:shd w:val="clear" w:color="auto" w:fill="E8E8E8"/>
            <w:vAlign w:val="center"/>
          </w:tcPr>
          <w:p w14:paraId="69CCBDA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DA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DA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BD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BDB1" w14:textId="77777777" w:rsidR="00C87438" w:rsidRPr="007B6255" w:rsidRDefault="00C87438" w:rsidP="007B6255">
            <w:pPr>
              <w:spacing w:after="0" w:line="240" w:lineRule="auto"/>
              <w:jc w:val="center"/>
              <w:rPr>
                <w:rFonts w:ascii="Century Gothic" w:eastAsia="Calibri" w:hAnsi="Century Gothic" w:cs="Arial"/>
                <w:sz w:val="20"/>
                <w:szCs w:val="20"/>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B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B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B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B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B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B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B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DB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B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DB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DD1"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DB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Mangrove forests</w:t>
            </w:r>
          </w:p>
        </w:tc>
        <w:tc>
          <w:tcPr>
            <w:tcW w:w="278" w:type="dxa"/>
            <w:tcBorders>
              <w:top w:val="nil"/>
              <w:left w:val="nil"/>
              <w:bottom w:val="nil"/>
              <w:right w:val="nil"/>
            </w:tcBorders>
            <w:shd w:val="clear" w:color="auto" w:fill="E8E8E8"/>
            <w:vAlign w:val="center"/>
          </w:tcPr>
          <w:p w14:paraId="69CCBDC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D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DC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C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C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C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C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C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C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C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C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C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C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DC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C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C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DD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DE4"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DD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vAlign w:val="center"/>
          </w:tcPr>
          <w:p w14:paraId="69CCBDD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D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DD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BDD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D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D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D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D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D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D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D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DD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D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E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E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E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DE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DF7"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DE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Coral reefs (&lt;30 m)</w:t>
            </w:r>
          </w:p>
        </w:tc>
        <w:tc>
          <w:tcPr>
            <w:tcW w:w="278" w:type="dxa"/>
            <w:tcBorders>
              <w:top w:val="nil"/>
              <w:left w:val="nil"/>
              <w:bottom w:val="nil"/>
              <w:right w:val="nil"/>
            </w:tcBorders>
            <w:shd w:val="clear" w:color="auto" w:fill="E8E8E8"/>
            <w:vAlign w:val="center"/>
          </w:tcPr>
          <w:p w14:paraId="69CCBDE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DE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69CCBDE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E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E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E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E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E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E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E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F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F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F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DF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DF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DF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DF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E0A"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DF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Deeper reefs (&gt;30 m)</w:t>
            </w:r>
          </w:p>
        </w:tc>
        <w:tc>
          <w:tcPr>
            <w:tcW w:w="278" w:type="dxa"/>
            <w:tcBorders>
              <w:top w:val="nil"/>
              <w:left w:val="nil"/>
              <w:bottom w:val="nil"/>
              <w:right w:val="nil"/>
            </w:tcBorders>
            <w:shd w:val="clear" w:color="auto" w:fill="E8E8E8"/>
            <w:vAlign w:val="center"/>
          </w:tcPr>
          <w:p w14:paraId="69CCBDF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DF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69CCBDF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F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DF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F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DF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0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0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0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0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0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0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E0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0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0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E09"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E1D"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0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Lagoon floor</w:t>
            </w:r>
          </w:p>
        </w:tc>
        <w:tc>
          <w:tcPr>
            <w:tcW w:w="278" w:type="dxa"/>
            <w:tcBorders>
              <w:top w:val="nil"/>
              <w:left w:val="nil"/>
              <w:bottom w:val="nil"/>
              <w:right w:val="nil"/>
            </w:tcBorders>
            <w:shd w:val="clear" w:color="auto" w:fill="E8E8E8"/>
            <w:vAlign w:val="center"/>
          </w:tcPr>
          <w:p w14:paraId="69CCBE0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0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0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69CCBE0F"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E1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1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1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1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1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1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1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1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1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1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E1C"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E30"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1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Shoals</w:t>
            </w:r>
          </w:p>
        </w:tc>
        <w:tc>
          <w:tcPr>
            <w:tcW w:w="278" w:type="dxa"/>
            <w:tcBorders>
              <w:top w:val="nil"/>
              <w:left w:val="nil"/>
              <w:bottom w:val="nil"/>
              <w:right w:val="nil"/>
            </w:tcBorders>
            <w:shd w:val="clear" w:color="auto" w:fill="E8E8E8"/>
            <w:vAlign w:val="center"/>
          </w:tcPr>
          <w:p w14:paraId="69CCBE1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2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E2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69CCBE22"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E2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2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2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2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2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2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2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E2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2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E2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2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2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E2F"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E43"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3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i/>
                <w:sz w:val="18"/>
                <w:szCs w:val="18"/>
              </w:rPr>
              <w:t>Halimeda</w:t>
            </w:r>
            <w:r w:rsidRPr="007B6255">
              <w:rPr>
                <w:rFonts w:ascii="Century Gothic" w:eastAsia="Calibri" w:hAnsi="Century Gothic" w:cs="Arial"/>
                <w:sz w:val="18"/>
                <w:szCs w:val="18"/>
              </w:rPr>
              <w:t xml:space="preserve"> banks </w:t>
            </w:r>
          </w:p>
        </w:tc>
        <w:tc>
          <w:tcPr>
            <w:tcW w:w="278" w:type="dxa"/>
            <w:tcBorders>
              <w:top w:val="nil"/>
              <w:left w:val="nil"/>
              <w:bottom w:val="nil"/>
              <w:right w:val="nil"/>
            </w:tcBorders>
            <w:shd w:val="clear" w:color="auto" w:fill="E8E8E8"/>
            <w:vAlign w:val="center"/>
          </w:tcPr>
          <w:p w14:paraId="69CCBE3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E3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BE3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E3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BE3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3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3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3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3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3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3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3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3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4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E42"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E56"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4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Continental slope</w:t>
            </w:r>
          </w:p>
        </w:tc>
        <w:tc>
          <w:tcPr>
            <w:tcW w:w="278" w:type="dxa"/>
            <w:tcBorders>
              <w:top w:val="nil"/>
              <w:left w:val="nil"/>
              <w:bottom w:val="nil"/>
              <w:right w:val="nil"/>
            </w:tcBorders>
            <w:shd w:val="clear" w:color="auto" w:fill="E8E8E8"/>
            <w:vAlign w:val="center"/>
          </w:tcPr>
          <w:p w14:paraId="69CCBE4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4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4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E4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BE4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4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4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4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4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4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5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5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5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E55"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E69"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5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Open waters</w:t>
            </w:r>
          </w:p>
        </w:tc>
        <w:tc>
          <w:tcPr>
            <w:tcW w:w="278" w:type="dxa"/>
            <w:tcBorders>
              <w:top w:val="nil"/>
              <w:left w:val="nil"/>
              <w:bottom w:val="nil"/>
              <w:right w:val="nil"/>
            </w:tcBorders>
            <w:shd w:val="clear" w:color="auto" w:fill="E8E8E8"/>
            <w:vAlign w:val="center"/>
          </w:tcPr>
          <w:p w14:paraId="69CCBE5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5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9CCBE5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E5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E5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5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5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5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6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6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6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6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6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6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6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6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E6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E6B" w14:textId="77777777" w:rsidTr="00E67C45">
        <w:trPr>
          <w:tblCellSpacing w:w="28" w:type="dxa"/>
          <w:jc w:val="center"/>
        </w:trPr>
        <w:tc>
          <w:tcPr>
            <w:tcW w:w="9993" w:type="dxa"/>
            <w:gridSpan w:val="18"/>
            <w:shd w:val="clear" w:color="auto" w:fill="auto"/>
            <w:vAlign w:val="center"/>
            <w:hideMark/>
          </w:tcPr>
          <w:p w14:paraId="69CCBE6A" w14:textId="77777777" w:rsidR="00C87438" w:rsidRPr="007B6255" w:rsidRDefault="00C87438" w:rsidP="007B6255">
            <w:pPr>
              <w:spacing w:after="0" w:line="240" w:lineRule="auto"/>
              <w:rPr>
                <w:rFonts w:ascii="Century Gothic" w:eastAsia="Calibri" w:hAnsi="Century Gothic" w:cs="Arial"/>
                <w:sz w:val="16"/>
                <w:szCs w:val="16"/>
              </w:rPr>
            </w:pPr>
            <w:r w:rsidRPr="007B6255">
              <w:rPr>
                <w:rFonts w:ascii="Century Gothic" w:eastAsia="Calibri" w:hAnsi="Century Gothic" w:cs="Arial"/>
                <w:b/>
                <w:sz w:val="16"/>
                <w:szCs w:val="16"/>
              </w:rPr>
              <w:t>Biodiversity — terrestrial habitats that support the Great Barrier Reef</w:t>
            </w:r>
          </w:p>
        </w:tc>
      </w:tr>
      <w:tr w:rsidR="00C87438" w:rsidRPr="007B6255" w14:paraId="69CCBE7E"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6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Saltmarshes</w:t>
            </w:r>
          </w:p>
        </w:tc>
        <w:tc>
          <w:tcPr>
            <w:tcW w:w="278" w:type="dxa"/>
            <w:tcBorders>
              <w:top w:val="nil"/>
              <w:left w:val="nil"/>
              <w:bottom w:val="nil"/>
              <w:right w:val="nil"/>
            </w:tcBorders>
            <w:shd w:val="clear" w:color="auto" w:fill="E8E8E8"/>
            <w:vAlign w:val="center"/>
          </w:tcPr>
          <w:p w14:paraId="69CCBE6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BE6E"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BE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69CCBE70"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69CCBE71"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BE7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7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E7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7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7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7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7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7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E7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7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E7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E91"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7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Freshwater wetlands</w:t>
            </w:r>
          </w:p>
        </w:tc>
        <w:tc>
          <w:tcPr>
            <w:tcW w:w="278" w:type="dxa"/>
            <w:tcBorders>
              <w:top w:val="nil"/>
              <w:left w:val="nil"/>
              <w:bottom w:val="nil"/>
              <w:right w:val="nil"/>
            </w:tcBorders>
            <w:shd w:val="clear" w:color="auto" w:fill="E8E8E8"/>
            <w:vAlign w:val="center"/>
          </w:tcPr>
          <w:p w14:paraId="69CCBE8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BE81"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BE8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69CCBE83"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69CCBE84"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BE8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8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8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8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8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8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E8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E8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E9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EA4"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9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Forested floodplain</w:t>
            </w:r>
          </w:p>
        </w:tc>
        <w:tc>
          <w:tcPr>
            <w:tcW w:w="278" w:type="dxa"/>
            <w:tcBorders>
              <w:top w:val="nil"/>
              <w:left w:val="nil"/>
              <w:bottom w:val="nil"/>
              <w:right w:val="nil"/>
            </w:tcBorders>
            <w:shd w:val="clear" w:color="auto" w:fill="E8E8E8"/>
            <w:vAlign w:val="center"/>
          </w:tcPr>
          <w:p w14:paraId="69CCBE9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BE94"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BE9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69CCBE96"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69CCBE97"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BE9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9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9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9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9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A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A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A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EA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EB7"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A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Heath and shrublands</w:t>
            </w:r>
          </w:p>
        </w:tc>
        <w:tc>
          <w:tcPr>
            <w:tcW w:w="278" w:type="dxa"/>
            <w:tcBorders>
              <w:top w:val="nil"/>
              <w:left w:val="nil"/>
              <w:bottom w:val="nil"/>
              <w:right w:val="nil"/>
            </w:tcBorders>
            <w:shd w:val="clear" w:color="auto" w:fill="E8E8E8"/>
            <w:vAlign w:val="center"/>
          </w:tcPr>
          <w:p w14:paraId="69CCBEA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69CCBEA9"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EA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A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A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A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A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A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B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B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B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B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B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EB6"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ECA"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B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Grass and sedgelands</w:t>
            </w:r>
          </w:p>
        </w:tc>
        <w:tc>
          <w:tcPr>
            <w:tcW w:w="278" w:type="dxa"/>
            <w:tcBorders>
              <w:top w:val="nil"/>
              <w:left w:val="nil"/>
              <w:bottom w:val="nil"/>
              <w:right w:val="nil"/>
            </w:tcBorders>
            <w:shd w:val="clear" w:color="auto" w:fill="E8E8E8"/>
            <w:vAlign w:val="center"/>
          </w:tcPr>
          <w:p w14:paraId="69CCBEB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B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69CCBEBC"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EB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B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B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C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EC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EDD"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C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Woodlands</w:t>
            </w:r>
          </w:p>
        </w:tc>
        <w:tc>
          <w:tcPr>
            <w:tcW w:w="278" w:type="dxa"/>
            <w:tcBorders>
              <w:top w:val="nil"/>
              <w:left w:val="nil"/>
              <w:bottom w:val="nil"/>
              <w:right w:val="nil"/>
            </w:tcBorders>
            <w:shd w:val="clear" w:color="auto" w:fill="E8E8E8"/>
            <w:vAlign w:val="center"/>
          </w:tcPr>
          <w:p w14:paraId="69CCBEC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C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E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EC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ED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D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ED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EF0"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D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Forests</w:t>
            </w:r>
          </w:p>
        </w:tc>
        <w:tc>
          <w:tcPr>
            <w:tcW w:w="278" w:type="dxa"/>
            <w:tcBorders>
              <w:top w:val="nil"/>
              <w:left w:val="nil"/>
              <w:bottom w:val="nil"/>
              <w:right w:val="nil"/>
            </w:tcBorders>
            <w:shd w:val="clear" w:color="auto" w:fill="E8E8E8"/>
            <w:vAlign w:val="center"/>
          </w:tcPr>
          <w:p w14:paraId="69CCBED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BEE0"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BEE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EE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EE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E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E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E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EE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F03"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EF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Rainforests</w:t>
            </w:r>
          </w:p>
        </w:tc>
        <w:tc>
          <w:tcPr>
            <w:tcW w:w="278" w:type="dxa"/>
            <w:tcBorders>
              <w:top w:val="nil"/>
              <w:left w:val="nil"/>
              <w:bottom w:val="nil"/>
              <w:right w:val="nil"/>
            </w:tcBorders>
            <w:shd w:val="clear" w:color="auto" w:fill="E8E8E8"/>
            <w:vAlign w:val="center"/>
          </w:tcPr>
          <w:p w14:paraId="69CCBEF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BEF3"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hideMark/>
          </w:tcPr>
          <w:p w14:paraId="69CCBEF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tcPr>
          <w:p w14:paraId="69CCBEF5"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69CCBEF6"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BEF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F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F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EF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F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F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EF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0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0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02"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F16"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0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Connecting water bodies</w:t>
            </w:r>
          </w:p>
        </w:tc>
        <w:tc>
          <w:tcPr>
            <w:tcW w:w="278" w:type="dxa"/>
            <w:tcBorders>
              <w:top w:val="nil"/>
              <w:left w:val="nil"/>
              <w:bottom w:val="nil"/>
              <w:right w:val="nil"/>
            </w:tcBorders>
            <w:shd w:val="clear" w:color="auto" w:fill="E8E8E8"/>
            <w:vAlign w:val="center"/>
          </w:tcPr>
          <w:p w14:paraId="69CCBF0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BF06"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BF0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F0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BF09"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0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0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0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0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0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0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1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1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1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1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1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F1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F18" w14:textId="77777777" w:rsidTr="00E67C45">
        <w:trPr>
          <w:tblCellSpacing w:w="28" w:type="dxa"/>
          <w:jc w:val="center"/>
        </w:trPr>
        <w:tc>
          <w:tcPr>
            <w:tcW w:w="9993" w:type="dxa"/>
            <w:gridSpan w:val="18"/>
            <w:shd w:val="clear" w:color="auto" w:fill="auto"/>
            <w:vAlign w:val="center"/>
            <w:hideMark/>
          </w:tcPr>
          <w:p w14:paraId="69CCBF17"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Biodiversity — species</w:t>
            </w:r>
          </w:p>
        </w:tc>
      </w:tr>
      <w:tr w:rsidR="00C87438" w:rsidRPr="007B6255" w14:paraId="69CCBF2B"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1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Mangroves</w:t>
            </w:r>
          </w:p>
        </w:tc>
        <w:tc>
          <w:tcPr>
            <w:tcW w:w="278" w:type="dxa"/>
            <w:tcBorders>
              <w:top w:val="nil"/>
              <w:left w:val="nil"/>
              <w:bottom w:val="nil"/>
              <w:right w:val="nil"/>
            </w:tcBorders>
            <w:shd w:val="clear" w:color="auto" w:fill="E8E8E8"/>
            <w:vAlign w:val="center"/>
          </w:tcPr>
          <w:p w14:paraId="69CCBF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1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1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BF1D"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1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1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2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2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2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2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2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2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F26"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BF2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2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2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F2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F3E"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2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Seagrasses</w:t>
            </w:r>
          </w:p>
        </w:tc>
        <w:tc>
          <w:tcPr>
            <w:tcW w:w="278" w:type="dxa"/>
            <w:tcBorders>
              <w:top w:val="nil"/>
              <w:left w:val="nil"/>
              <w:bottom w:val="nil"/>
              <w:right w:val="nil"/>
            </w:tcBorders>
            <w:shd w:val="clear" w:color="auto" w:fill="E8E8E8"/>
            <w:vAlign w:val="center"/>
          </w:tcPr>
          <w:p w14:paraId="69CCBF2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2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2F"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F30"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3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3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3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3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35"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3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3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3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F39"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3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3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3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F3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F51"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3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Macroalgae</w:t>
            </w:r>
          </w:p>
        </w:tc>
        <w:tc>
          <w:tcPr>
            <w:tcW w:w="278" w:type="dxa"/>
            <w:tcBorders>
              <w:top w:val="nil"/>
              <w:left w:val="nil"/>
              <w:bottom w:val="nil"/>
              <w:right w:val="nil"/>
            </w:tcBorders>
            <w:shd w:val="clear" w:color="auto" w:fill="E8E8E8"/>
            <w:vAlign w:val="center"/>
          </w:tcPr>
          <w:p w14:paraId="69CCBF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4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42"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F43"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4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4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4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4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4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4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4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4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4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4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4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50"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F64"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5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Benthic microalgae</w:t>
            </w:r>
          </w:p>
        </w:tc>
        <w:tc>
          <w:tcPr>
            <w:tcW w:w="278" w:type="dxa"/>
            <w:tcBorders>
              <w:top w:val="nil"/>
              <w:left w:val="nil"/>
              <w:bottom w:val="nil"/>
              <w:right w:val="nil"/>
            </w:tcBorders>
            <w:shd w:val="clear" w:color="auto" w:fill="E8E8E8"/>
            <w:vAlign w:val="center"/>
          </w:tcPr>
          <w:p w14:paraId="69CCBF5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5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55"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F56"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5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5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5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5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5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5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5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5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5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6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6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63"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F77"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6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Corals </w:t>
            </w:r>
          </w:p>
        </w:tc>
        <w:tc>
          <w:tcPr>
            <w:tcW w:w="278" w:type="dxa"/>
            <w:tcBorders>
              <w:top w:val="nil"/>
              <w:left w:val="nil"/>
              <w:bottom w:val="nil"/>
              <w:right w:val="nil"/>
            </w:tcBorders>
            <w:shd w:val="clear" w:color="auto" w:fill="E8E8E8"/>
            <w:vAlign w:val="center"/>
          </w:tcPr>
          <w:p w14:paraId="69CCBF6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6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6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BF69"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6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6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6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6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7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7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7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7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7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7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76"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F8A"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7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Other invertebrates</w:t>
            </w:r>
          </w:p>
        </w:tc>
        <w:tc>
          <w:tcPr>
            <w:tcW w:w="278" w:type="dxa"/>
            <w:tcBorders>
              <w:top w:val="nil"/>
              <w:left w:val="nil"/>
              <w:bottom w:val="nil"/>
              <w:right w:val="nil"/>
            </w:tcBorders>
            <w:shd w:val="clear" w:color="auto" w:fill="E8E8E8"/>
            <w:vAlign w:val="center"/>
          </w:tcPr>
          <w:p w14:paraId="69CCBF7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7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BF7B"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F7C"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7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7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7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8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8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8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8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8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8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8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87"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8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F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F9D"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8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Plankton and microbes</w:t>
            </w:r>
          </w:p>
        </w:tc>
        <w:tc>
          <w:tcPr>
            <w:tcW w:w="278" w:type="dxa"/>
            <w:tcBorders>
              <w:top w:val="nil"/>
              <w:left w:val="nil"/>
              <w:bottom w:val="nil"/>
              <w:right w:val="nil"/>
            </w:tcBorders>
            <w:shd w:val="clear" w:color="auto" w:fill="E8E8E8"/>
            <w:vAlign w:val="center"/>
          </w:tcPr>
          <w:p w14:paraId="69CCBF8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8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8E"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F8F"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9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9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9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9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9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9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F9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9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9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9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9C"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FB0"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9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Bony fish </w:t>
            </w:r>
          </w:p>
        </w:tc>
        <w:tc>
          <w:tcPr>
            <w:tcW w:w="278" w:type="dxa"/>
            <w:tcBorders>
              <w:top w:val="nil"/>
              <w:left w:val="nil"/>
              <w:bottom w:val="nil"/>
              <w:right w:val="nil"/>
            </w:tcBorders>
            <w:shd w:val="clear" w:color="auto" w:fill="E8E8E8"/>
            <w:vAlign w:val="center"/>
          </w:tcPr>
          <w:p w14:paraId="69CCBF9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A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BFA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BFA2"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A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A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A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A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A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A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A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FAC"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AD"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AE"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BFA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FC3"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B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Sharks and rays</w:t>
            </w:r>
          </w:p>
        </w:tc>
        <w:tc>
          <w:tcPr>
            <w:tcW w:w="278" w:type="dxa"/>
            <w:tcBorders>
              <w:top w:val="nil"/>
              <w:left w:val="nil"/>
              <w:bottom w:val="nil"/>
              <w:right w:val="nil"/>
            </w:tcBorders>
            <w:shd w:val="clear" w:color="auto" w:fill="E8E8E8"/>
            <w:vAlign w:val="center"/>
          </w:tcPr>
          <w:p w14:paraId="69CCBFB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B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B4"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FB5"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B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B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B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B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B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B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B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B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B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C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C2"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FD6"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C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 snakes</w:t>
            </w:r>
          </w:p>
        </w:tc>
        <w:tc>
          <w:tcPr>
            <w:tcW w:w="278" w:type="dxa"/>
            <w:tcBorders>
              <w:top w:val="nil"/>
              <w:left w:val="nil"/>
              <w:bottom w:val="nil"/>
              <w:right w:val="nil"/>
            </w:tcBorders>
            <w:shd w:val="clear" w:color="auto" w:fill="E8E8E8"/>
            <w:vAlign w:val="center"/>
          </w:tcPr>
          <w:p w14:paraId="69CCBFC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C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C7"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BFC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C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C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C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C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C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C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D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D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D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D5"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BFE9"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D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Marine turtles</w:t>
            </w:r>
          </w:p>
        </w:tc>
        <w:tc>
          <w:tcPr>
            <w:tcW w:w="278" w:type="dxa"/>
            <w:tcBorders>
              <w:top w:val="nil"/>
              <w:left w:val="nil"/>
              <w:bottom w:val="nil"/>
              <w:right w:val="nil"/>
            </w:tcBorders>
            <w:shd w:val="clear" w:color="auto" w:fill="E8E8E8"/>
            <w:vAlign w:val="center"/>
          </w:tcPr>
          <w:p w14:paraId="69CCBFD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D9"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BFD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BFDB"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D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D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D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D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E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E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E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E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E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E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BFE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E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BFE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BFFC"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E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Estuarine crocodiles</w:t>
            </w:r>
          </w:p>
        </w:tc>
        <w:tc>
          <w:tcPr>
            <w:tcW w:w="278" w:type="dxa"/>
            <w:tcBorders>
              <w:top w:val="nil"/>
              <w:left w:val="nil"/>
              <w:bottom w:val="nil"/>
              <w:right w:val="nil"/>
            </w:tcBorders>
            <w:shd w:val="clear" w:color="auto" w:fill="E8E8E8"/>
            <w:vAlign w:val="center"/>
          </w:tcPr>
          <w:p w14:paraId="69CCBFE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EC"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BFE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BFEE"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BFE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F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F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BFF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F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F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BFF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F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F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F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F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BFF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BFF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0F"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BFF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Seabirds</w:t>
            </w:r>
          </w:p>
        </w:tc>
        <w:tc>
          <w:tcPr>
            <w:tcW w:w="278" w:type="dxa"/>
            <w:tcBorders>
              <w:top w:val="nil"/>
              <w:left w:val="nil"/>
              <w:bottom w:val="nil"/>
              <w:right w:val="nil"/>
            </w:tcBorders>
            <w:shd w:val="clear" w:color="auto" w:fill="E8E8E8"/>
            <w:vAlign w:val="center"/>
          </w:tcPr>
          <w:p w14:paraId="69CCBFF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BFF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0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C001"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C00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0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0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0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0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0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0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0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0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0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0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0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00E"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22"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1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Shorebirds</w:t>
            </w:r>
          </w:p>
        </w:tc>
        <w:tc>
          <w:tcPr>
            <w:tcW w:w="278" w:type="dxa"/>
            <w:tcBorders>
              <w:top w:val="nil"/>
              <w:left w:val="nil"/>
              <w:bottom w:val="nil"/>
              <w:right w:val="nil"/>
            </w:tcBorders>
            <w:shd w:val="clear" w:color="auto" w:fill="E8E8E8"/>
            <w:vAlign w:val="center"/>
          </w:tcPr>
          <w:p w14:paraId="69CCC01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1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1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014"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C01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1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1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1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0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1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1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1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1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1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2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C02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035"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2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Whales</w:t>
            </w:r>
          </w:p>
        </w:tc>
        <w:tc>
          <w:tcPr>
            <w:tcW w:w="278" w:type="dxa"/>
            <w:tcBorders>
              <w:top w:val="nil"/>
              <w:left w:val="nil"/>
              <w:bottom w:val="nil"/>
              <w:right w:val="nil"/>
            </w:tcBorders>
            <w:shd w:val="clear" w:color="auto" w:fill="E8E8E8"/>
            <w:vAlign w:val="center"/>
          </w:tcPr>
          <w:p w14:paraId="69CCC02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25"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C02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C027"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C02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2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2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2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2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2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2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2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3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3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3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3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034"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48"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3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Dolphins</w:t>
            </w:r>
          </w:p>
        </w:tc>
        <w:tc>
          <w:tcPr>
            <w:tcW w:w="278" w:type="dxa"/>
            <w:tcBorders>
              <w:top w:val="nil"/>
              <w:left w:val="nil"/>
              <w:bottom w:val="nil"/>
              <w:right w:val="nil"/>
            </w:tcBorders>
            <w:shd w:val="clear" w:color="auto" w:fill="E8E8E8"/>
            <w:vAlign w:val="center"/>
          </w:tcPr>
          <w:p w14:paraId="69CCC03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38"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C03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03A"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C03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3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3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3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3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4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4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4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4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4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4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047"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5B"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4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Dugongs</w:t>
            </w:r>
          </w:p>
        </w:tc>
        <w:tc>
          <w:tcPr>
            <w:tcW w:w="278" w:type="dxa"/>
            <w:tcBorders>
              <w:top w:val="nil"/>
              <w:left w:val="nil"/>
              <w:bottom w:val="nil"/>
              <w:right w:val="nil"/>
            </w:tcBorders>
            <w:shd w:val="clear" w:color="auto" w:fill="E8E8E8"/>
            <w:vAlign w:val="center"/>
          </w:tcPr>
          <w:p w14:paraId="69CCC04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4B" w14:textId="77777777" w:rsidR="00C87438" w:rsidRPr="007B6255" w:rsidRDefault="00C87438" w:rsidP="007B6255">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9CCC04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04D"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CCC04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4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5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5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5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5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5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5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5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5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5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5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C05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05D" w14:textId="77777777" w:rsidTr="00E67C45">
        <w:trPr>
          <w:tblCellSpacing w:w="28" w:type="dxa"/>
          <w:jc w:val="center"/>
        </w:trPr>
        <w:tc>
          <w:tcPr>
            <w:tcW w:w="9993" w:type="dxa"/>
            <w:gridSpan w:val="18"/>
            <w:shd w:val="clear" w:color="auto" w:fill="auto"/>
            <w:vAlign w:val="center"/>
            <w:hideMark/>
          </w:tcPr>
          <w:p w14:paraId="69CCC05C"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Geomorphological features</w:t>
            </w:r>
          </w:p>
        </w:tc>
      </w:tr>
      <w:tr w:rsidR="00C87438" w:rsidRPr="007B6255" w14:paraId="69CCC070"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5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Coral reefs</w:t>
            </w:r>
          </w:p>
        </w:tc>
        <w:tc>
          <w:tcPr>
            <w:tcW w:w="278" w:type="dxa"/>
            <w:tcBorders>
              <w:top w:val="nil"/>
              <w:left w:val="nil"/>
              <w:bottom w:val="nil"/>
              <w:right w:val="nil"/>
            </w:tcBorders>
            <w:shd w:val="clear" w:color="auto" w:fill="E8E8E8"/>
          </w:tcPr>
          <w:p w14:paraId="69CCC05F"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6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6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C0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6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6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6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6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6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6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6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6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69CCC06B"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C06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6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C06F"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83"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7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Islands and shorelines</w:t>
            </w:r>
          </w:p>
        </w:tc>
        <w:tc>
          <w:tcPr>
            <w:tcW w:w="278" w:type="dxa"/>
            <w:tcBorders>
              <w:top w:val="nil"/>
              <w:left w:val="nil"/>
              <w:bottom w:val="nil"/>
              <w:right w:val="nil"/>
            </w:tcBorders>
            <w:shd w:val="clear" w:color="auto" w:fill="E8E8E8"/>
          </w:tcPr>
          <w:p w14:paraId="69CCC072"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7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C074"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C07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7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7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7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7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7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7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7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7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69CCC07E"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C0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8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8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C08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096" w14:textId="77777777" w:rsidTr="00E67C45">
        <w:trPr>
          <w:tblCellSpacing w:w="28" w:type="dxa"/>
          <w:jc w:val="center"/>
        </w:trPr>
        <w:tc>
          <w:tcPr>
            <w:tcW w:w="4077" w:type="dxa"/>
            <w:tcBorders>
              <w:top w:val="nil"/>
              <w:left w:val="nil"/>
              <w:bottom w:val="nil"/>
              <w:right w:val="nil"/>
            </w:tcBorders>
            <w:shd w:val="clear" w:color="auto" w:fill="D9D9D9"/>
            <w:vAlign w:val="center"/>
          </w:tcPr>
          <w:p w14:paraId="69CCC08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Channels and canyons</w:t>
            </w:r>
          </w:p>
        </w:tc>
        <w:tc>
          <w:tcPr>
            <w:tcW w:w="278" w:type="dxa"/>
            <w:tcBorders>
              <w:top w:val="nil"/>
              <w:left w:val="nil"/>
              <w:bottom w:val="nil"/>
              <w:right w:val="nil"/>
            </w:tcBorders>
            <w:shd w:val="clear" w:color="auto" w:fill="E8E8E8"/>
          </w:tcPr>
          <w:p w14:paraId="69CCC085"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8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C087"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C08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8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8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8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tcPr>
          <w:p w14:paraId="69CCC08D"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9CCC08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8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9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9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9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9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9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095"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A9" w14:textId="77777777" w:rsidTr="00E67C45">
        <w:trPr>
          <w:tblCellSpacing w:w="28" w:type="dxa"/>
          <w:jc w:val="center"/>
        </w:trPr>
        <w:tc>
          <w:tcPr>
            <w:tcW w:w="4077" w:type="dxa"/>
            <w:tcBorders>
              <w:top w:val="nil"/>
              <w:left w:val="nil"/>
              <w:bottom w:val="nil"/>
              <w:right w:val="nil"/>
            </w:tcBorders>
            <w:shd w:val="clear" w:color="auto" w:fill="D9D9D9"/>
            <w:vAlign w:val="center"/>
          </w:tcPr>
          <w:p w14:paraId="69CCC09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River deltas</w:t>
            </w:r>
          </w:p>
        </w:tc>
        <w:tc>
          <w:tcPr>
            <w:tcW w:w="278" w:type="dxa"/>
            <w:tcBorders>
              <w:top w:val="nil"/>
              <w:left w:val="nil"/>
              <w:bottom w:val="nil"/>
              <w:right w:val="nil"/>
            </w:tcBorders>
            <w:shd w:val="clear" w:color="auto" w:fill="E8E8E8"/>
          </w:tcPr>
          <w:p w14:paraId="69CCC098"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C09A"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C0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9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9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9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9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A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A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A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A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A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A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A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0A8"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BC" w14:textId="77777777" w:rsidTr="00E67C45">
        <w:trPr>
          <w:tblCellSpacing w:w="28" w:type="dxa"/>
          <w:jc w:val="center"/>
        </w:trPr>
        <w:tc>
          <w:tcPr>
            <w:tcW w:w="4077" w:type="dxa"/>
            <w:tcBorders>
              <w:top w:val="nil"/>
              <w:left w:val="nil"/>
              <w:bottom w:val="nil"/>
              <w:right w:val="nil"/>
            </w:tcBorders>
            <w:shd w:val="clear" w:color="auto" w:fill="D9D9D9"/>
            <w:vAlign w:val="center"/>
          </w:tcPr>
          <w:p w14:paraId="69CCC0A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i/>
                <w:sz w:val="18"/>
                <w:szCs w:val="18"/>
              </w:rPr>
              <w:t>Halimeda</w:t>
            </w:r>
            <w:r w:rsidRPr="007B6255">
              <w:rPr>
                <w:rFonts w:ascii="Century Gothic" w:eastAsia="Calibri" w:hAnsi="Century Gothic" w:cs="Arial"/>
                <w:sz w:val="18"/>
                <w:szCs w:val="18"/>
              </w:rPr>
              <w:t xml:space="preserve"> banks</w:t>
            </w:r>
          </w:p>
        </w:tc>
        <w:tc>
          <w:tcPr>
            <w:tcW w:w="278" w:type="dxa"/>
            <w:tcBorders>
              <w:top w:val="nil"/>
              <w:left w:val="nil"/>
              <w:bottom w:val="nil"/>
              <w:right w:val="nil"/>
            </w:tcBorders>
            <w:shd w:val="clear" w:color="auto" w:fill="E8E8E8"/>
          </w:tcPr>
          <w:p w14:paraId="69CCC0AB"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A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0A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0A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A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B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B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B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B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B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B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B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B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B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0B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0CF" w14:textId="77777777" w:rsidTr="00E67C45">
        <w:trPr>
          <w:tblCellSpacing w:w="28" w:type="dxa"/>
          <w:jc w:val="center"/>
        </w:trPr>
        <w:tc>
          <w:tcPr>
            <w:tcW w:w="4077" w:type="dxa"/>
            <w:tcBorders>
              <w:top w:val="nil"/>
              <w:left w:val="nil"/>
              <w:bottom w:val="nil"/>
              <w:right w:val="nil"/>
            </w:tcBorders>
            <w:shd w:val="clear" w:color="auto" w:fill="D9D9D9"/>
            <w:vAlign w:val="center"/>
          </w:tcPr>
          <w:p w14:paraId="69CCC0B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tcPr>
          <w:p w14:paraId="69CCC0BE"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B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C0C0" w14:textId="77777777" w:rsidR="00C87438" w:rsidRPr="007B6255" w:rsidRDefault="00C87438" w:rsidP="007B6255">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9CCC0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C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C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C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C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C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C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C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C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C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C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69CCC0CC" w14:textId="77777777" w:rsidR="00C87438" w:rsidRPr="007B6255" w:rsidRDefault="00C87438" w:rsidP="007B6255">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tcPr>
          <w:p w14:paraId="69CCC0CD" w14:textId="77777777" w:rsidR="00C87438" w:rsidRPr="007B6255" w:rsidRDefault="00C87438" w:rsidP="007B6255">
            <w:pPr>
              <w:spacing w:after="0" w:line="240" w:lineRule="auto"/>
              <w:jc w:val="center"/>
              <w:rPr>
                <w:rFonts w:ascii="Century Gothic" w:eastAsia="Calibri" w:hAnsi="Century Gothic"/>
              </w:rPr>
            </w:pPr>
          </w:p>
        </w:tc>
        <w:tc>
          <w:tcPr>
            <w:tcW w:w="492" w:type="dxa"/>
            <w:tcBorders>
              <w:top w:val="nil"/>
              <w:left w:val="nil"/>
              <w:bottom w:val="nil"/>
              <w:right w:val="nil"/>
            </w:tcBorders>
            <w:shd w:val="clear" w:color="auto" w:fill="E8E8E8"/>
            <w:vAlign w:val="center"/>
            <w:hideMark/>
          </w:tcPr>
          <w:p w14:paraId="69CCC0C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0D1" w14:textId="77777777" w:rsidTr="00E67C45">
        <w:trPr>
          <w:tblCellSpacing w:w="28" w:type="dxa"/>
          <w:jc w:val="center"/>
        </w:trPr>
        <w:tc>
          <w:tcPr>
            <w:tcW w:w="9993" w:type="dxa"/>
            <w:gridSpan w:val="18"/>
            <w:shd w:val="clear" w:color="auto" w:fill="auto"/>
            <w:vAlign w:val="center"/>
            <w:hideMark/>
          </w:tcPr>
          <w:p w14:paraId="69CCC0D0"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Aboriginal and Torres Strait Islander heritage</w:t>
            </w:r>
          </w:p>
        </w:tc>
      </w:tr>
      <w:tr w:rsidR="00C87438" w:rsidRPr="007B6255" w14:paraId="69CCC0E4"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D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Cultural practices, observances, customs and lore</w:t>
            </w:r>
          </w:p>
        </w:tc>
        <w:tc>
          <w:tcPr>
            <w:tcW w:w="278" w:type="dxa"/>
            <w:tcBorders>
              <w:top w:val="nil"/>
              <w:left w:val="nil"/>
              <w:bottom w:val="nil"/>
              <w:right w:val="nil"/>
            </w:tcBorders>
            <w:shd w:val="clear" w:color="auto" w:fill="E8E8E8"/>
            <w:vAlign w:val="center"/>
          </w:tcPr>
          <w:p w14:paraId="69CCC0D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C0D4"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D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0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D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D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D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D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D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D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D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D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D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E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E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E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C0E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0F7"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E5" w14:textId="77777777" w:rsidR="00C87438" w:rsidRPr="007B6255" w:rsidRDefault="00C87438" w:rsidP="007B6255">
            <w:pPr>
              <w:keepNext/>
              <w:keepLines/>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Sacred sites, sites of particular significance, places important for cultural tradition </w:t>
            </w:r>
          </w:p>
        </w:tc>
        <w:tc>
          <w:tcPr>
            <w:tcW w:w="278" w:type="dxa"/>
            <w:tcBorders>
              <w:top w:val="nil"/>
              <w:left w:val="nil"/>
              <w:bottom w:val="nil"/>
              <w:right w:val="nil"/>
            </w:tcBorders>
            <w:shd w:val="clear" w:color="auto" w:fill="E8E8E8"/>
            <w:vAlign w:val="center"/>
          </w:tcPr>
          <w:p w14:paraId="69CCC0E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C0E7"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E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0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E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E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E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E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E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E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F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F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F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F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F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0F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C0F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10A"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0F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Stories, songlines, totems and languages</w:t>
            </w:r>
          </w:p>
        </w:tc>
        <w:tc>
          <w:tcPr>
            <w:tcW w:w="278" w:type="dxa"/>
            <w:tcBorders>
              <w:top w:val="nil"/>
              <w:left w:val="nil"/>
              <w:bottom w:val="nil"/>
              <w:right w:val="nil"/>
            </w:tcBorders>
            <w:shd w:val="clear" w:color="auto" w:fill="E8E8E8"/>
            <w:vAlign w:val="center"/>
          </w:tcPr>
          <w:p w14:paraId="69CCC0F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9CCC0FA" w14:textId="77777777" w:rsidR="00C87438" w:rsidRPr="007B6255" w:rsidRDefault="00C87438" w:rsidP="007B6255">
            <w:pPr>
              <w:spacing w:after="0" w:line="240" w:lineRule="auto"/>
              <w:jc w:val="center"/>
              <w:rPr>
                <w:rFonts w:ascii="Century Gothic" w:eastAsia="Calibri" w:hAnsi="Century Gothic"/>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0F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0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0F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0F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0F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10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0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C10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11D"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0B" w14:textId="77777777" w:rsidR="00C87438" w:rsidRPr="007B6255" w:rsidRDefault="00C87438" w:rsidP="007B6255">
            <w:pPr>
              <w:keepNext/>
              <w:keepLines/>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Indigenous structures, technology, tools and archaeology </w:t>
            </w:r>
          </w:p>
        </w:tc>
        <w:tc>
          <w:tcPr>
            <w:tcW w:w="278" w:type="dxa"/>
            <w:tcBorders>
              <w:top w:val="nil"/>
              <w:left w:val="nil"/>
              <w:bottom w:val="nil"/>
              <w:right w:val="nil"/>
            </w:tcBorders>
            <w:shd w:val="clear" w:color="auto" w:fill="E8E8E8"/>
            <w:vAlign w:val="center"/>
          </w:tcPr>
          <w:p w14:paraId="69CCC10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0D" w14:textId="77777777" w:rsidR="00C87438" w:rsidRPr="007B6255" w:rsidRDefault="00C87438" w:rsidP="007B6255">
            <w:pPr>
              <w:spacing w:after="0" w:line="240" w:lineRule="auto"/>
              <w:jc w:val="center"/>
              <w:rPr>
                <w:rFonts w:ascii="Century Gothic" w:eastAsia="Calibri" w:hAnsi="Century Gothic" w:cs="Arial"/>
                <w:sz w:val="20"/>
                <w:szCs w:val="20"/>
              </w:rPr>
            </w:pPr>
            <w:r w:rsidRPr="007B6255">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69CCC10E" w14:textId="77777777" w:rsidR="00C87438" w:rsidRPr="007B6255" w:rsidRDefault="00C87438" w:rsidP="007B6255">
            <w:pPr>
              <w:spacing w:after="0" w:line="240" w:lineRule="auto"/>
              <w:jc w:val="center"/>
              <w:rPr>
                <w:rFonts w:ascii="Century Gothic" w:eastAsia="Calibri" w:hAnsi="Century Gothic" w:cs="Arial"/>
                <w:sz w:val="20"/>
                <w:szCs w:val="20"/>
              </w:rPr>
            </w:pPr>
          </w:p>
        </w:tc>
        <w:tc>
          <w:tcPr>
            <w:tcW w:w="279" w:type="dxa"/>
            <w:tcBorders>
              <w:top w:val="nil"/>
              <w:left w:val="nil"/>
              <w:bottom w:val="nil"/>
              <w:right w:val="nil"/>
            </w:tcBorders>
            <w:shd w:val="clear" w:color="auto" w:fill="E8E8E8"/>
            <w:vAlign w:val="center"/>
          </w:tcPr>
          <w:p w14:paraId="69CCC10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9CCC11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11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1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11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1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1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1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1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1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C11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11F" w14:textId="77777777" w:rsidTr="00E67C45">
        <w:trPr>
          <w:tblCellSpacing w:w="28" w:type="dxa"/>
          <w:jc w:val="center"/>
        </w:trPr>
        <w:tc>
          <w:tcPr>
            <w:tcW w:w="9993" w:type="dxa"/>
            <w:gridSpan w:val="18"/>
            <w:shd w:val="clear" w:color="auto" w:fill="auto"/>
            <w:vAlign w:val="center"/>
            <w:hideMark/>
          </w:tcPr>
          <w:p w14:paraId="69CCC11E"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Historic heritage</w:t>
            </w:r>
          </w:p>
        </w:tc>
      </w:tr>
      <w:tr w:rsidR="00C87438" w:rsidRPr="007B6255" w14:paraId="69CCC132"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2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Places of historic significance — historic shipwrecks</w:t>
            </w:r>
          </w:p>
        </w:tc>
        <w:tc>
          <w:tcPr>
            <w:tcW w:w="278" w:type="dxa"/>
            <w:tcBorders>
              <w:top w:val="nil"/>
              <w:left w:val="nil"/>
              <w:bottom w:val="nil"/>
              <w:right w:val="nil"/>
            </w:tcBorders>
            <w:shd w:val="clear" w:color="auto" w:fill="E8E8E8"/>
            <w:vAlign w:val="center"/>
          </w:tcPr>
          <w:p w14:paraId="69CCC12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2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2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2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2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2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2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2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2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2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2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2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2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2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2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3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31"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145"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3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Places of historic significance — World War II features and sites </w:t>
            </w:r>
          </w:p>
        </w:tc>
        <w:tc>
          <w:tcPr>
            <w:tcW w:w="278" w:type="dxa"/>
            <w:tcBorders>
              <w:top w:val="nil"/>
              <w:left w:val="nil"/>
              <w:bottom w:val="nil"/>
              <w:right w:val="nil"/>
            </w:tcBorders>
            <w:shd w:val="clear" w:color="auto" w:fill="E8E8E8"/>
            <w:vAlign w:val="center"/>
          </w:tcPr>
          <w:p w14:paraId="69CCC13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3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3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3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3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3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3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3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3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3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3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4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4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4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44"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158"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4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Places of historic significance — lightstations </w:t>
            </w:r>
          </w:p>
        </w:tc>
        <w:tc>
          <w:tcPr>
            <w:tcW w:w="278" w:type="dxa"/>
            <w:tcBorders>
              <w:top w:val="nil"/>
              <w:left w:val="nil"/>
              <w:bottom w:val="nil"/>
              <w:right w:val="nil"/>
            </w:tcBorders>
            <w:shd w:val="clear" w:color="auto" w:fill="E8E8E8"/>
            <w:vAlign w:val="center"/>
          </w:tcPr>
          <w:p w14:paraId="69CCC14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4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4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4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4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4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4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4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5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5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5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5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5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57"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16B"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5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Places of historic significance — other </w:t>
            </w:r>
          </w:p>
        </w:tc>
        <w:tc>
          <w:tcPr>
            <w:tcW w:w="278" w:type="dxa"/>
            <w:tcBorders>
              <w:top w:val="nil"/>
              <w:left w:val="nil"/>
              <w:bottom w:val="nil"/>
              <w:right w:val="nil"/>
            </w:tcBorders>
            <w:shd w:val="clear" w:color="auto" w:fill="E8E8E8"/>
            <w:vAlign w:val="center"/>
          </w:tcPr>
          <w:p w14:paraId="69CCC15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5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5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5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5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5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6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6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6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6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6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6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6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C16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17E"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6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Places of scientific significance (research stations, expedition sites)</w:t>
            </w:r>
          </w:p>
        </w:tc>
        <w:tc>
          <w:tcPr>
            <w:tcW w:w="278" w:type="dxa"/>
            <w:tcBorders>
              <w:top w:val="nil"/>
              <w:left w:val="nil"/>
              <w:bottom w:val="nil"/>
              <w:right w:val="nil"/>
            </w:tcBorders>
            <w:shd w:val="clear" w:color="auto" w:fill="E8E8E8"/>
            <w:vAlign w:val="center"/>
          </w:tcPr>
          <w:p w14:paraId="69CCC16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7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7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7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7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7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7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7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7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7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7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7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7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7D"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191"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7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Places of social significance — iconic sites</w:t>
            </w:r>
          </w:p>
        </w:tc>
        <w:tc>
          <w:tcPr>
            <w:tcW w:w="278" w:type="dxa"/>
            <w:tcBorders>
              <w:top w:val="nil"/>
              <w:left w:val="nil"/>
              <w:bottom w:val="nil"/>
              <w:right w:val="nil"/>
            </w:tcBorders>
            <w:shd w:val="clear" w:color="auto" w:fill="E8E8E8"/>
            <w:vAlign w:val="center"/>
          </w:tcPr>
          <w:p w14:paraId="69CCC18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8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8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8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8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8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8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8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8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8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8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8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8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8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90"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193" w14:textId="77777777" w:rsidTr="00E67C45">
        <w:trPr>
          <w:tblCellSpacing w:w="28" w:type="dxa"/>
          <w:jc w:val="center"/>
        </w:trPr>
        <w:tc>
          <w:tcPr>
            <w:tcW w:w="9993" w:type="dxa"/>
            <w:gridSpan w:val="18"/>
            <w:shd w:val="clear" w:color="auto" w:fill="auto"/>
            <w:vAlign w:val="center"/>
            <w:hideMark/>
          </w:tcPr>
          <w:p w14:paraId="69CCC192"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Community benefits of the environment</w:t>
            </w:r>
          </w:p>
        </w:tc>
      </w:tr>
      <w:tr w:rsidR="00C87438" w:rsidRPr="007B6255" w14:paraId="69CCC1A6"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9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Income</w:t>
            </w:r>
          </w:p>
        </w:tc>
        <w:tc>
          <w:tcPr>
            <w:tcW w:w="278" w:type="dxa"/>
            <w:tcBorders>
              <w:top w:val="nil"/>
              <w:left w:val="nil"/>
              <w:bottom w:val="nil"/>
              <w:right w:val="nil"/>
            </w:tcBorders>
            <w:shd w:val="clear" w:color="auto" w:fill="E8E8E8"/>
            <w:vAlign w:val="center"/>
          </w:tcPr>
          <w:p w14:paraId="69CCC19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9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9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9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9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9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9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9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9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9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A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A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A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A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A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C1A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1B9"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A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Employment</w:t>
            </w:r>
          </w:p>
        </w:tc>
        <w:tc>
          <w:tcPr>
            <w:tcW w:w="278" w:type="dxa"/>
            <w:tcBorders>
              <w:top w:val="nil"/>
              <w:left w:val="nil"/>
              <w:bottom w:val="nil"/>
              <w:right w:val="nil"/>
            </w:tcBorders>
            <w:shd w:val="clear" w:color="auto" w:fill="E8E8E8"/>
            <w:vAlign w:val="center"/>
          </w:tcPr>
          <w:p w14:paraId="69CCC1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A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A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A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A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A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A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A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B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B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B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B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B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B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B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hideMark/>
          </w:tcPr>
          <w:p w14:paraId="69CCC1B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1CC"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B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Understanding </w:t>
            </w:r>
          </w:p>
        </w:tc>
        <w:tc>
          <w:tcPr>
            <w:tcW w:w="278" w:type="dxa"/>
            <w:tcBorders>
              <w:top w:val="nil"/>
              <w:left w:val="nil"/>
              <w:bottom w:val="nil"/>
              <w:right w:val="nil"/>
            </w:tcBorders>
            <w:shd w:val="clear" w:color="auto" w:fill="E8E8E8"/>
            <w:vAlign w:val="center"/>
          </w:tcPr>
          <w:p w14:paraId="69CCC1B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B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B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B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B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C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C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C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C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C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C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C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C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CB"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1DF"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C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Appreciation</w:t>
            </w:r>
          </w:p>
        </w:tc>
        <w:tc>
          <w:tcPr>
            <w:tcW w:w="278" w:type="dxa"/>
            <w:tcBorders>
              <w:top w:val="nil"/>
              <w:left w:val="nil"/>
              <w:bottom w:val="nil"/>
              <w:right w:val="nil"/>
            </w:tcBorders>
            <w:shd w:val="clear" w:color="auto" w:fill="E8E8E8"/>
            <w:vAlign w:val="center"/>
          </w:tcPr>
          <w:p w14:paraId="69CCC1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C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D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C1D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D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D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D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1D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D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D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D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D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D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D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D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1F2"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E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Enjoyment</w:t>
            </w:r>
          </w:p>
        </w:tc>
        <w:tc>
          <w:tcPr>
            <w:tcW w:w="278" w:type="dxa"/>
            <w:tcBorders>
              <w:top w:val="nil"/>
              <w:left w:val="nil"/>
              <w:bottom w:val="nil"/>
              <w:right w:val="nil"/>
            </w:tcBorders>
            <w:shd w:val="clear" w:color="auto" w:fill="E8E8E8"/>
            <w:vAlign w:val="center"/>
          </w:tcPr>
          <w:p w14:paraId="69CCC1E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E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E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C1E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E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E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E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1E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E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E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E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E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E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F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1F1"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05"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1F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Access to Reef resources</w:t>
            </w:r>
          </w:p>
        </w:tc>
        <w:tc>
          <w:tcPr>
            <w:tcW w:w="278" w:type="dxa"/>
            <w:tcBorders>
              <w:top w:val="nil"/>
              <w:left w:val="nil"/>
              <w:bottom w:val="nil"/>
              <w:right w:val="nil"/>
            </w:tcBorders>
            <w:shd w:val="clear" w:color="auto" w:fill="E8E8E8"/>
            <w:vAlign w:val="center"/>
          </w:tcPr>
          <w:p w14:paraId="69CCC1F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F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1F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F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1F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F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F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1F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1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F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1F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0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0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0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0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204"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18"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20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Personal connection</w:t>
            </w:r>
          </w:p>
        </w:tc>
        <w:tc>
          <w:tcPr>
            <w:tcW w:w="278" w:type="dxa"/>
            <w:tcBorders>
              <w:top w:val="nil"/>
              <w:left w:val="nil"/>
              <w:bottom w:val="nil"/>
              <w:right w:val="nil"/>
            </w:tcBorders>
            <w:shd w:val="clear" w:color="auto" w:fill="E8E8E8"/>
            <w:vAlign w:val="center"/>
          </w:tcPr>
          <w:p w14:paraId="69CCC20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20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20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20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20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20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0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20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0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1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1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1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1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1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1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217"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2B"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21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Health benefits</w:t>
            </w:r>
          </w:p>
        </w:tc>
        <w:tc>
          <w:tcPr>
            <w:tcW w:w="278" w:type="dxa"/>
            <w:tcBorders>
              <w:top w:val="nil"/>
              <w:left w:val="nil"/>
              <w:bottom w:val="nil"/>
              <w:right w:val="nil"/>
            </w:tcBorders>
            <w:shd w:val="clear" w:color="auto" w:fill="E8E8E8"/>
            <w:vAlign w:val="center"/>
          </w:tcPr>
          <w:p w14:paraId="69CCC2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21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21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21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21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21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2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9CCC22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2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2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2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2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2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2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2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CC22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492" w:type="dxa"/>
            <w:tcBorders>
              <w:top w:val="nil"/>
              <w:left w:val="nil"/>
              <w:bottom w:val="nil"/>
              <w:right w:val="nil"/>
            </w:tcBorders>
            <w:shd w:val="clear" w:color="auto" w:fill="E8E8E8"/>
            <w:vAlign w:val="center"/>
          </w:tcPr>
          <w:p w14:paraId="69CCC22A"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3E" w14:textId="77777777" w:rsidTr="00E67C45">
        <w:trPr>
          <w:tblCellSpacing w:w="28" w:type="dxa"/>
          <w:jc w:val="center"/>
        </w:trPr>
        <w:tc>
          <w:tcPr>
            <w:tcW w:w="4077" w:type="dxa"/>
            <w:tcBorders>
              <w:top w:val="nil"/>
              <w:left w:val="nil"/>
              <w:bottom w:val="nil"/>
              <w:right w:val="nil"/>
            </w:tcBorders>
            <w:shd w:val="clear" w:color="auto" w:fill="D9D9D9"/>
            <w:vAlign w:val="center"/>
            <w:hideMark/>
          </w:tcPr>
          <w:p w14:paraId="69CCC22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Aesthetics </w:t>
            </w:r>
          </w:p>
        </w:tc>
        <w:tc>
          <w:tcPr>
            <w:tcW w:w="278" w:type="dxa"/>
            <w:tcBorders>
              <w:top w:val="nil"/>
              <w:left w:val="nil"/>
              <w:bottom w:val="nil"/>
              <w:right w:val="nil"/>
            </w:tcBorders>
            <w:shd w:val="clear" w:color="auto" w:fill="E8E8E8"/>
            <w:vAlign w:val="center"/>
          </w:tcPr>
          <w:p w14:paraId="69CCC22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22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CCC22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CCC23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CCC23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23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CCC23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CCC23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492" w:type="dxa"/>
            <w:tcBorders>
              <w:top w:val="nil"/>
              <w:left w:val="nil"/>
              <w:bottom w:val="nil"/>
              <w:right w:val="nil"/>
            </w:tcBorders>
            <w:shd w:val="clear" w:color="auto" w:fill="E8E8E8"/>
            <w:vAlign w:val="center"/>
            <w:hideMark/>
          </w:tcPr>
          <w:p w14:paraId="69CCC23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bl>
    <w:p w14:paraId="69CCC23F" w14:textId="77777777" w:rsidR="00C87438" w:rsidRPr="00C87438" w:rsidRDefault="00C87438" w:rsidP="00C87438">
      <w:pPr>
        <w:rPr>
          <w:rFonts w:ascii="Calibri" w:eastAsia="Calibri" w:hAnsi="Calibri" w:cs="Arial"/>
        </w:rPr>
      </w:pPr>
    </w:p>
    <w:p w14:paraId="69CCC240" w14:textId="77777777" w:rsidR="00C87438" w:rsidRPr="00C87438" w:rsidRDefault="00C87438" w:rsidP="00C87438">
      <w:pPr>
        <w:rPr>
          <w:rFonts w:ascii="Calibri" w:eastAsia="Calibri" w:hAnsi="Calibri" w:cs="Arial"/>
        </w:rPr>
      </w:pPr>
      <w:r w:rsidRPr="00C87438">
        <w:rPr>
          <w:rFonts w:ascii="Calibri" w:eastAsia="Calibri" w:hAnsi="Calibri" w:cs="Arial"/>
        </w:rPr>
        <w:br w:type="page"/>
      </w:r>
    </w:p>
    <w:tbl>
      <w:tblPr>
        <w:tblW w:w="9594" w:type="dxa"/>
        <w:jc w:val="center"/>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9594"/>
      </w:tblGrid>
      <w:tr w:rsidR="00C87438" w:rsidRPr="007B6255" w14:paraId="69CCC243" w14:textId="77777777" w:rsidTr="007B6255">
        <w:trPr>
          <w:cantSplit/>
          <w:trHeight w:val="1134"/>
          <w:tblHeader/>
          <w:jc w:val="center"/>
        </w:trPr>
        <w:tc>
          <w:tcPr>
            <w:tcW w:w="9594" w:type="dxa"/>
            <w:shd w:val="clear" w:color="auto" w:fill="59534D"/>
            <w:vAlign w:val="center"/>
          </w:tcPr>
          <w:p w14:paraId="69CCC241" w14:textId="77777777" w:rsidR="00C87438" w:rsidRPr="007B6255" w:rsidRDefault="00C87438" w:rsidP="007B6255">
            <w:pPr>
              <w:keepNext/>
              <w:spacing w:after="60" w:line="240" w:lineRule="auto"/>
              <w:rPr>
                <w:rFonts w:ascii="Century Gothic" w:eastAsia="Calibri" w:hAnsi="Century Gothic" w:cs="Arial"/>
                <w:b/>
                <w:bCs/>
                <w:color w:val="FFFFFF"/>
                <w:sz w:val="18"/>
                <w:szCs w:val="18"/>
                <w:lang w:eastAsia="en-AU"/>
              </w:rPr>
            </w:pPr>
            <w:bookmarkStart w:id="25" w:name="_Ref356828078"/>
            <w:r w:rsidRPr="007B6255">
              <w:rPr>
                <w:rFonts w:ascii="Century Gothic" w:eastAsia="Calibri" w:hAnsi="Century Gothic"/>
                <w:b/>
                <w:bCs/>
                <w:color w:val="FFFFFF"/>
                <w:sz w:val="18"/>
                <w:szCs w:val="18"/>
                <w:lang w:eastAsia="en-AU"/>
              </w:rPr>
              <w:t xml:space="preserve">Table </w:t>
            </w:r>
            <w:bookmarkEnd w:id="25"/>
            <w:r w:rsidRPr="007B6255">
              <w:rPr>
                <w:rFonts w:ascii="Century Gothic" w:eastAsia="Calibri" w:hAnsi="Century Gothic"/>
                <w:b/>
                <w:bCs/>
                <w:color w:val="FFFFFF"/>
                <w:sz w:val="18"/>
                <w:szCs w:val="18"/>
                <w:lang w:eastAsia="en-AU"/>
              </w:rPr>
              <w:t>A3.3 Key e</w:t>
            </w:r>
            <w:r w:rsidRPr="007B6255">
              <w:rPr>
                <w:rFonts w:ascii="Century Gothic" w:eastAsia="Calibri" w:hAnsi="Century Gothic" w:cs="Arial"/>
                <w:b/>
                <w:bCs/>
                <w:color w:val="FFFFFF"/>
                <w:sz w:val="18"/>
                <w:szCs w:val="18"/>
                <w:lang w:eastAsia="en-AU"/>
              </w:rPr>
              <w:t>nvironmental processes relevant to matters of national environmental significance</w:t>
            </w:r>
          </w:p>
          <w:p w14:paraId="69CCC242" w14:textId="511088D6" w:rsidR="00C87438" w:rsidRPr="007B6255" w:rsidRDefault="00C87438" w:rsidP="009D522E">
            <w:pPr>
              <w:spacing w:after="60" w:line="240" w:lineRule="auto"/>
              <w:rPr>
                <w:rFonts w:ascii="Arial" w:eastAsia="Calibri" w:hAnsi="Arial"/>
                <w:color w:val="FFFFFF"/>
                <w:sz w:val="18"/>
                <w:szCs w:val="18"/>
                <w:lang w:eastAsia="en-AU"/>
              </w:rPr>
            </w:pPr>
            <w:r w:rsidRPr="007B6255">
              <w:rPr>
                <w:rFonts w:ascii="Century Gothic" w:eastAsia="Calibri" w:hAnsi="Century Gothic"/>
                <w:color w:val="FFFFFF"/>
                <w:sz w:val="18"/>
                <w:szCs w:val="18"/>
                <w:lang w:eastAsia="en-AU"/>
              </w:rPr>
              <w:t>For the World Heritage Area, connections are based on the Statement of Outstanding Universal Value. For listed species, processes that have a major supporting role in maintaining the species are shown (for example, the role that beaches play in the nesting of listed marine turtles). For wetlands of international importance, the connections shown are those discussed in the Ramsar Convention information sheet.</w:t>
            </w:r>
            <w:r w:rsidRPr="007B6255">
              <w:rPr>
                <w:rFonts w:ascii="Arial" w:eastAsia="Calibri" w:hAnsi="Arial"/>
                <w:color w:val="FFFFFF"/>
                <w:sz w:val="18"/>
                <w:szCs w:val="18"/>
                <w:lang w:eastAsia="en-AU"/>
              </w:rPr>
              <w:t xml:space="preserve"> </w:t>
            </w:r>
          </w:p>
        </w:tc>
      </w:tr>
    </w:tbl>
    <w:p w14:paraId="69CCC244" w14:textId="77777777" w:rsidR="00C87438" w:rsidRPr="00C87438" w:rsidRDefault="00C87438" w:rsidP="00C87438">
      <w:pPr>
        <w:spacing w:after="0"/>
        <w:rPr>
          <w:rFonts w:ascii="Calibri" w:eastAsia="Calibri" w:hAnsi="Calibri"/>
          <w:sz w:val="4"/>
          <w:szCs w:val="4"/>
        </w:rPr>
      </w:pPr>
    </w:p>
    <w:tbl>
      <w:tblPr>
        <w:tblW w:w="9582"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3315"/>
        <w:gridCol w:w="367"/>
        <w:gridCol w:w="367"/>
        <w:gridCol w:w="367"/>
        <w:gridCol w:w="367"/>
        <w:gridCol w:w="367"/>
        <w:gridCol w:w="367"/>
        <w:gridCol w:w="367"/>
        <w:gridCol w:w="367"/>
        <w:gridCol w:w="367"/>
        <w:gridCol w:w="367"/>
        <w:gridCol w:w="367"/>
        <w:gridCol w:w="367"/>
        <w:gridCol w:w="367"/>
        <w:gridCol w:w="367"/>
        <w:gridCol w:w="367"/>
        <w:gridCol w:w="367"/>
        <w:gridCol w:w="395"/>
      </w:tblGrid>
      <w:tr w:rsidR="00C87438" w:rsidRPr="007B6255" w14:paraId="69CCC24D" w14:textId="77777777" w:rsidTr="007B6255">
        <w:trPr>
          <w:trHeight w:val="352"/>
          <w:tblHeader/>
          <w:tblCellSpacing w:w="28" w:type="dxa"/>
          <w:jc w:val="center"/>
        </w:trPr>
        <w:tc>
          <w:tcPr>
            <w:tcW w:w="3231" w:type="dxa"/>
            <w:tcBorders>
              <w:top w:val="nil"/>
              <w:left w:val="nil"/>
              <w:bottom w:val="nil"/>
              <w:right w:val="nil"/>
            </w:tcBorders>
            <w:shd w:val="clear" w:color="auto" w:fill="auto"/>
            <w:vAlign w:val="bottom"/>
          </w:tcPr>
          <w:p w14:paraId="69CCC245" w14:textId="77777777" w:rsidR="00C87438" w:rsidRPr="007B6255" w:rsidRDefault="00C87438" w:rsidP="007B6255">
            <w:pPr>
              <w:spacing w:after="0" w:line="240" w:lineRule="auto"/>
              <w:rPr>
                <w:rFonts w:ascii="Century Gothic" w:eastAsia="Calibri" w:hAnsi="Century Gothic" w:cs="Arial"/>
                <w:b/>
                <w:sz w:val="16"/>
                <w:szCs w:val="16"/>
              </w:rPr>
            </w:pPr>
          </w:p>
        </w:tc>
        <w:tc>
          <w:tcPr>
            <w:tcW w:w="1779" w:type="dxa"/>
            <w:gridSpan w:val="5"/>
            <w:tcBorders>
              <w:top w:val="single" w:sz="2" w:space="0" w:color="59534D"/>
              <w:left w:val="single" w:sz="2" w:space="0" w:color="59534D"/>
              <w:bottom w:val="nil"/>
              <w:right w:val="single" w:sz="2" w:space="0" w:color="59534D"/>
            </w:tcBorders>
            <w:shd w:val="clear" w:color="auto" w:fill="auto"/>
            <w:vAlign w:val="center"/>
            <w:hideMark/>
          </w:tcPr>
          <w:p w14:paraId="69CCC246"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World heritage properties</w:t>
            </w:r>
          </w:p>
        </w:tc>
        <w:tc>
          <w:tcPr>
            <w:tcW w:w="311" w:type="dxa"/>
            <w:tcBorders>
              <w:top w:val="nil"/>
              <w:left w:val="nil"/>
              <w:bottom w:val="nil"/>
              <w:right w:val="nil"/>
            </w:tcBorders>
            <w:shd w:val="clear" w:color="auto" w:fill="auto"/>
            <w:textDirection w:val="btLr"/>
            <w:vAlign w:val="center"/>
          </w:tcPr>
          <w:p w14:paraId="69CCC247" w14:textId="77777777" w:rsidR="00C87438" w:rsidRPr="007B6255" w:rsidRDefault="00C87438" w:rsidP="007B6255">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69CCC248" w14:textId="77777777" w:rsidR="00C87438" w:rsidRPr="007B6255" w:rsidRDefault="00C87438" w:rsidP="007B6255">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69CCC249" w14:textId="77777777" w:rsidR="00C87438" w:rsidRPr="007B6255" w:rsidRDefault="00C87438" w:rsidP="007B6255">
            <w:pPr>
              <w:spacing w:after="0" w:line="240" w:lineRule="auto"/>
              <w:rPr>
                <w:rFonts w:ascii="Century Gothic" w:eastAsia="Calibri" w:hAnsi="Century Gothic" w:cs="Arial"/>
                <w:b/>
                <w:sz w:val="16"/>
                <w:szCs w:val="16"/>
              </w:rPr>
            </w:pPr>
          </w:p>
        </w:tc>
        <w:tc>
          <w:tcPr>
            <w:tcW w:w="2880" w:type="dxa"/>
            <w:gridSpan w:val="8"/>
            <w:tcBorders>
              <w:top w:val="single" w:sz="2" w:space="0" w:color="59534D"/>
              <w:left w:val="single" w:sz="2" w:space="0" w:color="59534D"/>
              <w:bottom w:val="nil"/>
              <w:right w:val="single" w:sz="2" w:space="0" w:color="59534D"/>
            </w:tcBorders>
            <w:shd w:val="clear" w:color="auto" w:fill="auto"/>
            <w:vAlign w:val="center"/>
            <w:hideMark/>
          </w:tcPr>
          <w:p w14:paraId="69CCC24A"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Listed migratory and</w:t>
            </w:r>
          </w:p>
          <w:p w14:paraId="69CCC24B" w14:textId="77777777" w:rsidR="00C87438" w:rsidRPr="007B6255" w:rsidRDefault="00C87438" w:rsidP="007B6255">
            <w:pPr>
              <w:spacing w:after="0" w:line="240" w:lineRule="auto"/>
              <w:jc w:val="center"/>
              <w:rPr>
                <w:rFonts w:ascii="Century Gothic" w:eastAsia="Calibri" w:hAnsi="Century Gothic" w:cs="Arial"/>
                <w:b/>
                <w:sz w:val="16"/>
                <w:szCs w:val="16"/>
              </w:rPr>
            </w:pPr>
            <w:r w:rsidRPr="007B6255">
              <w:rPr>
                <w:rFonts w:ascii="Century Gothic" w:eastAsia="Calibri" w:hAnsi="Century Gothic" w:cs="Arial"/>
                <w:b/>
                <w:sz w:val="16"/>
                <w:szCs w:val="16"/>
              </w:rPr>
              <w:t>threatened species</w:t>
            </w:r>
          </w:p>
        </w:tc>
        <w:tc>
          <w:tcPr>
            <w:tcW w:w="311" w:type="dxa"/>
            <w:tcBorders>
              <w:top w:val="nil"/>
              <w:left w:val="nil"/>
              <w:bottom w:val="nil"/>
              <w:right w:val="nil"/>
            </w:tcBorders>
            <w:shd w:val="clear" w:color="auto" w:fill="auto"/>
            <w:textDirection w:val="btLr"/>
            <w:vAlign w:val="center"/>
          </w:tcPr>
          <w:p w14:paraId="69CCC24C" w14:textId="77777777" w:rsidR="00C87438" w:rsidRPr="007B6255" w:rsidRDefault="00C87438" w:rsidP="007B6255">
            <w:pPr>
              <w:spacing w:after="0" w:line="240" w:lineRule="auto"/>
              <w:rPr>
                <w:rFonts w:ascii="Century Gothic" w:eastAsia="Calibri" w:hAnsi="Century Gothic" w:cs="Arial"/>
                <w:b/>
                <w:sz w:val="16"/>
                <w:szCs w:val="16"/>
              </w:rPr>
            </w:pPr>
          </w:p>
        </w:tc>
      </w:tr>
      <w:tr w:rsidR="00C87438" w:rsidRPr="007B6255" w14:paraId="69CCC260" w14:textId="77777777" w:rsidTr="007B6255">
        <w:trPr>
          <w:cantSplit/>
          <w:trHeight w:val="2948"/>
          <w:tblHeader/>
          <w:tblCellSpacing w:w="28" w:type="dxa"/>
          <w:jc w:val="center"/>
        </w:trPr>
        <w:tc>
          <w:tcPr>
            <w:tcW w:w="3231" w:type="dxa"/>
            <w:tcBorders>
              <w:top w:val="nil"/>
              <w:left w:val="nil"/>
              <w:bottom w:val="nil"/>
              <w:right w:val="nil"/>
            </w:tcBorders>
            <w:shd w:val="clear" w:color="auto" w:fill="D9D9D9"/>
            <w:tcMar>
              <w:left w:w="57" w:type="dxa"/>
              <w:bottom w:w="57" w:type="dxa"/>
              <w:right w:w="28" w:type="dxa"/>
            </w:tcMar>
            <w:vAlign w:val="bottom"/>
            <w:hideMark/>
          </w:tcPr>
          <w:p w14:paraId="69CCC24E" w14:textId="77777777" w:rsidR="00C87438" w:rsidRPr="007B6255" w:rsidRDefault="00C87438" w:rsidP="007B6255">
            <w:pPr>
              <w:spacing w:after="0" w:line="240" w:lineRule="auto"/>
              <w:rPr>
                <w:rFonts w:ascii="Century Gothic" w:eastAsia="Calibri" w:hAnsi="Century Gothic" w:cs="Arial"/>
                <w:b/>
                <w:sz w:val="18"/>
                <w:szCs w:val="18"/>
              </w:rPr>
            </w:pPr>
            <w:r w:rsidRPr="007B6255">
              <w:rPr>
                <w:rFonts w:ascii="Century Gothic" w:eastAsia="Calibri" w:hAnsi="Century Gothic" w:cs="Arial"/>
                <w:b/>
                <w:sz w:val="16"/>
                <w:szCs w:val="16"/>
              </w:rPr>
              <w:t>Key environmental processes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69CCC24F"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 (now viii)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0"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 (now ix)</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1"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iii (now vii)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2"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Criterion iv (now x)</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69CCC253"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Integrity</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4"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Great Barrier Reef Marine Park</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5"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National heritage places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6"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Commonwealth marine areas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69CCC257"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Marine turtles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8"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Estuarine crocodiles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9"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Whales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A"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Dolphins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B"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Dugongs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C"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Sharks and rays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D"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Seabirds</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69CCC25E"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Shorebirds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9CCC25F" w14:textId="77777777" w:rsidR="00C87438" w:rsidRPr="007B6255" w:rsidRDefault="00C87438" w:rsidP="007B6255">
            <w:pPr>
              <w:spacing w:after="0" w:line="240" w:lineRule="auto"/>
              <w:rPr>
                <w:rFonts w:ascii="Century Gothic" w:eastAsia="Calibri" w:hAnsi="Century Gothic" w:cs="Arial"/>
                <w:b/>
                <w:sz w:val="16"/>
                <w:szCs w:val="16"/>
              </w:rPr>
            </w:pPr>
            <w:r w:rsidRPr="007B6255">
              <w:rPr>
                <w:rFonts w:ascii="Century Gothic" w:eastAsia="Calibri" w:hAnsi="Century Gothic" w:cs="Arial"/>
                <w:b/>
                <w:sz w:val="16"/>
                <w:szCs w:val="16"/>
              </w:rPr>
              <w:t>Wetlands of international importance</w:t>
            </w:r>
          </w:p>
        </w:tc>
      </w:tr>
      <w:tr w:rsidR="00C87438" w:rsidRPr="007B6255" w14:paraId="69CCC273"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6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Waves, currents and tides </w:t>
            </w:r>
          </w:p>
        </w:tc>
        <w:tc>
          <w:tcPr>
            <w:tcW w:w="311" w:type="dxa"/>
            <w:tcBorders>
              <w:top w:val="nil"/>
              <w:left w:val="nil"/>
              <w:bottom w:val="nil"/>
              <w:right w:val="nil"/>
            </w:tcBorders>
            <w:shd w:val="clear" w:color="auto" w:fill="E8E8E8"/>
            <w:vAlign w:val="center"/>
          </w:tcPr>
          <w:p w14:paraId="69CCC26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6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6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66"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6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6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6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6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6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6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6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7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7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72"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86"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7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Cyclones </w:t>
            </w:r>
          </w:p>
        </w:tc>
        <w:tc>
          <w:tcPr>
            <w:tcW w:w="311" w:type="dxa"/>
            <w:tcBorders>
              <w:top w:val="nil"/>
              <w:left w:val="nil"/>
              <w:bottom w:val="nil"/>
              <w:right w:val="nil"/>
            </w:tcBorders>
            <w:shd w:val="clear" w:color="auto" w:fill="E8E8E8"/>
            <w:vAlign w:val="center"/>
          </w:tcPr>
          <w:p w14:paraId="69CCC27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7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7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7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79"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7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7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7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27D"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27E"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hideMark/>
          </w:tcPr>
          <w:p w14:paraId="69CCC280"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281"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282"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283"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284"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285" w14:textId="77777777" w:rsidR="00C87438" w:rsidRPr="007B6255" w:rsidRDefault="00C87438" w:rsidP="007B6255">
            <w:pPr>
              <w:spacing w:after="0" w:line="240" w:lineRule="auto"/>
              <w:rPr>
                <w:rFonts w:ascii="Century Gothic" w:eastAsia="Calibri" w:hAnsi="Century Gothic"/>
              </w:rPr>
            </w:pPr>
          </w:p>
        </w:tc>
      </w:tr>
      <w:tr w:rsidR="00C87438" w:rsidRPr="007B6255" w14:paraId="69CCC299"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8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Wind</w:t>
            </w:r>
          </w:p>
        </w:tc>
        <w:tc>
          <w:tcPr>
            <w:tcW w:w="311" w:type="dxa"/>
            <w:tcBorders>
              <w:top w:val="nil"/>
              <w:left w:val="nil"/>
              <w:bottom w:val="nil"/>
              <w:right w:val="nil"/>
            </w:tcBorders>
            <w:shd w:val="clear" w:color="auto" w:fill="E8E8E8"/>
            <w:vAlign w:val="center"/>
          </w:tcPr>
          <w:p w14:paraId="69CCC28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8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8C"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8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8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8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9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9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9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9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9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9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9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9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98"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AC"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9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Sedimentation</w:t>
            </w:r>
          </w:p>
        </w:tc>
        <w:tc>
          <w:tcPr>
            <w:tcW w:w="311" w:type="dxa"/>
            <w:tcBorders>
              <w:top w:val="nil"/>
              <w:left w:val="nil"/>
              <w:bottom w:val="nil"/>
              <w:right w:val="nil"/>
            </w:tcBorders>
            <w:shd w:val="clear" w:color="auto" w:fill="E8E8E8"/>
            <w:vAlign w:val="center"/>
          </w:tcPr>
          <w:p w14:paraId="69CCC29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9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9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9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9F"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A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A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A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A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A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A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A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A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A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A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A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2BF"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AD"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 level</w:t>
            </w:r>
          </w:p>
        </w:tc>
        <w:tc>
          <w:tcPr>
            <w:tcW w:w="311" w:type="dxa"/>
            <w:tcBorders>
              <w:top w:val="nil"/>
              <w:left w:val="nil"/>
              <w:bottom w:val="nil"/>
              <w:right w:val="nil"/>
            </w:tcBorders>
            <w:shd w:val="clear" w:color="auto" w:fill="E8E8E8"/>
            <w:vAlign w:val="center"/>
          </w:tcPr>
          <w:p w14:paraId="69CCC2A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A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B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B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B2"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B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B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B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B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B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B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B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B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B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B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2D2"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C0"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Sea temperature</w:t>
            </w:r>
          </w:p>
        </w:tc>
        <w:tc>
          <w:tcPr>
            <w:tcW w:w="311" w:type="dxa"/>
            <w:tcBorders>
              <w:top w:val="nil"/>
              <w:left w:val="nil"/>
              <w:bottom w:val="nil"/>
              <w:right w:val="nil"/>
            </w:tcBorders>
            <w:shd w:val="clear" w:color="auto" w:fill="E8E8E8"/>
            <w:vAlign w:val="center"/>
          </w:tcPr>
          <w:p w14:paraId="69CCC2C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C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C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C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C5"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C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C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C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C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C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C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C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C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C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D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D1"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E5"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D3"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Light</w:t>
            </w:r>
          </w:p>
        </w:tc>
        <w:tc>
          <w:tcPr>
            <w:tcW w:w="311" w:type="dxa"/>
            <w:tcBorders>
              <w:top w:val="nil"/>
              <w:left w:val="nil"/>
              <w:bottom w:val="nil"/>
              <w:right w:val="nil"/>
            </w:tcBorders>
            <w:shd w:val="clear" w:color="auto" w:fill="E8E8E8"/>
            <w:vAlign w:val="center"/>
          </w:tcPr>
          <w:p w14:paraId="69CCC2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D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D8"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D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D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D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D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D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D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D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E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E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E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E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E4"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2F8"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E6"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Nutrient cycling</w:t>
            </w:r>
          </w:p>
        </w:tc>
        <w:tc>
          <w:tcPr>
            <w:tcW w:w="311" w:type="dxa"/>
            <w:tcBorders>
              <w:top w:val="nil"/>
              <w:left w:val="nil"/>
              <w:bottom w:val="nil"/>
              <w:right w:val="nil"/>
            </w:tcBorders>
            <w:shd w:val="clear" w:color="auto" w:fill="E8E8E8"/>
            <w:vAlign w:val="center"/>
          </w:tcPr>
          <w:p w14:paraId="69CCC2E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E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E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E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EB"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E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E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E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E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2F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30B"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2F9"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Ocean acidity</w:t>
            </w:r>
          </w:p>
        </w:tc>
        <w:tc>
          <w:tcPr>
            <w:tcW w:w="311" w:type="dxa"/>
            <w:tcBorders>
              <w:top w:val="nil"/>
              <w:left w:val="nil"/>
              <w:bottom w:val="nil"/>
              <w:right w:val="nil"/>
            </w:tcBorders>
            <w:shd w:val="clear" w:color="auto" w:fill="E8E8E8"/>
            <w:vAlign w:val="center"/>
          </w:tcPr>
          <w:p w14:paraId="69CCC2F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2F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2F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2FE"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2F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0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0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0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A"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1E"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0C"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Freshwater inflow and salinity</w:t>
            </w:r>
          </w:p>
        </w:tc>
        <w:tc>
          <w:tcPr>
            <w:tcW w:w="311" w:type="dxa"/>
            <w:tcBorders>
              <w:top w:val="nil"/>
              <w:left w:val="nil"/>
              <w:bottom w:val="nil"/>
              <w:right w:val="nil"/>
            </w:tcBorders>
            <w:shd w:val="clear" w:color="auto" w:fill="E8E8E8"/>
            <w:vAlign w:val="center"/>
          </w:tcPr>
          <w:p w14:paraId="69CCC30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0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0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11"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1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1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1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1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1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31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331"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1F"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Microbial processes</w:t>
            </w:r>
          </w:p>
        </w:tc>
        <w:tc>
          <w:tcPr>
            <w:tcW w:w="311" w:type="dxa"/>
            <w:tcBorders>
              <w:top w:val="nil"/>
              <w:left w:val="nil"/>
              <w:bottom w:val="nil"/>
              <w:right w:val="nil"/>
            </w:tcBorders>
            <w:shd w:val="clear" w:color="auto" w:fill="E8E8E8"/>
            <w:vAlign w:val="center"/>
          </w:tcPr>
          <w:p w14:paraId="69CCC32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2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24"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2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2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2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2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2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30"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44"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32"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Particle feeding</w:t>
            </w:r>
          </w:p>
        </w:tc>
        <w:tc>
          <w:tcPr>
            <w:tcW w:w="311" w:type="dxa"/>
            <w:tcBorders>
              <w:top w:val="nil"/>
              <w:left w:val="nil"/>
              <w:bottom w:val="nil"/>
              <w:right w:val="nil"/>
            </w:tcBorders>
            <w:shd w:val="clear" w:color="auto" w:fill="E8E8E8"/>
            <w:vAlign w:val="center"/>
          </w:tcPr>
          <w:p w14:paraId="69CCC33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3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3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3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37"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3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3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3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3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3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3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3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3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4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4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4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43"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57"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45"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 xml:space="preserve">Primary production </w:t>
            </w:r>
          </w:p>
        </w:tc>
        <w:tc>
          <w:tcPr>
            <w:tcW w:w="311" w:type="dxa"/>
            <w:tcBorders>
              <w:top w:val="nil"/>
              <w:left w:val="nil"/>
              <w:bottom w:val="nil"/>
              <w:right w:val="nil"/>
            </w:tcBorders>
            <w:shd w:val="clear" w:color="auto" w:fill="E8E8E8"/>
            <w:vAlign w:val="center"/>
          </w:tcPr>
          <w:p w14:paraId="69CCC34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4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4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4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4A"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4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4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4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4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4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50"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5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35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5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5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35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56"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6A"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58"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Herbivory</w:t>
            </w:r>
          </w:p>
        </w:tc>
        <w:tc>
          <w:tcPr>
            <w:tcW w:w="311" w:type="dxa"/>
            <w:tcBorders>
              <w:top w:val="nil"/>
              <w:left w:val="nil"/>
              <w:bottom w:val="nil"/>
              <w:right w:val="nil"/>
            </w:tcBorders>
            <w:shd w:val="clear" w:color="auto" w:fill="E8E8E8"/>
            <w:vAlign w:val="center"/>
          </w:tcPr>
          <w:p w14:paraId="69CCC35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5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5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5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5D"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5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5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6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6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6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6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6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36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6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6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6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69"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7D"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6B"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Predation</w:t>
            </w:r>
          </w:p>
        </w:tc>
        <w:tc>
          <w:tcPr>
            <w:tcW w:w="311" w:type="dxa"/>
            <w:tcBorders>
              <w:top w:val="nil"/>
              <w:left w:val="nil"/>
              <w:bottom w:val="nil"/>
              <w:right w:val="nil"/>
            </w:tcBorders>
            <w:shd w:val="clear" w:color="auto" w:fill="E8E8E8"/>
            <w:vAlign w:val="center"/>
          </w:tcPr>
          <w:p w14:paraId="69CCC36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6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6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6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70"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7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7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7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74"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75"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76"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77"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78" w14:textId="77777777" w:rsidR="00C87438" w:rsidRPr="007B6255" w:rsidRDefault="00C87438" w:rsidP="007B6255">
            <w:pPr>
              <w:spacing w:after="0" w:line="240" w:lineRule="auto"/>
              <w:rPr>
                <w:rFonts w:ascii="Century Gothic" w:eastAsia="Calibri" w:hAnsi="Century Gothic"/>
              </w:rPr>
            </w:pPr>
          </w:p>
        </w:tc>
        <w:tc>
          <w:tcPr>
            <w:tcW w:w="311" w:type="dxa"/>
            <w:tcBorders>
              <w:top w:val="nil"/>
              <w:left w:val="nil"/>
              <w:bottom w:val="nil"/>
              <w:right w:val="nil"/>
            </w:tcBorders>
            <w:shd w:val="clear" w:color="auto" w:fill="E8E8E8"/>
            <w:hideMark/>
          </w:tcPr>
          <w:p w14:paraId="69CCC379"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7A"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7B"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7C"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90"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7E"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Symbiosis</w:t>
            </w:r>
          </w:p>
        </w:tc>
        <w:tc>
          <w:tcPr>
            <w:tcW w:w="311" w:type="dxa"/>
            <w:tcBorders>
              <w:top w:val="nil"/>
              <w:left w:val="nil"/>
              <w:bottom w:val="nil"/>
              <w:right w:val="nil"/>
            </w:tcBorders>
            <w:shd w:val="clear" w:color="auto" w:fill="E8E8E8"/>
            <w:vAlign w:val="center"/>
          </w:tcPr>
          <w:p w14:paraId="69CCC37F"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81"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83"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8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8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8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8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C"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D"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8F"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A3"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91"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Competition</w:t>
            </w:r>
          </w:p>
        </w:tc>
        <w:tc>
          <w:tcPr>
            <w:tcW w:w="311" w:type="dxa"/>
            <w:tcBorders>
              <w:top w:val="nil"/>
              <w:left w:val="nil"/>
              <w:bottom w:val="nil"/>
              <w:right w:val="nil"/>
            </w:tcBorders>
            <w:shd w:val="clear" w:color="auto" w:fill="E8E8E8"/>
            <w:vAlign w:val="center"/>
          </w:tcPr>
          <w:p w14:paraId="69CCC392"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9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9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9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96"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9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9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9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9A"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9B"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9C"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9D"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9E"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9F"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A0"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A1"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A2" w14:textId="77777777" w:rsidR="00C87438" w:rsidRPr="007B6255" w:rsidRDefault="00C87438" w:rsidP="007B6255">
            <w:pPr>
              <w:spacing w:after="0" w:line="240" w:lineRule="auto"/>
              <w:jc w:val="center"/>
              <w:rPr>
                <w:rFonts w:ascii="Century Gothic" w:eastAsia="Calibri" w:hAnsi="Century Gothic" w:cs="Arial"/>
                <w:sz w:val="16"/>
                <w:szCs w:val="16"/>
              </w:rPr>
            </w:pPr>
          </w:p>
        </w:tc>
      </w:tr>
      <w:tr w:rsidR="00C87438" w:rsidRPr="007B6255" w14:paraId="69CCC3B6"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A4"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Connectivity</w:t>
            </w:r>
          </w:p>
        </w:tc>
        <w:tc>
          <w:tcPr>
            <w:tcW w:w="311" w:type="dxa"/>
            <w:tcBorders>
              <w:top w:val="nil"/>
              <w:left w:val="nil"/>
              <w:bottom w:val="nil"/>
              <w:right w:val="nil"/>
            </w:tcBorders>
            <w:shd w:val="clear" w:color="auto" w:fill="E8E8E8"/>
            <w:vAlign w:val="center"/>
          </w:tcPr>
          <w:p w14:paraId="69CCC3A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A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A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A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A9"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AA"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A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A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AD"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AE"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AF"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B0"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B1"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69CCC3B2"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B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B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B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3C9"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B7"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Recruitment</w:t>
            </w:r>
          </w:p>
        </w:tc>
        <w:tc>
          <w:tcPr>
            <w:tcW w:w="311" w:type="dxa"/>
            <w:tcBorders>
              <w:top w:val="nil"/>
              <w:left w:val="nil"/>
              <w:bottom w:val="nil"/>
              <w:right w:val="nil"/>
            </w:tcBorders>
            <w:shd w:val="clear" w:color="auto" w:fill="E8E8E8"/>
            <w:vAlign w:val="center"/>
          </w:tcPr>
          <w:p w14:paraId="69CCC3B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B9"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B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BB"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BC"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B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BE"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BF"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C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3"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C4"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5"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6"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7"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8"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r>
      <w:tr w:rsidR="00C87438" w:rsidRPr="007B6255" w14:paraId="69CCC3DC" w14:textId="77777777" w:rsidTr="007B6255">
        <w:trPr>
          <w:tblCellSpacing w:w="28" w:type="dxa"/>
          <w:jc w:val="center"/>
        </w:trPr>
        <w:tc>
          <w:tcPr>
            <w:tcW w:w="3231" w:type="dxa"/>
            <w:tcBorders>
              <w:top w:val="nil"/>
              <w:left w:val="nil"/>
              <w:bottom w:val="nil"/>
              <w:right w:val="nil"/>
            </w:tcBorders>
            <w:shd w:val="clear" w:color="auto" w:fill="D9D9D9"/>
            <w:vAlign w:val="center"/>
            <w:hideMark/>
          </w:tcPr>
          <w:p w14:paraId="69CCC3CA" w14:textId="77777777" w:rsidR="00C87438" w:rsidRPr="007B6255" w:rsidRDefault="00C87438" w:rsidP="007B6255">
            <w:pPr>
              <w:spacing w:after="0" w:line="240" w:lineRule="auto"/>
              <w:rPr>
                <w:rFonts w:ascii="Century Gothic" w:eastAsia="Calibri" w:hAnsi="Century Gothic" w:cs="Arial"/>
                <w:sz w:val="18"/>
                <w:szCs w:val="18"/>
              </w:rPr>
            </w:pPr>
            <w:r w:rsidRPr="007B6255">
              <w:rPr>
                <w:rFonts w:ascii="Century Gothic" w:eastAsia="Calibri" w:hAnsi="Century Gothic" w:cs="Arial"/>
                <w:sz w:val="18"/>
                <w:szCs w:val="18"/>
              </w:rPr>
              <w:t>Reef building</w:t>
            </w:r>
          </w:p>
        </w:tc>
        <w:tc>
          <w:tcPr>
            <w:tcW w:w="311" w:type="dxa"/>
            <w:tcBorders>
              <w:top w:val="nil"/>
              <w:left w:val="nil"/>
              <w:bottom w:val="nil"/>
              <w:right w:val="nil"/>
            </w:tcBorders>
            <w:shd w:val="clear" w:color="auto" w:fill="E8E8E8"/>
            <w:vAlign w:val="center"/>
          </w:tcPr>
          <w:p w14:paraId="69CCC3CB"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C"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D"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9CCC3CE"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69CCC3CF" w14:textId="77777777" w:rsidR="00C87438" w:rsidRPr="007B6255" w:rsidRDefault="00C87438" w:rsidP="007B6255">
            <w:pPr>
              <w:spacing w:after="0" w:line="240" w:lineRule="auto"/>
              <w:rPr>
                <w:rFonts w:ascii="Century Gothic" w:eastAsia="Calibri" w:hAnsi="Century Gothic"/>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D0"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D1"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D2" w14:textId="77777777" w:rsidR="00C87438" w:rsidRPr="007B6255" w:rsidRDefault="00C87438" w:rsidP="007B6255">
            <w:pPr>
              <w:spacing w:after="0" w:line="240" w:lineRule="auto"/>
              <w:jc w:val="center"/>
              <w:rPr>
                <w:rFonts w:ascii="Century Gothic" w:eastAsia="Calibri" w:hAnsi="Century Gothic" w:cs="Arial"/>
                <w:sz w:val="16"/>
                <w:szCs w:val="16"/>
              </w:rPr>
            </w:pPr>
            <w:r w:rsidRPr="007B6255">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9CCC3D3"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D4"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D5"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D6"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D7"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9CCC3D8"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D9"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DA" w14:textId="77777777" w:rsidR="00C87438" w:rsidRPr="007B6255" w:rsidRDefault="00C87438" w:rsidP="007B6255">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CCC3DB" w14:textId="77777777" w:rsidR="00C87438" w:rsidRPr="007B6255" w:rsidRDefault="00C87438" w:rsidP="007B6255">
            <w:pPr>
              <w:spacing w:after="0" w:line="240" w:lineRule="auto"/>
              <w:jc w:val="center"/>
              <w:rPr>
                <w:rFonts w:ascii="Century Gothic" w:eastAsia="Calibri" w:hAnsi="Century Gothic" w:cs="Arial"/>
                <w:sz w:val="16"/>
                <w:szCs w:val="16"/>
              </w:rPr>
            </w:pPr>
          </w:p>
        </w:tc>
      </w:tr>
    </w:tbl>
    <w:p w14:paraId="69CCC3DD" w14:textId="77777777" w:rsidR="00160062" w:rsidRDefault="00160062" w:rsidP="00C87438">
      <w:pPr>
        <w:pStyle w:val="BodyTextNumbering"/>
        <w:spacing w:after="120"/>
        <w:rPr>
          <w:rFonts w:ascii="Century Gothic" w:hAnsi="Century Gothic"/>
          <w:szCs w:val="20"/>
        </w:rPr>
        <w:sectPr w:rsidR="00160062" w:rsidSect="00A56999">
          <w:pgSz w:w="11900" w:h="16840"/>
          <w:pgMar w:top="851" w:right="845" w:bottom="992" w:left="851" w:header="709" w:footer="709" w:gutter="0"/>
          <w:cols w:space="708"/>
          <w:docGrid w:linePitch="360"/>
        </w:sectPr>
      </w:pPr>
    </w:p>
    <w:p w14:paraId="69CCC3DE" w14:textId="20AC27EE" w:rsidR="00C87438" w:rsidRPr="003C4E97" w:rsidRDefault="0095278E" w:rsidP="00C87438">
      <w:pPr>
        <w:pStyle w:val="BodyTextNumbering"/>
        <w:spacing w:after="120"/>
        <w:rPr>
          <w:rFonts w:ascii="Century Gothic" w:hAnsi="Century Gothic"/>
          <w:szCs w:val="20"/>
        </w:rPr>
      </w:pPr>
      <w:r>
        <w:rPr>
          <w:noProof/>
        </w:rPr>
        <w:pict w14:anchorId="23F8F3C2">
          <v:shape id="_x0000_s1187" type="#_x0000_t75" alt="Back cover" style="position:absolute;margin-left:0;margin-top:7pt;width:595.65pt;height:841.55pt;z-index:251673636;mso-position-horizontal:absolute;mso-position-horizontal-relative:text;mso-position-vertical:absolute;mso-position-vertical-relative:text;mso-width-relative:page;mso-height-relative:page">
            <v:imagedata r:id="rId35" o:title="Back CoverALL"/>
            <w10:wrap type="topAndBottom"/>
          </v:shape>
        </w:pict>
      </w:r>
    </w:p>
    <w:sectPr w:rsidR="00C87438" w:rsidRPr="003C4E97" w:rsidSect="00160062">
      <w:pgSz w:w="11900" w:h="16840"/>
      <w:pgMar w:top="0" w:right="0" w:bottom="0" w:left="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69D80" w14:textId="77777777" w:rsidR="004B4957" w:rsidRDefault="004B4957" w:rsidP="009E5C8C">
      <w:pPr>
        <w:spacing w:after="0" w:line="240" w:lineRule="auto"/>
      </w:pPr>
      <w:r>
        <w:separator/>
      </w:r>
    </w:p>
  </w:endnote>
  <w:endnote w:type="continuationSeparator" w:id="0">
    <w:p w14:paraId="455D972B" w14:textId="77777777" w:rsidR="004B4957" w:rsidRDefault="004B4957" w:rsidP="009E5C8C">
      <w:pPr>
        <w:spacing w:after="0" w:line="240" w:lineRule="auto"/>
      </w:pPr>
      <w:r>
        <w:continuationSeparator/>
      </w:r>
    </w:p>
  </w:endnote>
  <w:endnote w:type="continuationNotice" w:id="1">
    <w:p w14:paraId="070531B1" w14:textId="77777777" w:rsidR="004B4957" w:rsidRDefault="004B49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603ED" w14:textId="77777777" w:rsidR="004B4957" w:rsidRPr="002203A9" w:rsidRDefault="004B4957">
    <w:pPr>
      <w:pStyle w:val="Footer"/>
      <w:jc w:val="center"/>
      <w:rPr>
        <w:rFonts w:ascii="Century Gothic" w:hAnsi="Century Gothic"/>
        <w:b/>
        <w:noProof/>
      </w:rPr>
    </w:pPr>
    <w:r w:rsidRPr="002203A9">
      <w:rPr>
        <w:rFonts w:ascii="Century Gothic" w:hAnsi="Century Gothic"/>
        <w:b/>
      </w:rPr>
      <w:fldChar w:fldCharType="begin"/>
    </w:r>
    <w:r w:rsidRPr="002203A9">
      <w:rPr>
        <w:rFonts w:ascii="Century Gothic" w:hAnsi="Century Gothic"/>
        <w:b/>
      </w:rPr>
      <w:instrText xml:space="preserve"> PAGE   \* MERGEFORMAT </w:instrText>
    </w:r>
    <w:r w:rsidRPr="002203A9">
      <w:rPr>
        <w:rFonts w:ascii="Century Gothic" w:hAnsi="Century Gothic"/>
        <w:b/>
      </w:rPr>
      <w:fldChar w:fldCharType="separate"/>
    </w:r>
    <w:r w:rsidR="0095278E">
      <w:rPr>
        <w:rFonts w:ascii="Century Gothic" w:hAnsi="Century Gothic"/>
        <w:b/>
        <w:noProof/>
      </w:rPr>
      <w:t>2</w:t>
    </w:r>
    <w:r w:rsidRPr="002203A9">
      <w:rPr>
        <w:rFonts w:ascii="Century Gothic" w:hAnsi="Century Gothic"/>
        <w:b/>
        <w:noProof/>
      </w:rPr>
      <w:fldChar w:fldCharType="end"/>
    </w:r>
  </w:p>
  <w:p w14:paraId="0F43D2B6" w14:textId="4F855D3E" w:rsidR="004B4957" w:rsidRPr="00244BDC" w:rsidRDefault="004B4957" w:rsidP="00244BDC">
    <w:pPr>
      <w:pStyle w:val="Footer"/>
      <w:jc w:val="center"/>
      <w:rPr>
        <w:rFonts w:ascii="Century Gothic" w:hAnsi="Century Gothic"/>
        <w:color w:val="808080"/>
      </w:rPr>
    </w:pPr>
    <w:r w:rsidRPr="00244BDC">
      <w:rPr>
        <w:rFonts w:ascii="Century Gothic" w:hAnsi="Century Gothic"/>
        <w:b/>
        <w:color w:val="808080"/>
        <w:sz w:val="24"/>
        <w:szCs w:val="24"/>
      </w:rPr>
      <w:t>DRAFT</w:t>
    </w:r>
    <w:r w:rsidRPr="00244BDC">
      <w:rPr>
        <w:rFonts w:ascii="Century Gothic" w:hAnsi="Century Gothic"/>
        <w:color w:val="808080"/>
      </w:rPr>
      <w:t xml:space="preserve"> for public consultation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FB157" w14:textId="77777777" w:rsidR="004B4957" w:rsidRDefault="004B4957" w:rsidP="009E5C8C">
      <w:pPr>
        <w:spacing w:after="0" w:line="240" w:lineRule="auto"/>
      </w:pPr>
      <w:r>
        <w:separator/>
      </w:r>
    </w:p>
  </w:footnote>
  <w:footnote w:type="continuationSeparator" w:id="0">
    <w:p w14:paraId="247CEE7B" w14:textId="77777777" w:rsidR="004B4957" w:rsidRDefault="004B4957" w:rsidP="009E5C8C">
      <w:pPr>
        <w:spacing w:after="0" w:line="240" w:lineRule="auto"/>
      </w:pPr>
      <w:r>
        <w:continuationSeparator/>
      </w:r>
    </w:p>
  </w:footnote>
  <w:footnote w:type="continuationNotice" w:id="1">
    <w:p w14:paraId="497EE799" w14:textId="77777777" w:rsidR="004B4957" w:rsidRDefault="004B495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A9A39" w14:textId="77777777" w:rsidR="004B4957" w:rsidRDefault="0095278E">
    <w:pPr>
      <w:pStyle w:val="Header"/>
    </w:pPr>
    <w:r>
      <w:rPr>
        <w:noProof/>
        <w:lang w:eastAsia="en-AU"/>
      </w:rPr>
      <w:pict w14:anchorId="793171A1">
        <v:shapetype id="_x0000_t202" coordsize="21600,21600" o:spt="202" path="m,l,21600r21600,l21600,xe">
          <v:stroke joinstyle="miter"/>
          <v:path gradientshapeok="t" o:connecttype="rect"/>
        </v:shapetype>
        <v:shape id="_x0000_s3074" type="#_x0000_t202" style="position:absolute;margin-left:125.85pt;margin-top:-13.2pt;width:262.25pt;height:20.45pt;z-index:251660288" filled="f" stroked="f">
          <v:textbox style="mso-next-textbox:#_x0000_s3074">
            <w:txbxContent>
              <w:p w14:paraId="78E132EF" w14:textId="77777777" w:rsidR="004B4957" w:rsidRPr="00164103" w:rsidRDefault="004B4957" w:rsidP="00164103">
                <w:pPr>
                  <w:rPr>
                    <w:rFonts w:ascii="Century Gothic" w:hAnsi="Century Gothic"/>
                    <w:color w:val="808080"/>
                  </w:rPr>
                </w:pPr>
                <w:r>
                  <w:rPr>
                    <w:rFonts w:ascii="Century Gothic" w:hAnsi="Century Gothic"/>
                    <w:color w:val="808080"/>
                  </w:rPr>
                  <w:t>Cumulative Impact Management Policy</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18E62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2810F8"/>
    <w:multiLevelType w:val="hybridMultilevel"/>
    <w:tmpl w:val="7CE62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8B55AC"/>
    <w:multiLevelType w:val="hybridMultilevel"/>
    <w:tmpl w:val="C6121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6631E6"/>
    <w:multiLevelType w:val="hybridMultilevel"/>
    <w:tmpl w:val="2CE6FEE6"/>
    <w:lvl w:ilvl="0" w:tplc="FEACBB8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745BC2"/>
    <w:multiLevelType w:val="multilevel"/>
    <w:tmpl w:val="E5E89F92"/>
    <w:numStyleLink w:val="BulletList"/>
  </w:abstractNum>
  <w:abstractNum w:abstractNumId="9"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B55500"/>
    <w:multiLevelType w:val="multilevel"/>
    <w:tmpl w:val="5AE46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23C5290"/>
    <w:multiLevelType w:val="multilevel"/>
    <w:tmpl w:val="51BE7F90"/>
    <w:lvl w:ilvl="0">
      <w:start w:val="1"/>
      <w:numFmt w:val="bullet"/>
      <w:lvlText w:val="-"/>
      <w:lvlJc w:val="left"/>
      <w:pPr>
        <w:ind w:left="720" w:hanging="360"/>
      </w:pPr>
      <w:rPr>
        <w:rFonts w:ascii="Arial" w:eastAsia="Calibri" w:hAnsi="Arial" w:cs="Arial" w:hint="default"/>
      </w:rPr>
    </w:lvl>
    <w:lvl w:ilvl="1">
      <w:start w:val="1"/>
      <w:numFmt w:val="bullet"/>
      <w:lvlText w:val="-"/>
      <w:lvlJc w:val="left"/>
      <w:pPr>
        <w:ind w:left="1152" w:hanging="432"/>
      </w:pPr>
      <w:rPr>
        <w:rFonts w:ascii="Arial" w:eastAsia="Calibri" w:hAnsi="Arial" w:cs="Aria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3C5B3D7F"/>
    <w:multiLevelType w:val="hybridMultilevel"/>
    <w:tmpl w:val="FAA8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EC4CCE"/>
    <w:multiLevelType w:val="hybridMultilevel"/>
    <w:tmpl w:val="F1AAB0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490350"/>
    <w:multiLevelType w:val="multilevel"/>
    <w:tmpl w:val="B7CA7300"/>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b w:val="0"/>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987AA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5A7163"/>
    <w:multiLevelType w:val="hybridMultilevel"/>
    <w:tmpl w:val="895AC6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E40015"/>
    <w:multiLevelType w:val="hybridMultilevel"/>
    <w:tmpl w:val="CBBC70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926B80"/>
    <w:multiLevelType w:val="hybridMultilevel"/>
    <w:tmpl w:val="91A6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6EB43F96"/>
    <w:multiLevelType w:val="hybridMultilevel"/>
    <w:tmpl w:val="00900D34"/>
    <w:lvl w:ilvl="0" w:tplc="ECECAA9A">
      <w:start w:val="1"/>
      <w:numFmt w:val="upperLetter"/>
      <w:lvlText w:val="(%1)"/>
      <w:lvlJc w:val="left"/>
      <w:pPr>
        <w:ind w:left="720" w:hanging="360"/>
      </w:pPr>
      <w:rPr>
        <w:rFonts w:ascii="Arial Black" w:hAnsi="Arial Black"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2BF4DA9"/>
    <w:multiLevelType w:val="hybridMultilevel"/>
    <w:tmpl w:val="1CD6B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0F43C6"/>
    <w:multiLevelType w:val="hybridMultilevel"/>
    <w:tmpl w:val="9A80A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9"/>
  </w:num>
  <w:num w:numId="5">
    <w:abstractNumId w:val="19"/>
  </w:num>
  <w:num w:numId="6">
    <w:abstractNumId w:val="14"/>
  </w:num>
  <w:num w:numId="7">
    <w:abstractNumId w:val="15"/>
  </w:num>
  <w:num w:numId="8">
    <w:abstractNumId w:val="23"/>
  </w:num>
  <w:num w:numId="9">
    <w:abstractNumId w:val="24"/>
  </w:num>
  <w:num w:numId="10">
    <w:abstractNumId w:val="20"/>
  </w:num>
  <w:num w:numId="11">
    <w:abstractNumId w:val="1"/>
  </w:num>
  <w:num w:numId="12">
    <w:abstractNumId w:val="13"/>
  </w:num>
  <w:num w:numId="13">
    <w:abstractNumId w:val="6"/>
  </w:num>
  <w:num w:numId="14">
    <w:abstractNumId w:val="22"/>
  </w:num>
  <w:num w:numId="15">
    <w:abstractNumId w:val="11"/>
  </w:num>
  <w:num w:numId="16">
    <w:abstractNumId w:val="0"/>
  </w:num>
  <w:num w:numId="17">
    <w:abstractNumId w:val="8"/>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1"/>
  </w:num>
  <w:num w:numId="34">
    <w:abstractNumId w:val="17"/>
  </w:num>
  <w:num w:numId="35">
    <w:abstractNumId w:val="18"/>
  </w:num>
  <w:num w:numId="36">
    <w:abstractNumId w:val="5"/>
  </w:num>
  <w:num w:numId="37">
    <w:abstractNumId w:val="1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hideSpellingErrors/>
  <w:hideGrammaticalErrors/>
  <w:revisionView w:inkAnnotations="0"/>
  <w:doNotTrackMoves/>
  <w:defaultTabStop w:val="720"/>
  <w:drawingGridHorizontalSpacing w:val="181"/>
  <w:drawingGridVerticalSpacing w:val="181"/>
  <w:characterSpacingControl w:val="doNotCompress"/>
  <w:hdrShapeDefaults>
    <o:shapedefaults v:ext="edit" spidmax="3076">
      <o:colormenu v:ext="edit" fillcolor="#acf2f0"/>
    </o:shapedefaults>
    <o:shapelayout v:ext="edit">
      <o:idmap v:ext="edit" data="3"/>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2194"/>
    <w:rsid w:val="000A4D14"/>
    <w:rsid w:val="000B76B2"/>
    <w:rsid w:val="00102194"/>
    <w:rsid w:val="00152FA5"/>
    <w:rsid w:val="00160062"/>
    <w:rsid w:val="00164103"/>
    <w:rsid w:val="001C5577"/>
    <w:rsid w:val="001D58AC"/>
    <w:rsid w:val="001D5E30"/>
    <w:rsid w:val="001E6CAB"/>
    <w:rsid w:val="001F4CCA"/>
    <w:rsid w:val="00204F34"/>
    <w:rsid w:val="00216E05"/>
    <w:rsid w:val="002203A9"/>
    <w:rsid w:val="00244BDC"/>
    <w:rsid w:val="00291D09"/>
    <w:rsid w:val="002B3527"/>
    <w:rsid w:val="002C047F"/>
    <w:rsid w:val="002C1CB5"/>
    <w:rsid w:val="003014F6"/>
    <w:rsid w:val="003450EB"/>
    <w:rsid w:val="00363A85"/>
    <w:rsid w:val="00393696"/>
    <w:rsid w:val="003A15A0"/>
    <w:rsid w:val="003C4E97"/>
    <w:rsid w:val="003E4EA1"/>
    <w:rsid w:val="003F5159"/>
    <w:rsid w:val="00400F48"/>
    <w:rsid w:val="00446739"/>
    <w:rsid w:val="004510A2"/>
    <w:rsid w:val="00453AF6"/>
    <w:rsid w:val="004679AB"/>
    <w:rsid w:val="00473129"/>
    <w:rsid w:val="00484A58"/>
    <w:rsid w:val="00497910"/>
    <w:rsid w:val="004B4957"/>
    <w:rsid w:val="004B68FA"/>
    <w:rsid w:val="004C06DC"/>
    <w:rsid w:val="004F5352"/>
    <w:rsid w:val="00514459"/>
    <w:rsid w:val="00540DBB"/>
    <w:rsid w:val="00560C17"/>
    <w:rsid w:val="005767C5"/>
    <w:rsid w:val="005A6A6C"/>
    <w:rsid w:val="005C0F84"/>
    <w:rsid w:val="005C3CDA"/>
    <w:rsid w:val="006163CC"/>
    <w:rsid w:val="00641CA4"/>
    <w:rsid w:val="0066478D"/>
    <w:rsid w:val="00670E24"/>
    <w:rsid w:val="00673AC2"/>
    <w:rsid w:val="006C1AB5"/>
    <w:rsid w:val="0070583F"/>
    <w:rsid w:val="00707D97"/>
    <w:rsid w:val="00724B10"/>
    <w:rsid w:val="007363A8"/>
    <w:rsid w:val="00765DC7"/>
    <w:rsid w:val="00776C39"/>
    <w:rsid w:val="007848F7"/>
    <w:rsid w:val="00785C3B"/>
    <w:rsid w:val="007B6255"/>
    <w:rsid w:val="007D26C4"/>
    <w:rsid w:val="007F220C"/>
    <w:rsid w:val="007F556E"/>
    <w:rsid w:val="00846E3F"/>
    <w:rsid w:val="008526FE"/>
    <w:rsid w:val="008546EA"/>
    <w:rsid w:val="008557E4"/>
    <w:rsid w:val="008B32E1"/>
    <w:rsid w:val="009046DA"/>
    <w:rsid w:val="00935B73"/>
    <w:rsid w:val="00935E0F"/>
    <w:rsid w:val="0095278E"/>
    <w:rsid w:val="00961B8E"/>
    <w:rsid w:val="00970E34"/>
    <w:rsid w:val="00981940"/>
    <w:rsid w:val="009D522E"/>
    <w:rsid w:val="009D7B06"/>
    <w:rsid w:val="009E5C8C"/>
    <w:rsid w:val="009F35AE"/>
    <w:rsid w:val="00A30A7D"/>
    <w:rsid w:val="00A312D4"/>
    <w:rsid w:val="00A56999"/>
    <w:rsid w:val="00A74957"/>
    <w:rsid w:val="00A8398B"/>
    <w:rsid w:val="00A97D56"/>
    <w:rsid w:val="00AB327E"/>
    <w:rsid w:val="00AD52B7"/>
    <w:rsid w:val="00B166D1"/>
    <w:rsid w:val="00B913B7"/>
    <w:rsid w:val="00BC3814"/>
    <w:rsid w:val="00BC3970"/>
    <w:rsid w:val="00BC4666"/>
    <w:rsid w:val="00C2192D"/>
    <w:rsid w:val="00C24ED2"/>
    <w:rsid w:val="00C27317"/>
    <w:rsid w:val="00C3557B"/>
    <w:rsid w:val="00C56E07"/>
    <w:rsid w:val="00C6581D"/>
    <w:rsid w:val="00C87438"/>
    <w:rsid w:val="00C90F4E"/>
    <w:rsid w:val="00CB3A6E"/>
    <w:rsid w:val="00CB7DB5"/>
    <w:rsid w:val="00CC128D"/>
    <w:rsid w:val="00CE56B7"/>
    <w:rsid w:val="00D13874"/>
    <w:rsid w:val="00D43CF8"/>
    <w:rsid w:val="00D6064B"/>
    <w:rsid w:val="00D60656"/>
    <w:rsid w:val="00D66F69"/>
    <w:rsid w:val="00D7187C"/>
    <w:rsid w:val="00D84BA2"/>
    <w:rsid w:val="00DB2B0E"/>
    <w:rsid w:val="00DC1F67"/>
    <w:rsid w:val="00DD6052"/>
    <w:rsid w:val="00E11469"/>
    <w:rsid w:val="00E149B9"/>
    <w:rsid w:val="00E26051"/>
    <w:rsid w:val="00E55A02"/>
    <w:rsid w:val="00E67C45"/>
    <w:rsid w:val="00EA5C09"/>
    <w:rsid w:val="00EC260F"/>
    <w:rsid w:val="00EC2B00"/>
    <w:rsid w:val="00EE206D"/>
    <w:rsid w:val="00EF0D34"/>
    <w:rsid w:val="00F13DB5"/>
    <w:rsid w:val="00F40C12"/>
    <w:rsid w:val="00F60982"/>
    <w:rsid w:val="00F66E05"/>
    <w:rsid w:val="00F80DB3"/>
    <w:rsid w:val="00FA12D7"/>
    <w:rsid w:val="00FC05EC"/>
    <w:rsid w:val="00FD0903"/>
    <w:rsid w:val="00FE0510"/>
    <w:rsid w:val="00FF1707"/>
    <w:rsid w:val="00FF60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6">
      <o:colormenu v:ext="edit" fillcolor="#acf2f0"/>
    </o:shapedefaults>
    <o:shapelayout v:ext="edit">
      <o:idmap v:ext="edit" data="1"/>
    </o:shapelayout>
  </w:shapeDefaults>
  <w:decimalSymbol w:val="."/>
  <w:listSeparator w:val=","/>
  <w14:docId w14:val="69CCBB20"/>
  <w14:defaultImageDpi w14:val="300"/>
  <w15:docId w15:val="{222206FA-5C4C-45B1-931E-D8047F85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194"/>
    <w:pPr>
      <w:spacing w:after="200" w:line="276" w:lineRule="auto"/>
    </w:pPr>
    <w:rPr>
      <w:rFonts w:eastAsia="Cambria"/>
      <w:sz w:val="22"/>
      <w:szCs w:val="22"/>
      <w:lang w:eastAsia="en-US"/>
    </w:rPr>
  </w:style>
  <w:style w:type="paragraph" w:styleId="Heading1">
    <w:name w:val="heading 1"/>
    <w:basedOn w:val="Normal"/>
    <w:next w:val="Normal"/>
    <w:link w:val="Heading1Char"/>
    <w:uiPriority w:val="9"/>
    <w:qFormat/>
    <w:rsid w:val="00FD0903"/>
    <w:pPr>
      <w:keepNext/>
      <w:keepLines/>
      <w:spacing w:before="480" w:after="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
    <w:qFormat/>
    <w:rsid w:val="00102194"/>
    <w:pPr>
      <w:spacing w:before="20" w:after="40" w:line="240" w:lineRule="auto"/>
      <w:outlineLvl w:val="1"/>
    </w:pPr>
    <w:rPr>
      <w:rFonts w:ascii="Calibri" w:eastAsia="MS Mincho" w:hAnsi="Calibri"/>
      <w:color w:val="005782"/>
      <w:sz w:val="30"/>
      <w:szCs w:val="30"/>
      <w:lang w:eastAsia="en-AU"/>
    </w:rPr>
  </w:style>
  <w:style w:type="paragraph" w:styleId="Heading3">
    <w:name w:val="heading 3"/>
    <w:basedOn w:val="Heading2"/>
    <w:next w:val="Normal"/>
    <w:link w:val="Heading3Char"/>
    <w:uiPriority w:val="9"/>
    <w:unhideWhenUsed/>
    <w:qFormat/>
    <w:rsid w:val="00C87438"/>
    <w:pPr>
      <w:keepNext/>
      <w:keepLines/>
      <w:spacing w:before="240" w:after="240"/>
      <w:ind w:left="851" w:hanging="851"/>
      <w:outlineLvl w:val="2"/>
    </w:pPr>
    <w:rPr>
      <w:rFonts w:ascii="Arial" w:eastAsia="Times New Roman" w:hAnsi="Arial"/>
      <w:b/>
      <w:bCs/>
      <w:color w:val="000000"/>
      <w:sz w:val="24"/>
      <w:szCs w:val="22"/>
      <w:lang w:eastAsia="en-US"/>
    </w:rPr>
  </w:style>
  <w:style w:type="paragraph" w:styleId="Heading4">
    <w:name w:val="heading 4"/>
    <w:basedOn w:val="Normal"/>
    <w:next w:val="Normal"/>
    <w:link w:val="Heading4Char"/>
    <w:uiPriority w:val="9"/>
    <w:unhideWhenUsed/>
    <w:qFormat/>
    <w:rsid w:val="00C87438"/>
    <w:pPr>
      <w:keepNext/>
      <w:keepLines/>
      <w:spacing w:before="120" w:after="60" w:line="240" w:lineRule="auto"/>
      <w:outlineLvl w:val="3"/>
    </w:pPr>
    <w:rPr>
      <w:rFonts w:ascii="Arial" w:eastAsia="Times New Roman" w:hAnsi="Arial"/>
      <w:b/>
      <w:bCs/>
      <w:iCs/>
      <w:color w:val="000000"/>
      <w:sz w:val="21"/>
    </w:rPr>
  </w:style>
  <w:style w:type="paragraph" w:styleId="Heading5">
    <w:name w:val="heading 5"/>
    <w:basedOn w:val="Normal"/>
    <w:next w:val="Normal"/>
    <w:link w:val="Heading5Char"/>
    <w:uiPriority w:val="9"/>
    <w:semiHidden/>
    <w:unhideWhenUsed/>
    <w:qFormat/>
    <w:rsid w:val="00C87438"/>
    <w:pPr>
      <w:keepNext/>
      <w:keepLines/>
      <w:spacing w:before="200" w:after="0"/>
      <w:ind w:left="1008" w:hanging="1008"/>
      <w:outlineLvl w:val="4"/>
    </w:pPr>
    <w:rPr>
      <w:rFonts w:eastAsia="Times New Roman"/>
      <w:color w:val="243F60"/>
      <w:sz w:val="21"/>
    </w:rPr>
  </w:style>
  <w:style w:type="paragraph" w:styleId="Heading6">
    <w:name w:val="heading 6"/>
    <w:basedOn w:val="Normal"/>
    <w:next w:val="Normal"/>
    <w:link w:val="Heading6Char"/>
    <w:uiPriority w:val="9"/>
    <w:semiHidden/>
    <w:unhideWhenUsed/>
    <w:qFormat/>
    <w:rsid w:val="00C87438"/>
    <w:pPr>
      <w:keepNext/>
      <w:keepLines/>
      <w:spacing w:before="200" w:after="0" w:line="240" w:lineRule="auto"/>
      <w:ind w:left="1152" w:hanging="1152"/>
      <w:outlineLvl w:val="5"/>
    </w:pPr>
    <w:rPr>
      <w:rFonts w:eastAsia="Times New Roman"/>
      <w:i/>
      <w:iCs/>
      <w:color w:val="243F60"/>
      <w:sz w:val="21"/>
    </w:rPr>
  </w:style>
  <w:style w:type="paragraph" w:styleId="Heading7">
    <w:name w:val="heading 7"/>
    <w:basedOn w:val="Normal"/>
    <w:next w:val="Normal"/>
    <w:link w:val="Heading7Char"/>
    <w:uiPriority w:val="9"/>
    <w:semiHidden/>
    <w:unhideWhenUsed/>
    <w:qFormat/>
    <w:rsid w:val="00C87438"/>
    <w:pPr>
      <w:keepNext/>
      <w:keepLines/>
      <w:spacing w:before="200" w:after="0" w:line="240" w:lineRule="auto"/>
      <w:ind w:left="1296" w:hanging="1296"/>
      <w:outlineLvl w:val="6"/>
    </w:pPr>
    <w:rPr>
      <w:rFonts w:eastAsia="Times New Roman"/>
      <w:i/>
      <w:iCs/>
      <w:color w:val="404040"/>
      <w:sz w:val="21"/>
    </w:rPr>
  </w:style>
  <w:style w:type="paragraph" w:styleId="Heading8">
    <w:name w:val="heading 8"/>
    <w:basedOn w:val="Normal"/>
    <w:next w:val="Normal"/>
    <w:link w:val="Heading8Char"/>
    <w:uiPriority w:val="9"/>
    <w:semiHidden/>
    <w:unhideWhenUsed/>
    <w:qFormat/>
    <w:rsid w:val="00C87438"/>
    <w:pPr>
      <w:keepNext/>
      <w:keepLines/>
      <w:spacing w:before="200" w:after="0" w:line="240" w:lineRule="auto"/>
      <w:ind w:left="1440" w:hanging="1440"/>
      <w:outlineLvl w:val="7"/>
    </w:pPr>
    <w:rPr>
      <w:rFonts w:eastAsia="Times New Roman"/>
      <w:color w:val="404040"/>
      <w:sz w:val="20"/>
      <w:szCs w:val="20"/>
    </w:rPr>
  </w:style>
  <w:style w:type="paragraph" w:styleId="Heading9">
    <w:name w:val="heading 9"/>
    <w:basedOn w:val="Normal"/>
    <w:next w:val="Normal"/>
    <w:link w:val="Heading9Char"/>
    <w:uiPriority w:val="9"/>
    <w:semiHidden/>
    <w:unhideWhenUsed/>
    <w:qFormat/>
    <w:rsid w:val="00C87438"/>
    <w:pPr>
      <w:keepNext/>
      <w:keepLines/>
      <w:spacing w:before="200" w:after="0" w:line="240" w:lineRule="auto"/>
      <w:ind w:left="1584" w:hanging="1584"/>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02194"/>
    <w:rPr>
      <w:rFonts w:ascii="Calibri" w:hAnsi="Calibri" w:cs="Times New Roman"/>
      <w:color w:val="005782"/>
      <w:sz w:val="30"/>
      <w:szCs w:val="30"/>
      <w:lang w:eastAsia="en-AU"/>
    </w:rPr>
  </w:style>
  <w:style w:type="paragraph" w:customStyle="1" w:styleId="BodyTextNumbering">
    <w:name w:val="Body Text Numbering"/>
    <w:qFormat/>
    <w:rsid w:val="00102194"/>
    <w:pPr>
      <w:spacing w:before="240" w:after="40"/>
    </w:pPr>
    <w:rPr>
      <w:rFonts w:ascii="Arial" w:hAnsi="Arial"/>
      <w:color w:val="000000"/>
      <w:szCs w:val="32"/>
    </w:rPr>
  </w:style>
  <w:style w:type="table" w:styleId="TableGrid">
    <w:name w:val="Table Grid"/>
    <w:basedOn w:val="TableNormal"/>
    <w:uiPriority w:val="59"/>
    <w:rsid w:val="00102194"/>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5C8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9E5C8C"/>
    <w:rPr>
      <w:rFonts w:ascii="Lucida Grande" w:eastAsia="Cambria" w:hAnsi="Lucida Grande" w:cs="Lucida Grande"/>
      <w:sz w:val="18"/>
      <w:szCs w:val="18"/>
    </w:rPr>
  </w:style>
  <w:style w:type="paragraph" w:customStyle="1" w:styleId="FigureHeading">
    <w:name w:val="Figure Heading"/>
    <w:basedOn w:val="Normal"/>
    <w:link w:val="FigureHeadingChar"/>
    <w:qFormat/>
    <w:rsid w:val="009E5C8C"/>
    <w:pPr>
      <w:shd w:val="clear" w:color="auto" w:fill="FFC625"/>
      <w:spacing w:after="120" w:line="240" w:lineRule="auto"/>
      <w:ind w:left="-142" w:right="-767"/>
    </w:pPr>
    <w:rPr>
      <w:rFonts w:ascii="Segoe UI" w:eastAsia="Times New Roman" w:hAnsi="Segoe UI" w:cs="Segoe UI"/>
      <w:b/>
      <w:bCs/>
      <w:sz w:val="20"/>
      <w:szCs w:val="24"/>
    </w:rPr>
  </w:style>
  <w:style w:type="character" w:customStyle="1" w:styleId="FigureHeadingChar">
    <w:name w:val="Figure Heading Char"/>
    <w:link w:val="FigureHeading"/>
    <w:rsid w:val="009E5C8C"/>
    <w:rPr>
      <w:rFonts w:ascii="Segoe UI" w:eastAsia="Times New Roman" w:hAnsi="Segoe UI" w:cs="Segoe UI"/>
      <w:b/>
      <w:bCs/>
      <w:sz w:val="20"/>
      <w:shd w:val="clear" w:color="auto" w:fill="FFC625"/>
    </w:rPr>
  </w:style>
  <w:style w:type="paragraph" w:styleId="Header">
    <w:name w:val="header"/>
    <w:basedOn w:val="Normal"/>
    <w:link w:val="HeaderChar"/>
    <w:uiPriority w:val="99"/>
    <w:unhideWhenUsed/>
    <w:rsid w:val="009E5C8C"/>
    <w:pPr>
      <w:tabs>
        <w:tab w:val="center" w:pos="4320"/>
        <w:tab w:val="right" w:pos="8640"/>
      </w:tabs>
      <w:spacing w:after="0" w:line="240" w:lineRule="auto"/>
    </w:pPr>
  </w:style>
  <w:style w:type="character" w:customStyle="1" w:styleId="HeaderChar">
    <w:name w:val="Header Char"/>
    <w:link w:val="Header"/>
    <w:uiPriority w:val="99"/>
    <w:rsid w:val="009E5C8C"/>
    <w:rPr>
      <w:rFonts w:eastAsia="Cambria"/>
      <w:sz w:val="22"/>
      <w:szCs w:val="22"/>
    </w:rPr>
  </w:style>
  <w:style w:type="paragraph" w:styleId="Footer">
    <w:name w:val="footer"/>
    <w:basedOn w:val="Normal"/>
    <w:link w:val="FooterChar"/>
    <w:uiPriority w:val="99"/>
    <w:unhideWhenUsed/>
    <w:rsid w:val="009E5C8C"/>
    <w:pPr>
      <w:tabs>
        <w:tab w:val="center" w:pos="4320"/>
        <w:tab w:val="right" w:pos="8640"/>
      </w:tabs>
      <w:spacing w:after="0" w:line="240" w:lineRule="auto"/>
    </w:pPr>
  </w:style>
  <w:style w:type="character" w:customStyle="1" w:styleId="FooterChar">
    <w:name w:val="Footer Char"/>
    <w:link w:val="Footer"/>
    <w:uiPriority w:val="99"/>
    <w:rsid w:val="009E5C8C"/>
    <w:rPr>
      <w:rFonts w:eastAsia="Cambria"/>
      <w:sz w:val="22"/>
      <w:szCs w:val="22"/>
    </w:rPr>
  </w:style>
  <w:style w:type="character" w:styleId="Hyperlink">
    <w:name w:val="Hyperlink"/>
    <w:uiPriority w:val="99"/>
    <w:unhideWhenUsed/>
    <w:rsid w:val="00FD0903"/>
    <w:rPr>
      <w:color w:val="0000FF"/>
      <w:u w:val="single"/>
    </w:rPr>
  </w:style>
  <w:style w:type="character" w:customStyle="1" w:styleId="Heading1Char">
    <w:name w:val="Heading 1 Char"/>
    <w:link w:val="Heading1"/>
    <w:uiPriority w:val="9"/>
    <w:rsid w:val="00FD0903"/>
    <w:rPr>
      <w:rFonts w:ascii="Calibri" w:eastAsia="MS Gothic" w:hAnsi="Calibri" w:cs="Times New Roman"/>
      <w:b/>
      <w:bCs/>
      <w:color w:val="345A8A"/>
      <w:sz w:val="32"/>
      <w:szCs w:val="32"/>
    </w:rPr>
  </w:style>
  <w:style w:type="paragraph" w:customStyle="1" w:styleId="TOCHeading1">
    <w:name w:val="TOC Heading1"/>
    <w:basedOn w:val="Heading1"/>
    <w:next w:val="Normal"/>
    <w:uiPriority w:val="39"/>
    <w:semiHidden/>
    <w:unhideWhenUsed/>
    <w:qFormat/>
    <w:rsid w:val="00FD0903"/>
    <w:pPr>
      <w:outlineLvl w:val="9"/>
    </w:pPr>
    <w:rPr>
      <w:color w:val="365F91"/>
      <w:sz w:val="28"/>
      <w:szCs w:val="28"/>
      <w:lang w:val="en-US" w:eastAsia="ja-JP"/>
    </w:rPr>
  </w:style>
  <w:style w:type="paragraph" w:styleId="TOC2">
    <w:name w:val="toc 2"/>
    <w:basedOn w:val="Normal"/>
    <w:next w:val="Normal"/>
    <w:autoRedefine/>
    <w:uiPriority w:val="39"/>
    <w:unhideWhenUsed/>
    <w:rsid w:val="00FA12D7"/>
    <w:pPr>
      <w:tabs>
        <w:tab w:val="right" w:leader="dot" w:pos="10194"/>
      </w:tabs>
      <w:spacing w:after="100" w:line="240" w:lineRule="auto"/>
      <w:ind w:left="1170"/>
    </w:pPr>
    <w:rPr>
      <w:rFonts w:ascii="Arial" w:eastAsia="Calibri" w:hAnsi="Arial"/>
      <w:lang w:val="en-US"/>
    </w:rPr>
  </w:style>
  <w:style w:type="table" w:customStyle="1" w:styleId="TableGrid5">
    <w:name w:val="Table Grid5"/>
    <w:basedOn w:val="TableNormal"/>
    <w:next w:val="TableGrid"/>
    <w:uiPriority w:val="59"/>
    <w:rsid w:val="00DC1F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4E97"/>
    <w:pPr>
      <w:ind w:left="720"/>
    </w:pPr>
  </w:style>
  <w:style w:type="paragraph" w:styleId="Caption">
    <w:name w:val="caption"/>
    <w:basedOn w:val="Normal"/>
    <w:next w:val="Normal"/>
    <w:link w:val="CaptionChar"/>
    <w:uiPriority w:val="35"/>
    <w:unhideWhenUsed/>
    <w:qFormat/>
    <w:rsid w:val="003450EB"/>
    <w:pPr>
      <w:spacing w:after="0" w:line="240" w:lineRule="auto"/>
    </w:pPr>
    <w:rPr>
      <w:rFonts w:ascii="Arial" w:eastAsia="Calibri" w:hAnsi="Arial"/>
      <w:b/>
      <w:bCs/>
      <w:color w:val="FFFFFF"/>
      <w:sz w:val="20"/>
      <w:szCs w:val="18"/>
    </w:rPr>
  </w:style>
  <w:style w:type="character" w:customStyle="1" w:styleId="CaptionChar">
    <w:name w:val="Caption Char"/>
    <w:link w:val="Caption"/>
    <w:uiPriority w:val="35"/>
    <w:rsid w:val="003450EB"/>
    <w:rPr>
      <w:rFonts w:ascii="Arial" w:eastAsia="Calibri" w:hAnsi="Arial"/>
      <w:b/>
      <w:bCs/>
      <w:color w:val="FFFFFF"/>
      <w:szCs w:val="18"/>
      <w:lang w:eastAsia="en-US"/>
    </w:rPr>
  </w:style>
  <w:style w:type="paragraph" w:styleId="FootnoteText">
    <w:name w:val="footnote text"/>
    <w:basedOn w:val="Normal"/>
    <w:link w:val="FootnoteTextChar"/>
    <w:uiPriority w:val="99"/>
    <w:unhideWhenUsed/>
    <w:rsid w:val="00540DBB"/>
    <w:rPr>
      <w:sz w:val="20"/>
      <w:szCs w:val="20"/>
    </w:rPr>
  </w:style>
  <w:style w:type="character" w:customStyle="1" w:styleId="FootnoteTextChar">
    <w:name w:val="Footnote Text Char"/>
    <w:link w:val="FootnoteText"/>
    <w:uiPriority w:val="99"/>
    <w:rsid w:val="00540DBB"/>
    <w:rPr>
      <w:rFonts w:eastAsia="Cambria"/>
      <w:lang w:eastAsia="en-US"/>
    </w:rPr>
  </w:style>
  <w:style w:type="character" w:styleId="FootnoteReference">
    <w:name w:val="footnote reference"/>
    <w:unhideWhenUsed/>
    <w:rsid w:val="00540DBB"/>
    <w:rPr>
      <w:vertAlign w:val="superscript"/>
    </w:rPr>
  </w:style>
  <w:style w:type="character" w:customStyle="1" w:styleId="Heading3Char">
    <w:name w:val="Heading 3 Char"/>
    <w:link w:val="Heading3"/>
    <w:uiPriority w:val="9"/>
    <w:rsid w:val="00C87438"/>
    <w:rPr>
      <w:rFonts w:ascii="Arial" w:eastAsia="Times New Roman" w:hAnsi="Arial"/>
      <w:b/>
      <w:bCs/>
      <w:color w:val="000000"/>
      <w:sz w:val="24"/>
      <w:szCs w:val="22"/>
      <w:lang w:eastAsia="en-US"/>
    </w:rPr>
  </w:style>
  <w:style w:type="character" w:customStyle="1" w:styleId="Heading4Char">
    <w:name w:val="Heading 4 Char"/>
    <w:link w:val="Heading4"/>
    <w:uiPriority w:val="9"/>
    <w:rsid w:val="00C87438"/>
    <w:rPr>
      <w:rFonts w:ascii="Arial" w:eastAsia="Times New Roman" w:hAnsi="Arial"/>
      <w:b/>
      <w:bCs/>
      <w:iCs/>
      <w:color w:val="000000"/>
      <w:sz w:val="21"/>
      <w:szCs w:val="22"/>
      <w:lang w:eastAsia="en-US"/>
    </w:rPr>
  </w:style>
  <w:style w:type="character" w:customStyle="1" w:styleId="Heading5Char">
    <w:name w:val="Heading 5 Char"/>
    <w:link w:val="Heading5"/>
    <w:uiPriority w:val="9"/>
    <w:semiHidden/>
    <w:rsid w:val="00C87438"/>
    <w:rPr>
      <w:rFonts w:eastAsia="Times New Roman"/>
      <w:color w:val="243F60"/>
      <w:sz w:val="21"/>
      <w:szCs w:val="22"/>
      <w:lang w:eastAsia="en-US"/>
    </w:rPr>
  </w:style>
  <w:style w:type="character" w:customStyle="1" w:styleId="Heading6Char">
    <w:name w:val="Heading 6 Char"/>
    <w:link w:val="Heading6"/>
    <w:uiPriority w:val="9"/>
    <w:semiHidden/>
    <w:rsid w:val="00C87438"/>
    <w:rPr>
      <w:rFonts w:eastAsia="Times New Roman"/>
      <w:i/>
      <w:iCs/>
      <w:color w:val="243F60"/>
      <w:sz w:val="21"/>
      <w:szCs w:val="22"/>
      <w:lang w:eastAsia="en-US"/>
    </w:rPr>
  </w:style>
  <w:style w:type="character" w:customStyle="1" w:styleId="Heading7Char">
    <w:name w:val="Heading 7 Char"/>
    <w:link w:val="Heading7"/>
    <w:uiPriority w:val="9"/>
    <w:semiHidden/>
    <w:rsid w:val="00C87438"/>
    <w:rPr>
      <w:rFonts w:eastAsia="Times New Roman"/>
      <w:i/>
      <w:iCs/>
      <w:color w:val="404040"/>
      <w:sz w:val="21"/>
      <w:szCs w:val="22"/>
      <w:lang w:eastAsia="en-US"/>
    </w:rPr>
  </w:style>
  <w:style w:type="character" w:customStyle="1" w:styleId="Heading8Char">
    <w:name w:val="Heading 8 Char"/>
    <w:link w:val="Heading8"/>
    <w:uiPriority w:val="9"/>
    <w:semiHidden/>
    <w:rsid w:val="00C87438"/>
    <w:rPr>
      <w:rFonts w:eastAsia="Times New Roman"/>
      <w:color w:val="404040"/>
      <w:lang w:eastAsia="en-US"/>
    </w:rPr>
  </w:style>
  <w:style w:type="character" w:customStyle="1" w:styleId="Heading9Char">
    <w:name w:val="Heading 9 Char"/>
    <w:link w:val="Heading9"/>
    <w:uiPriority w:val="9"/>
    <w:semiHidden/>
    <w:rsid w:val="00C87438"/>
    <w:rPr>
      <w:rFonts w:eastAsia="Times New Roman"/>
      <w:i/>
      <w:iCs/>
      <w:color w:val="404040"/>
      <w:lang w:eastAsia="en-US"/>
    </w:rPr>
  </w:style>
  <w:style w:type="numbering" w:customStyle="1" w:styleId="NoList1">
    <w:name w:val="No List1"/>
    <w:next w:val="NoList"/>
    <w:uiPriority w:val="99"/>
    <w:semiHidden/>
    <w:unhideWhenUsed/>
    <w:rsid w:val="00C87438"/>
  </w:style>
  <w:style w:type="paragraph" w:styleId="Title">
    <w:name w:val="Title"/>
    <w:basedOn w:val="Normal"/>
    <w:next w:val="Normal"/>
    <w:link w:val="TitleChar"/>
    <w:uiPriority w:val="10"/>
    <w:qFormat/>
    <w:rsid w:val="00C87438"/>
    <w:pPr>
      <w:pBdr>
        <w:bottom w:val="single" w:sz="8" w:space="4" w:color="4F81BD"/>
      </w:pBdr>
      <w:spacing w:after="300" w:line="240" w:lineRule="auto"/>
      <w:contextualSpacing/>
    </w:pPr>
    <w:rPr>
      <w:rFonts w:eastAsia="Times New Roman"/>
      <w:color w:val="17365D"/>
      <w:spacing w:val="5"/>
      <w:kern w:val="28"/>
      <w:sz w:val="52"/>
      <w:szCs w:val="52"/>
      <w:lang w:val="en-US"/>
    </w:rPr>
  </w:style>
  <w:style w:type="character" w:customStyle="1" w:styleId="TitleChar">
    <w:name w:val="Title Char"/>
    <w:link w:val="Title"/>
    <w:uiPriority w:val="10"/>
    <w:rsid w:val="00C87438"/>
    <w:rPr>
      <w:rFonts w:eastAsia="Times New Roman"/>
      <w:color w:val="17365D"/>
      <w:spacing w:val="5"/>
      <w:kern w:val="28"/>
      <w:sz w:val="52"/>
      <w:szCs w:val="52"/>
      <w:lang w:val="en-US" w:eastAsia="en-US"/>
    </w:rPr>
  </w:style>
  <w:style w:type="paragraph" w:customStyle="1" w:styleId="Subheading">
    <w:name w:val="Subheading"/>
    <w:qFormat/>
    <w:rsid w:val="00C87438"/>
    <w:pPr>
      <w:spacing w:before="200" w:after="100"/>
    </w:pPr>
    <w:rPr>
      <w:rFonts w:ascii="Calibri" w:eastAsia="Times New Roman" w:hAnsi="Calibri"/>
      <w:color w:val="005782"/>
      <w:sz w:val="30"/>
      <w:szCs w:val="30"/>
    </w:rPr>
  </w:style>
  <w:style w:type="paragraph" w:customStyle="1" w:styleId="DefinitionText">
    <w:name w:val="Definition Text"/>
    <w:basedOn w:val="Normal"/>
    <w:qFormat/>
    <w:rsid w:val="00C87438"/>
    <w:pPr>
      <w:spacing w:before="40" w:after="40" w:line="240" w:lineRule="auto"/>
      <w:ind w:left="284"/>
    </w:pPr>
    <w:rPr>
      <w:rFonts w:ascii="Arial" w:eastAsia="Times New Roman" w:hAnsi="Arial" w:cs="Arial"/>
      <w:color w:val="000000"/>
      <w:sz w:val="18"/>
      <w:szCs w:val="18"/>
      <w:lang w:eastAsia="en-AU"/>
    </w:rPr>
  </w:style>
  <w:style w:type="character" w:customStyle="1" w:styleId="ListParagraphChar">
    <w:name w:val="List Paragraph Char"/>
    <w:link w:val="ListParagraph"/>
    <w:uiPriority w:val="34"/>
    <w:locked/>
    <w:rsid w:val="00C87438"/>
    <w:rPr>
      <w:rFonts w:eastAsia="Cambria"/>
      <w:sz w:val="22"/>
      <w:szCs w:val="22"/>
      <w:lang w:eastAsia="en-US"/>
    </w:rPr>
  </w:style>
  <w:style w:type="paragraph" w:customStyle="1" w:styleId="DefinitionHeadings">
    <w:name w:val="Definition Headings"/>
    <w:qFormat/>
    <w:rsid w:val="00C87438"/>
    <w:pPr>
      <w:spacing w:before="40" w:after="40"/>
    </w:pPr>
    <w:rPr>
      <w:rFonts w:ascii="Arial" w:eastAsia="Times New Roman" w:hAnsi="Arial" w:cs="Arial"/>
      <w:b/>
      <w:bCs/>
      <w:color w:val="000000"/>
      <w:sz w:val="18"/>
      <w:szCs w:val="18"/>
    </w:rPr>
  </w:style>
  <w:style w:type="paragraph" w:customStyle="1" w:styleId="ActHead5">
    <w:name w:val="ActHead 5"/>
    <w:aliases w:val="s"/>
    <w:basedOn w:val="Normal"/>
    <w:next w:val="Normal"/>
    <w:rsid w:val="00C87438"/>
    <w:pPr>
      <w:keepNext/>
      <w:keepLines/>
      <w:spacing w:before="280" w:after="0" w:line="240" w:lineRule="auto"/>
      <w:ind w:left="1134" w:hanging="1134"/>
      <w:outlineLvl w:val="4"/>
    </w:pPr>
    <w:rPr>
      <w:rFonts w:ascii="Times New Roman" w:eastAsia="Times New Roman" w:hAnsi="Times New Roman"/>
      <w:b/>
      <w:bCs/>
      <w:kern w:val="28"/>
      <w:sz w:val="24"/>
      <w:szCs w:val="32"/>
      <w:lang w:eastAsia="en-AU"/>
    </w:rPr>
  </w:style>
  <w:style w:type="paragraph" w:customStyle="1" w:styleId="paragraph">
    <w:name w:val="paragraph"/>
    <w:aliases w:val="a"/>
    <w:rsid w:val="00C87438"/>
    <w:pPr>
      <w:tabs>
        <w:tab w:val="right" w:pos="1531"/>
      </w:tabs>
      <w:spacing w:before="40"/>
      <w:ind w:left="1644" w:hanging="1644"/>
    </w:pPr>
    <w:rPr>
      <w:rFonts w:ascii="Times New Roman" w:eastAsia="Times New Roman" w:hAnsi="Times New Roman"/>
      <w:sz w:val="22"/>
      <w:szCs w:val="24"/>
    </w:rPr>
  </w:style>
  <w:style w:type="paragraph" w:customStyle="1" w:styleId="ColorfulList-Accent11">
    <w:name w:val="Colorful List - Accent 11"/>
    <w:basedOn w:val="Normal"/>
    <w:uiPriority w:val="34"/>
    <w:qFormat/>
    <w:rsid w:val="00C87438"/>
    <w:pPr>
      <w:spacing w:after="0" w:line="240" w:lineRule="auto"/>
      <w:ind w:left="720"/>
      <w:contextualSpacing/>
    </w:pPr>
    <w:rPr>
      <w:rFonts w:ascii="Verdana" w:eastAsia="Calibri" w:hAnsi="Verdana"/>
      <w:sz w:val="20"/>
      <w:szCs w:val="24"/>
    </w:rPr>
  </w:style>
  <w:style w:type="table" w:customStyle="1" w:styleId="TableGrid113">
    <w:name w:val="Table Grid11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
    <w:name w:val="Table Grid11"/>
    <w:basedOn w:val="TableNormal"/>
    <w:next w:val="TableGrid"/>
    <w:uiPriority w:val="59"/>
    <w:rsid w:val="00C87438"/>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C87438"/>
    <w:pPr>
      <w:spacing w:before="40" w:after="40" w:line="240" w:lineRule="auto"/>
    </w:pPr>
    <w:rPr>
      <w:rFonts w:ascii="Arial" w:eastAsia="Times New Roman" w:hAnsi="Arial" w:cs="Arial"/>
      <w:color w:val="000000"/>
      <w:sz w:val="20"/>
      <w:szCs w:val="20"/>
      <w:lang w:eastAsia="en-AU"/>
    </w:rPr>
  </w:style>
  <w:style w:type="paragraph" w:customStyle="1" w:styleId="Subscript">
    <w:name w:val="Subscript"/>
    <w:link w:val="SubscriptChar"/>
    <w:qFormat/>
    <w:rsid w:val="00C87438"/>
    <w:rPr>
      <w:rFonts w:ascii="Arial" w:eastAsia="Times New Roman" w:hAnsi="Arial"/>
      <w:color w:val="000000"/>
      <w:szCs w:val="32"/>
      <w:vertAlign w:val="superscript"/>
    </w:rPr>
  </w:style>
  <w:style w:type="character" w:customStyle="1" w:styleId="SubscriptChar">
    <w:name w:val="Subscript Char"/>
    <w:link w:val="Subscript"/>
    <w:rsid w:val="00C87438"/>
    <w:rPr>
      <w:rFonts w:ascii="Arial" w:eastAsia="Times New Roman" w:hAnsi="Arial"/>
      <w:color w:val="000000"/>
      <w:szCs w:val="32"/>
      <w:vertAlign w:val="superscript"/>
    </w:rPr>
  </w:style>
  <w:style w:type="character" w:styleId="FollowedHyperlink">
    <w:name w:val="FollowedHyperlink"/>
    <w:uiPriority w:val="99"/>
    <w:semiHidden/>
    <w:unhideWhenUsed/>
    <w:rsid w:val="00C87438"/>
    <w:rPr>
      <w:color w:val="800080"/>
      <w:u w:val="single"/>
    </w:rPr>
  </w:style>
  <w:style w:type="character" w:styleId="CommentReference">
    <w:name w:val="annotation reference"/>
    <w:uiPriority w:val="99"/>
    <w:semiHidden/>
    <w:unhideWhenUsed/>
    <w:rsid w:val="00C87438"/>
    <w:rPr>
      <w:sz w:val="16"/>
      <w:szCs w:val="16"/>
    </w:rPr>
  </w:style>
  <w:style w:type="paragraph" w:styleId="CommentText">
    <w:name w:val="annotation text"/>
    <w:basedOn w:val="Normal"/>
    <w:link w:val="CommentTextChar"/>
    <w:uiPriority w:val="99"/>
    <w:semiHidden/>
    <w:unhideWhenUsed/>
    <w:rsid w:val="00C87438"/>
    <w:pPr>
      <w:spacing w:line="240" w:lineRule="auto"/>
    </w:pPr>
    <w:rPr>
      <w:rFonts w:ascii="Calibri" w:eastAsia="Calibri" w:hAnsi="Calibri"/>
      <w:sz w:val="20"/>
      <w:szCs w:val="20"/>
    </w:rPr>
  </w:style>
  <w:style w:type="character" w:customStyle="1" w:styleId="CommentTextChar">
    <w:name w:val="Comment Text Char"/>
    <w:link w:val="CommentText"/>
    <w:uiPriority w:val="99"/>
    <w:semiHidden/>
    <w:rsid w:val="00C87438"/>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C87438"/>
    <w:rPr>
      <w:b/>
      <w:bCs/>
    </w:rPr>
  </w:style>
  <w:style w:type="character" w:customStyle="1" w:styleId="CommentSubjectChar">
    <w:name w:val="Comment Subject Char"/>
    <w:link w:val="CommentSubject"/>
    <w:uiPriority w:val="99"/>
    <w:semiHidden/>
    <w:rsid w:val="00C87438"/>
    <w:rPr>
      <w:rFonts w:ascii="Calibri" w:eastAsia="Calibri" w:hAnsi="Calibri"/>
      <w:b/>
      <w:bCs/>
      <w:lang w:eastAsia="en-US"/>
    </w:rPr>
  </w:style>
  <w:style w:type="paragraph" w:styleId="Revision">
    <w:name w:val="Revision"/>
    <w:hidden/>
    <w:uiPriority w:val="99"/>
    <w:rsid w:val="00C87438"/>
    <w:rPr>
      <w:rFonts w:ascii="Calibri" w:eastAsia="Calibri" w:hAnsi="Calibri"/>
      <w:sz w:val="22"/>
      <w:szCs w:val="22"/>
      <w:lang w:eastAsia="en-US"/>
    </w:rPr>
  </w:style>
  <w:style w:type="paragraph" w:styleId="DocumentMap">
    <w:name w:val="Document Map"/>
    <w:basedOn w:val="Normal"/>
    <w:link w:val="DocumentMapChar"/>
    <w:uiPriority w:val="99"/>
    <w:semiHidden/>
    <w:rsid w:val="00C87438"/>
    <w:pPr>
      <w:shd w:val="clear" w:color="auto" w:fill="000080"/>
      <w:spacing w:after="0" w:line="240" w:lineRule="auto"/>
    </w:pPr>
    <w:rPr>
      <w:rFonts w:ascii="Tahoma" w:eastAsia="Times New Roman" w:hAnsi="Tahoma"/>
      <w:sz w:val="24"/>
      <w:szCs w:val="24"/>
      <w:lang w:eastAsia="en-AU"/>
    </w:rPr>
  </w:style>
  <w:style w:type="character" w:customStyle="1" w:styleId="DocumentMapChar">
    <w:name w:val="Document Map Char"/>
    <w:link w:val="DocumentMap"/>
    <w:uiPriority w:val="99"/>
    <w:semiHidden/>
    <w:rsid w:val="00C87438"/>
    <w:rPr>
      <w:rFonts w:ascii="Tahoma" w:eastAsia="Times New Roman" w:hAnsi="Tahoma"/>
      <w:sz w:val="24"/>
      <w:szCs w:val="24"/>
      <w:shd w:val="clear" w:color="auto" w:fill="000080"/>
    </w:rPr>
  </w:style>
  <w:style w:type="paragraph" w:customStyle="1" w:styleId="Table">
    <w:name w:val="Table"/>
    <w:basedOn w:val="Normal"/>
    <w:link w:val="TableChar"/>
    <w:qFormat/>
    <w:rsid w:val="00C87438"/>
    <w:pPr>
      <w:spacing w:after="0" w:line="240" w:lineRule="auto"/>
    </w:pPr>
    <w:rPr>
      <w:rFonts w:ascii="Arial" w:eastAsia="Calibri" w:hAnsi="Arial"/>
      <w:b/>
      <w:color w:val="000000"/>
      <w:sz w:val="20"/>
      <w:szCs w:val="20"/>
    </w:rPr>
  </w:style>
  <w:style w:type="paragraph" w:customStyle="1" w:styleId="Figuremessage">
    <w:name w:val="Figure message"/>
    <w:basedOn w:val="Normal"/>
    <w:link w:val="FiguremessageChar"/>
    <w:uiPriority w:val="99"/>
    <w:qFormat/>
    <w:rsid w:val="00C87438"/>
    <w:pPr>
      <w:spacing w:after="0" w:line="240" w:lineRule="auto"/>
    </w:pPr>
    <w:rPr>
      <w:rFonts w:ascii="Arial" w:eastAsia="Times New Roman" w:hAnsi="Arial"/>
      <w:color w:val="FFFFFF"/>
      <w:sz w:val="18"/>
      <w:szCs w:val="24"/>
    </w:rPr>
  </w:style>
  <w:style w:type="character" w:customStyle="1" w:styleId="TableChar">
    <w:name w:val="Table Char"/>
    <w:link w:val="Table"/>
    <w:rsid w:val="00C87438"/>
    <w:rPr>
      <w:rFonts w:ascii="Arial" w:eastAsia="Calibri" w:hAnsi="Arial"/>
      <w:b/>
      <w:color w:val="000000"/>
      <w:lang w:eastAsia="en-US"/>
    </w:rPr>
  </w:style>
  <w:style w:type="paragraph" w:styleId="NormalWeb">
    <w:name w:val="Normal (Web)"/>
    <w:basedOn w:val="Normal"/>
    <w:uiPriority w:val="99"/>
    <w:unhideWhenUsed/>
    <w:rsid w:val="00C87438"/>
    <w:pPr>
      <w:spacing w:before="100" w:beforeAutospacing="1" w:after="100" w:afterAutospacing="1" w:line="240" w:lineRule="auto"/>
    </w:pPr>
    <w:rPr>
      <w:rFonts w:ascii="Times New Roman" w:eastAsia="Times New Roman" w:hAnsi="Times New Roman"/>
      <w:color w:val="000000"/>
      <w:sz w:val="24"/>
      <w:szCs w:val="24"/>
      <w:lang w:eastAsia="en-AU"/>
    </w:rPr>
  </w:style>
  <w:style w:type="paragraph" w:customStyle="1" w:styleId="Figure">
    <w:name w:val="Figure"/>
    <w:basedOn w:val="Normal"/>
    <w:uiPriority w:val="99"/>
    <w:qFormat/>
    <w:rsid w:val="00C87438"/>
    <w:pPr>
      <w:spacing w:after="0" w:line="240" w:lineRule="auto"/>
    </w:pPr>
    <w:rPr>
      <w:rFonts w:ascii="Arial" w:eastAsia="Times New Roman" w:hAnsi="Arial"/>
      <w:b/>
      <w:color w:val="000000"/>
      <w:sz w:val="20"/>
      <w:szCs w:val="24"/>
    </w:rPr>
  </w:style>
  <w:style w:type="table" w:styleId="LightList-Accent1">
    <w:name w:val="Light List Accent 1"/>
    <w:basedOn w:val="TableNormal"/>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aptions">
    <w:name w:val="Captions"/>
    <w:basedOn w:val="Caption"/>
    <w:link w:val="CaptionsChar"/>
    <w:rsid w:val="00C87438"/>
    <w:pPr>
      <w:keepNext/>
      <w:framePr w:hSpace="180" w:wrap="around" w:vAnchor="text" w:hAnchor="text" w:y="14"/>
    </w:pPr>
    <w:rPr>
      <w:szCs w:val="20"/>
    </w:rPr>
  </w:style>
  <w:style w:type="character" w:customStyle="1" w:styleId="CaptionsChar">
    <w:name w:val="Captions Char"/>
    <w:link w:val="Captions"/>
    <w:rsid w:val="00C87438"/>
    <w:rPr>
      <w:rFonts w:ascii="Arial" w:eastAsia="Calibri" w:hAnsi="Arial"/>
      <w:b/>
      <w:bCs/>
      <w:color w:val="FFFFFF"/>
      <w:lang w:eastAsia="en-US"/>
    </w:rPr>
  </w:style>
  <w:style w:type="table" w:customStyle="1" w:styleId="Strategic">
    <w:name w:val="Strategic"/>
    <w:basedOn w:val="TableNormal"/>
    <w:uiPriority w:val="99"/>
    <w:rsid w:val="00C87438"/>
    <w:rPr>
      <w:rFonts w:ascii="Calibri" w:eastAsia="Calibri" w:hAnsi="Calibri"/>
      <w:sz w:val="22"/>
      <w:szCs w:val="22"/>
      <w:lang w:eastAsia="en-US"/>
    </w:rPr>
    <w:tblPr/>
  </w:style>
  <w:style w:type="paragraph" w:styleId="BodyText">
    <w:name w:val="Body Text"/>
    <w:basedOn w:val="Normal"/>
    <w:link w:val="BodyTextChar"/>
    <w:uiPriority w:val="99"/>
    <w:unhideWhenUsed/>
    <w:rsid w:val="00C87438"/>
    <w:pPr>
      <w:spacing w:line="240" w:lineRule="auto"/>
    </w:pPr>
    <w:rPr>
      <w:rFonts w:ascii="Calibri" w:eastAsia="Times New Roman" w:hAnsi="Calibri"/>
      <w:sz w:val="21"/>
      <w:lang w:eastAsia="en-AU"/>
    </w:rPr>
  </w:style>
  <w:style w:type="character" w:customStyle="1" w:styleId="BodyTextChar">
    <w:name w:val="Body Text Char"/>
    <w:link w:val="BodyText"/>
    <w:uiPriority w:val="99"/>
    <w:rsid w:val="00C87438"/>
    <w:rPr>
      <w:rFonts w:ascii="Calibri" w:eastAsia="Times New Roman" w:hAnsi="Calibri"/>
      <w:sz w:val="21"/>
      <w:szCs w:val="22"/>
    </w:rPr>
  </w:style>
  <w:style w:type="paragraph" w:styleId="NoSpacing">
    <w:name w:val="No Spacing"/>
    <w:aliases w:val="BioVA_2Head"/>
    <w:uiPriority w:val="1"/>
    <w:qFormat/>
    <w:rsid w:val="00C87438"/>
    <w:pPr>
      <w:spacing w:before="120" w:after="120"/>
      <w:ind w:left="113"/>
    </w:pPr>
    <w:rPr>
      <w:rFonts w:ascii="Segoe UI" w:eastAsia="Calibri" w:hAnsi="Segoe UI"/>
      <w:b/>
      <w:color w:val="17365D"/>
      <w:sz w:val="28"/>
      <w:szCs w:val="22"/>
      <w:lang w:val="en-US" w:eastAsia="en-US"/>
    </w:rPr>
  </w:style>
  <w:style w:type="character" w:styleId="Emphasis">
    <w:name w:val="Emphasis"/>
    <w:uiPriority w:val="20"/>
    <w:qFormat/>
    <w:rsid w:val="00C87438"/>
    <w:rPr>
      <w:i/>
      <w:iCs/>
    </w:rPr>
  </w:style>
  <w:style w:type="table" w:customStyle="1" w:styleId="TableGrid22">
    <w:name w:val="Table Grid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iguremessageChar">
    <w:name w:val="Figure message Char"/>
    <w:link w:val="Figuremessage"/>
    <w:uiPriority w:val="99"/>
    <w:rsid w:val="00C87438"/>
    <w:rPr>
      <w:rFonts w:ascii="Arial" w:eastAsia="Times New Roman" w:hAnsi="Arial"/>
      <w:color w:val="FFFFFF"/>
      <w:sz w:val="18"/>
      <w:szCs w:val="24"/>
      <w:lang w:eastAsia="en-US"/>
    </w:rPr>
  </w:style>
  <w:style w:type="numbering" w:customStyle="1" w:styleId="NoList11">
    <w:name w:val="No List11"/>
    <w:next w:val="NoList"/>
    <w:uiPriority w:val="99"/>
    <w:semiHidden/>
    <w:unhideWhenUsed/>
    <w:rsid w:val="00C87438"/>
  </w:style>
  <w:style w:type="numbering" w:customStyle="1" w:styleId="NoList111">
    <w:name w:val="No List111"/>
    <w:next w:val="NoList"/>
    <w:uiPriority w:val="99"/>
    <w:semiHidden/>
    <w:unhideWhenUsed/>
    <w:rsid w:val="00C87438"/>
  </w:style>
  <w:style w:type="table" w:customStyle="1" w:styleId="LightList-Accent11">
    <w:name w:val="Light List - Accent 11"/>
    <w:basedOn w:val="TableNormal"/>
    <w:next w:val="LightList-Accent1"/>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
    <w:name w:val="Table Grid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ategic1">
    <w:name w:val="Strategic1"/>
    <w:basedOn w:val="TableNormal"/>
    <w:uiPriority w:val="99"/>
    <w:rsid w:val="00C87438"/>
    <w:rPr>
      <w:rFonts w:ascii="Calibri" w:eastAsia="Calibri" w:hAnsi="Calibri"/>
      <w:sz w:val="22"/>
      <w:szCs w:val="22"/>
      <w:lang w:eastAsia="en-US"/>
    </w:rPr>
    <w:tblPr/>
  </w:style>
  <w:style w:type="table" w:customStyle="1" w:styleId="TableGrid221">
    <w:name w:val="Table Grid221"/>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rsid w:val="00C87438"/>
    <w:pPr>
      <w:tabs>
        <w:tab w:val="left" w:pos="851"/>
        <w:tab w:val="right" w:leader="dot" w:pos="4678"/>
      </w:tabs>
      <w:spacing w:after="60" w:line="240" w:lineRule="auto"/>
    </w:pPr>
    <w:rPr>
      <w:rFonts w:ascii="Arial" w:eastAsia="Calibri" w:hAnsi="Arial"/>
      <w:b/>
      <w:noProof/>
      <w:sz w:val="21"/>
    </w:rPr>
  </w:style>
  <w:style w:type="paragraph" w:customStyle="1" w:styleId="Keymessage">
    <w:name w:val="Key message"/>
    <w:basedOn w:val="Normal"/>
    <w:uiPriority w:val="99"/>
    <w:qFormat/>
    <w:rsid w:val="00C87438"/>
    <w:pPr>
      <w:spacing w:after="0" w:line="240" w:lineRule="auto"/>
      <w:outlineLvl w:val="3"/>
    </w:pPr>
    <w:rPr>
      <w:rFonts w:ascii="Arial" w:eastAsia="Times New Roman" w:hAnsi="Arial" w:cs="Arial"/>
      <w:i/>
      <w:sz w:val="20"/>
      <w:szCs w:val="24"/>
    </w:rPr>
  </w:style>
  <w:style w:type="character" w:customStyle="1" w:styleId="i3">
    <w:name w:val="i3"/>
    <w:rsid w:val="00C87438"/>
    <w:rPr>
      <w:i/>
      <w:iCs/>
    </w:rPr>
  </w:style>
  <w:style w:type="table" w:customStyle="1" w:styleId="TableGrid222">
    <w:name w:val="Table Grid2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87438"/>
    <w:pPr>
      <w:autoSpaceDE w:val="0"/>
      <w:autoSpaceDN w:val="0"/>
      <w:adjustRightInd w:val="0"/>
    </w:pPr>
    <w:rPr>
      <w:rFonts w:ascii="Calibri" w:eastAsia="Calibri" w:hAnsi="Calibri" w:cs="Calibri"/>
      <w:color w:val="000000"/>
      <w:sz w:val="24"/>
      <w:szCs w:val="24"/>
      <w:lang w:eastAsia="en-US"/>
    </w:rPr>
  </w:style>
  <w:style w:type="numbering" w:customStyle="1" w:styleId="BulletList">
    <w:name w:val="Bullet List"/>
    <w:uiPriority w:val="99"/>
    <w:rsid w:val="00C87438"/>
    <w:pPr>
      <w:numPr>
        <w:numId w:val="16"/>
      </w:numPr>
    </w:pPr>
  </w:style>
  <w:style w:type="paragraph" w:styleId="ListBullet">
    <w:name w:val="List Bullet"/>
    <w:basedOn w:val="Normal"/>
    <w:uiPriority w:val="99"/>
    <w:unhideWhenUsed/>
    <w:qFormat/>
    <w:rsid w:val="00C87438"/>
    <w:pPr>
      <w:numPr>
        <w:numId w:val="17"/>
      </w:numPr>
    </w:pPr>
    <w:rPr>
      <w:rFonts w:ascii="Arial" w:eastAsia="Calibri" w:hAnsi="Arial"/>
    </w:rPr>
  </w:style>
  <w:style w:type="paragraph" w:styleId="ListBullet2">
    <w:name w:val="List Bullet 2"/>
    <w:basedOn w:val="Normal"/>
    <w:uiPriority w:val="99"/>
    <w:unhideWhenUsed/>
    <w:rsid w:val="00C87438"/>
    <w:pPr>
      <w:numPr>
        <w:ilvl w:val="1"/>
        <w:numId w:val="17"/>
      </w:numPr>
    </w:pPr>
    <w:rPr>
      <w:rFonts w:ascii="Arial" w:eastAsia="Calibri" w:hAnsi="Arial"/>
    </w:rPr>
  </w:style>
  <w:style w:type="paragraph" w:styleId="ListBullet3">
    <w:name w:val="List Bullet 3"/>
    <w:basedOn w:val="Normal"/>
    <w:uiPriority w:val="99"/>
    <w:unhideWhenUsed/>
    <w:rsid w:val="00C87438"/>
    <w:pPr>
      <w:numPr>
        <w:ilvl w:val="2"/>
        <w:numId w:val="17"/>
      </w:numPr>
    </w:pPr>
    <w:rPr>
      <w:rFonts w:ascii="Arial" w:eastAsia="Calibri" w:hAnsi="Arial"/>
    </w:rPr>
  </w:style>
  <w:style w:type="paragraph" w:styleId="ListBullet4">
    <w:name w:val="List Bullet 4"/>
    <w:basedOn w:val="Normal"/>
    <w:uiPriority w:val="99"/>
    <w:unhideWhenUsed/>
    <w:rsid w:val="00C87438"/>
    <w:pPr>
      <w:numPr>
        <w:ilvl w:val="3"/>
        <w:numId w:val="17"/>
      </w:numPr>
    </w:pPr>
    <w:rPr>
      <w:rFonts w:ascii="Arial" w:eastAsia="Calibri" w:hAnsi="Arial"/>
    </w:rPr>
  </w:style>
  <w:style w:type="paragraph" w:styleId="ListBullet5">
    <w:name w:val="List Bullet 5"/>
    <w:basedOn w:val="Normal"/>
    <w:uiPriority w:val="99"/>
    <w:unhideWhenUsed/>
    <w:rsid w:val="00C87438"/>
    <w:pPr>
      <w:numPr>
        <w:ilvl w:val="4"/>
        <w:numId w:val="17"/>
      </w:numPr>
    </w:pPr>
    <w:rPr>
      <w:rFonts w:ascii="Arial" w:eastAsia="Calibri" w:hAnsi="Arial"/>
    </w:rPr>
  </w:style>
  <w:style w:type="numbering" w:customStyle="1" w:styleId="NoList2">
    <w:name w:val="No List2"/>
    <w:next w:val="NoList"/>
    <w:uiPriority w:val="99"/>
    <w:semiHidden/>
    <w:unhideWhenUsed/>
    <w:rsid w:val="00C87438"/>
  </w:style>
  <w:style w:type="table" w:customStyle="1" w:styleId="TableGrid4">
    <w:name w:val="Table Grid4"/>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87438"/>
    <w:pPr>
      <w:tabs>
        <w:tab w:val="left" w:pos="3544"/>
        <w:tab w:val="right" w:leader="dot" w:pos="4638"/>
      </w:tabs>
      <w:spacing w:after="30" w:line="240" w:lineRule="auto"/>
      <w:ind w:left="1135" w:hanging="851"/>
    </w:pPr>
    <w:rPr>
      <w:rFonts w:ascii="Arial" w:eastAsia="Calibri" w:hAnsi="Arial"/>
      <w:color w:val="000000"/>
      <w:sz w:val="21"/>
    </w:rPr>
  </w:style>
  <w:style w:type="paragraph" w:styleId="TableofFigures">
    <w:name w:val="table of figures"/>
    <w:basedOn w:val="Normal"/>
    <w:next w:val="Normal"/>
    <w:uiPriority w:val="99"/>
    <w:unhideWhenUsed/>
    <w:rsid w:val="00C87438"/>
    <w:pPr>
      <w:spacing w:after="0" w:line="240" w:lineRule="auto"/>
    </w:pPr>
    <w:rPr>
      <w:rFonts w:ascii="Arial" w:eastAsia="Calibri" w:hAnsi="Arial"/>
      <w:color w:val="000000"/>
      <w:sz w:val="21"/>
    </w:rPr>
  </w:style>
  <w:style w:type="paragraph" w:customStyle="1" w:styleId="FigureMessage0">
    <w:name w:val="Figure Message"/>
    <w:basedOn w:val="Caption"/>
    <w:link w:val="FigureMessageChar0"/>
    <w:qFormat/>
    <w:rsid w:val="00C87438"/>
    <w:pPr>
      <w:shd w:val="clear" w:color="auto" w:fill="FFC625"/>
      <w:spacing w:after="200"/>
      <w:ind w:left="-142" w:right="-767"/>
    </w:pPr>
    <w:rPr>
      <w:rFonts w:ascii="Segoe UI" w:hAnsi="Segoe UI" w:cs="Segoe UI"/>
      <w:b w:val="0"/>
      <w:sz w:val="18"/>
      <w:shd w:val="clear" w:color="auto" w:fill="FFC625"/>
    </w:rPr>
  </w:style>
  <w:style w:type="character" w:customStyle="1" w:styleId="FigureMessageChar0">
    <w:name w:val="Figure Message Char"/>
    <w:link w:val="FigureMessage0"/>
    <w:rsid w:val="00C87438"/>
    <w:rPr>
      <w:rFonts w:ascii="Segoe UI" w:eastAsia="Calibri" w:hAnsi="Segoe UI" w:cs="Segoe UI"/>
      <w:bCs/>
      <w:color w:val="FFFFFF"/>
      <w:sz w:val="18"/>
      <w:szCs w:val="18"/>
      <w:shd w:val="clear" w:color="auto" w:fill="FFC625"/>
      <w:lang w:eastAsia="en-US"/>
    </w:rPr>
  </w:style>
  <w:style w:type="table" w:customStyle="1" w:styleId="TableGrid51">
    <w:name w:val="Table Grid5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26663">
      <w:bodyDiv w:val="1"/>
      <w:marLeft w:val="0"/>
      <w:marRight w:val="0"/>
      <w:marTop w:val="0"/>
      <w:marBottom w:val="0"/>
      <w:divBdr>
        <w:top w:val="none" w:sz="0" w:space="0" w:color="auto"/>
        <w:left w:val="none" w:sz="0" w:space="0" w:color="auto"/>
        <w:bottom w:val="none" w:sz="0" w:space="0" w:color="auto"/>
        <w:right w:val="none" w:sz="0" w:space="0" w:color="auto"/>
      </w:divBdr>
    </w:div>
    <w:div w:id="119630613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4.0" TargetMode="External"/><Relationship Id="rId18" Type="http://schemas.openxmlformats.org/officeDocument/2006/relationships/header" Target="header1.xml"/><Relationship Id="rId26" Type="http://schemas.openxmlformats.org/officeDocument/2006/relationships/image" Target="media/image10.emf"/><Relationship Id="rId21" Type="http://schemas.openxmlformats.org/officeDocument/2006/relationships/image" Target="media/image5.png"/><Relationship Id="rId34" Type="http://schemas.openxmlformats.org/officeDocument/2006/relationships/image" Target="http://gallerypro.gbrmpa.gov.au/Gallery/gs/handler/getmedia.ashx?moid=8674&amp;dt=2&amp;g=2"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fo@gbrmpa.gov.au" TargetMode="External"/><Relationship Id="rId25" Type="http://schemas.openxmlformats.org/officeDocument/2006/relationships/image" Target="media/image9.jpeg"/><Relationship Id="rId33"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image" Target="media/image14.jpe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7.emf"/><Relationship Id="rId28" Type="http://schemas.openxmlformats.org/officeDocument/2006/relationships/image" Target="media/image11.jpe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ces/by/3.0/au" TargetMode="External"/><Relationship Id="rId22" Type="http://schemas.openxmlformats.org/officeDocument/2006/relationships/image" Target="media/image6.jpeg"/><Relationship Id="rId27" Type="http://schemas.openxmlformats.org/officeDocument/2006/relationships/package" Target="embeddings/Microsoft_Word_Document1.docx"/><Relationship Id="rId30" Type="http://schemas.openxmlformats.org/officeDocument/2006/relationships/hyperlink" Target="http://www.gbrmpa.gov.au" TargetMode="External"/><Relationship Id="rId35" Type="http://schemas.openxmlformats.org/officeDocument/2006/relationships/image" Target="media/image16.jpeg"/><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PROJ-1769437419-21</_dlc_DocId>
    <_dlc_DocIdUrl xmlns="8ccc4631-9afc-4718-b120-5e2e37a03cc7">
      <Url>http://thedock.gbrmpa.gov.au/sites/Projects/P000057/_layouts/DocIdRedir.aspx?ID=PROJ-1769437419-21</Url>
      <Description>PROJ-1769437419-21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9681823A98EAE4C94CACDA16CAF9246" ma:contentTypeVersion="9" ma:contentTypeDescription="" ma:contentTypeScope="" ma:versionID="7cb571b9dc8df2231613c5d01e116e3d">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02276ea79ff0b7a8670cbff203a4be98"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38318-6ED4-4491-8AD5-B32F342E38B0}">
  <ds:schemaRefs>
    <ds:schemaRef ds:uri="http://schemas.microsoft.com/office/2006/metadata/properties"/>
    <ds:schemaRef ds:uri="8ccc4631-9afc-4718-b120-5e2e37a03cc7"/>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 ds:uri="http://schemas.openxmlformats.org/package/2006/metadata/core-properties"/>
    <ds:schemaRef ds:uri="http://schemas.microsoft.com/sharepoint/v4"/>
    <ds:schemaRef ds:uri="http://purl.org/dc/terms/"/>
  </ds:schemaRefs>
</ds:datastoreItem>
</file>

<file path=customXml/itemProps2.xml><?xml version="1.0" encoding="utf-8"?>
<ds:datastoreItem xmlns:ds="http://schemas.openxmlformats.org/officeDocument/2006/customXml" ds:itemID="{301F0E1D-FA0D-4201-B299-7D631F981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01456-98A7-4279-9914-EAB4EB1BBC26}">
  <ds:schemaRefs>
    <ds:schemaRef ds:uri="http://schemas.microsoft.com/sharepoint/events"/>
  </ds:schemaRefs>
</ds:datastoreItem>
</file>

<file path=customXml/itemProps4.xml><?xml version="1.0" encoding="utf-8"?>
<ds:datastoreItem xmlns:ds="http://schemas.openxmlformats.org/officeDocument/2006/customXml" ds:itemID="{84A68A0D-E746-46F1-B468-63659C0B8D5D}">
  <ds:schemaRefs>
    <ds:schemaRef ds:uri="http://schemas.microsoft.com/sharepoint/v3/contenttype/forms"/>
  </ds:schemaRefs>
</ds:datastoreItem>
</file>

<file path=customXml/itemProps5.xml><?xml version="1.0" encoding="utf-8"?>
<ds:datastoreItem xmlns:ds="http://schemas.openxmlformats.org/officeDocument/2006/customXml" ds:itemID="{B2707052-A39D-4423-A264-6A642E01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9833</Words>
  <Characters>56051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Reef-2050-cumulative-impact-mngt-draft-for-consultation</vt:lpstr>
    </vt:vector>
  </TitlesOfParts>
  <Company/>
  <LinksUpToDate>false</LinksUpToDate>
  <CharactersWithSpaces>65753</CharactersWithSpaces>
  <SharedDoc>false</SharedDoc>
  <HLinks>
    <vt:vector size="90" baseType="variant">
      <vt:variant>
        <vt:i4>5505102</vt:i4>
      </vt:variant>
      <vt:variant>
        <vt:i4>93</vt:i4>
      </vt:variant>
      <vt:variant>
        <vt:i4>0</vt:i4>
      </vt:variant>
      <vt:variant>
        <vt:i4>5</vt:i4>
      </vt:variant>
      <vt:variant>
        <vt:lpwstr>http://www.gbrmpa.gov.au/</vt:lpwstr>
      </vt:variant>
      <vt:variant>
        <vt:lpwstr/>
      </vt:variant>
      <vt:variant>
        <vt:i4>1835060</vt:i4>
      </vt:variant>
      <vt:variant>
        <vt:i4>80</vt:i4>
      </vt:variant>
      <vt:variant>
        <vt:i4>0</vt:i4>
      </vt:variant>
      <vt:variant>
        <vt:i4>5</vt:i4>
      </vt:variant>
      <vt:variant>
        <vt:lpwstr/>
      </vt:variant>
      <vt:variant>
        <vt:lpwstr>_Toc481071621</vt:lpwstr>
      </vt:variant>
      <vt:variant>
        <vt:i4>1835060</vt:i4>
      </vt:variant>
      <vt:variant>
        <vt:i4>74</vt:i4>
      </vt:variant>
      <vt:variant>
        <vt:i4>0</vt:i4>
      </vt:variant>
      <vt:variant>
        <vt:i4>5</vt:i4>
      </vt:variant>
      <vt:variant>
        <vt:lpwstr/>
      </vt:variant>
      <vt:variant>
        <vt:lpwstr>_Toc481071620</vt:lpwstr>
      </vt:variant>
      <vt:variant>
        <vt:i4>2031668</vt:i4>
      </vt:variant>
      <vt:variant>
        <vt:i4>68</vt:i4>
      </vt:variant>
      <vt:variant>
        <vt:i4>0</vt:i4>
      </vt:variant>
      <vt:variant>
        <vt:i4>5</vt:i4>
      </vt:variant>
      <vt:variant>
        <vt:lpwstr/>
      </vt:variant>
      <vt:variant>
        <vt:lpwstr>_Toc481071619</vt:lpwstr>
      </vt:variant>
      <vt:variant>
        <vt:i4>2031668</vt:i4>
      </vt:variant>
      <vt:variant>
        <vt:i4>62</vt:i4>
      </vt:variant>
      <vt:variant>
        <vt:i4>0</vt:i4>
      </vt:variant>
      <vt:variant>
        <vt:i4>5</vt:i4>
      </vt:variant>
      <vt:variant>
        <vt:lpwstr/>
      </vt:variant>
      <vt:variant>
        <vt:lpwstr>_Toc481071618</vt:lpwstr>
      </vt:variant>
      <vt:variant>
        <vt:i4>2031668</vt:i4>
      </vt:variant>
      <vt:variant>
        <vt:i4>56</vt:i4>
      </vt:variant>
      <vt:variant>
        <vt:i4>0</vt:i4>
      </vt:variant>
      <vt:variant>
        <vt:i4>5</vt:i4>
      </vt:variant>
      <vt:variant>
        <vt:lpwstr/>
      </vt:variant>
      <vt:variant>
        <vt:lpwstr>_Toc481071617</vt:lpwstr>
      </vt:variant>
      <vt:variant>
        <vt:i4>2031668</vt:i4>
      </vt:variant>
      <vt:variant>
        <vt:i4>50</vt:i4>
      </vt:variant>
      <vt:variant>
        <vt:i4>0</vt:i4>
      </vt:variant>
      <vt:variant>
        <vt:i4>5</vt:i4>
      </vt:variant>
      <vt:variant>
        <vt:lpwstr/>
      </vt:variant>
      <vt:variant>
        <vt:lpwstr>_Toc481071616</vt:lpwstr>
      </vt:variant>
      <vt:variant>
        <vt:i4>2031668</vt:i4>
      </vt:variant>
      <vt:variant>
        <vt:i4>44</vt:i4>
      </vt:variant>
      <vt:variant>
        <vt:i4>0</vt:i4>
      </vt:variant>
      <vt:variant>
        <vt:i4>5</vt:i4>
      </vt:variant>
      <vt:variant>
        <vt:lpwstr/>
      </vt:variant>
      <vt:variant>
        <vt:lpwstr>_Toc481071615</vt:lpwstr>
      </vt:variant>
      <vt:variant>
        <vt:i4>2031668</vt:i4>
      </vt:variant>
      <vt:variant>
        <vt:i4>38</vt:i4>
      </vt:variant>
      <vt:variant>
        <vt:i4>0</vt:i4>
      </vt:variant>
      <vt:variant>
        <vt:i4>5</vt:i4>
      </vt:variant>
      <vt:variant>
        <vt:lpwstr/>
      </vt:variant>
      <vt:variant>
        <vt:lpwstr>_Toc481071614</vt:lpwstr>
      </vt:variant>
      <vt:variant>
        <vt:i4>2031668</vt:i4>
      </vt:variant>
      <vt:variant>
        <vt:i4>32</vt:i4>
      </vt:variant>
      <vt:variant>
        <vt:i4>0</vt:i4>
      </vt:variant>
      <vt:variant>
        <vt:i4>5</vt:i4>
      </vt:variant>
      <vt:variant>
        <vt:lpwstr/>
      </vt:variant>
      <vt:variant>
        <vt:lpwstr>_Toc481071613</vt:lpwstr>
      </vt:variant>
      <vt:variant>
        <vt:i4>2031668</vt:i4>
      </vt:variant>
      <vt:variant>
        <vt:i4>26</vt:i4>
      </vt:variant>
      <vt:variant>
        <vt:i4>0</vt:i4>
      </vt:variant>
      <vt:variant>
        <vt:i4>5</vt:i4>
      </vt:variant>
      <vt:variant>
        <vt:lpwstr/>
      </vt:variant>
      <vt:variant>
        <vt:lpwstr>_Toc481071612</vt:lpwstr>
      </vt:variant>
      <vt:variant>
        <vt:i4>2031668</vt:i4>
      </vt:variant>
      <vt:variant>
        <vt:i4>20</vt:i4>
      </vt:variant>
      <vt:variant>
        <vt:i4>0</vt:i4>
      </vt:variant>
      <vt:variant>
        <vt:i4>5</vt:i4>
      </vt:variant>
      <vt:variant>
        <vt:lpwstr/>
      </vt:variant>
      <vt:variant>
        <vt:lpwstr>_Toc481071611</vt:lpwstr>
      </vt:variant>
      <vt:variant>
        <vt:i4>2031668</vt:i4>
      </vt:variant>
      <vt:variant>
        <vt:i4>14</vt:i4>
      </vt:variant>
      <vt:variant>
        <vt:i4>0</vt:i4>
      </vt:variant>
      <vt:variant>
        <vt:i4>5</vt:i4>
      </vt:variant>
      <vt:variant>
        <vt:lpwstr/>
      </vt:variant>
      <vt:variant>
        <vt:lpwstr>_Toc481071610</vt:lpwstr>
      </vt:variant>
      <vt:variant>
        <vt:i4>1966132</vt:i4>
      </vt:variant>
      <vt:variant>
        <vt:i4>8</vt:i4>
      </vt:variant>
      <vt:variant>
        <vt:i4>0</vt:i4>
      </vt:variant>
      <vt:variant>
        <vt:i4>5</vt:i4>
      </vt:variant>
      <vt:variant>
        <vt:lpwstr/>
      </vt:variant>
      <vt:variant>
        <vt:lpwstr>_Toc481071609</vt:lpwstr>
      </vt:variant>
      <vt:variant>
        <vt:i4>1966132</vt:i4>
      </vt:variant>
      <vt:variant>
        <vt:i4>2</vt:i4>
      </vt:variant>
      <vt:variant>
        <vt:i4>0</vt:i4>
      </vt:variant>
      <vt:variant>
        <vt:i4>5</vt:i4>
      </vt:variant>
      <vt:variant>
        <vt:lpwstr/>
      </vt:variant>
      <vt:variant>
        <vt:lpwstr>_Toc481071608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Reef-2050-cumulative-impact-mngt-draft-for-consultation</dc:title>
  <dc:subject/>
  <dc:creator>Brian Dare</dc:creator>
  <cp:keywords/>
  <cp:lastModifiedBy>Joanna Ruxton</cp:lastModifiedBy>
  <cp:revision>2</cp:revision>
  <cp:lastPrinted>2017-05-02T04:14:00Z</cp:lastPrinted>
  <dcterms:created xsi:type="dcterms:W3CDTF">2017-06-22T02:56:00Z</dcterms:created>
  <dcterms:modified xsi:type="dcterms:W3CDTF">2017-06-22T02:56:00Z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12500</vt:r8>
  </property>
  <property fmtid="{D5CDD505-2E9C-101B-9397-08002B2CF9AE}" pid="3" name="RecordPoint_SubmissionDate">
    <vt:lpwstr/>
  </property>
  <property fmtid="{D5CDD505-2E9C-101B-9397-08002B2CF9AE}" pid="4" name="RecordPoint_RecordNumberSubmitted">
    <vt:lpwstr>R0000420614</vt:lpwstr>
  </property>
  <property fmtid="{D5CDD505-2E9C-101B-9397-08002B2CF9AE}" pid="5" name="RecordPoint_ActiveItemSiteId">
    <vt:lpwstr>{8ce9eba2-d4a5-4da0-9276-1d47a92e9210}</vt:lpwstr>
  </property>
  <property fmtid="{D5CDD505-2E9C-101B-9397-08002B2CF9AE}" pid="6" name="RecordPoint_ActiveItemListId">
    <vt:lpwstr>{cd784e66-11cf-413b-85f7-5b7fc6114fdf}</vt:lpwstr>
  </property>
  <property fmtid="{D5CDD505-2E9C-101B-9397-08002B2CF9AE}" pid="7" name="ContentTypeId">
    <vt:lpwstr>0x010100441936E5D27A4AF2935B3316DA024CF20009681823A98EAE4C94CACDA16CAF9246</vt:lpwstr>
  </property>
  <property fmtid="{D5CDD505-2E9C-101B-9397-08002B2CF9AE}" pid="8" name="RecordPoint_ActiveItemUniqueId">
    <vt:lpwstr>{6c8d32fb-4298-45d4-8926-2d2449043476}</vt:lpwstr>
  </property>
  <property fmtid="{D5CDD505-2E9C-101B-9397-08002B2CF9AE}" pid="9" name="RecordPoint_SubmissionCompleted">
    <vt:lpwstr>2017-05-18T05:00:38.1704379+10:00</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ActiveItemWebId">
    <vt:lpwstr>{1ab2dadf-f831-4467-aa70-d2a55710fc8f}</vt:lpwstr>
  </property>
  <property fmtid="{D5CDD505-2E9C-101B-9397-08002B2CF9AE}" pid="13" name="RecordPoint_WorkflowType">
    <vt:lpwstr>ActiveSubmit</vt:lpwstr>
  </property>
  <property fmtid="{D5CDD505-2E9C-101B-9397-08002B2CF9AE}" pid="14" name="_dlc_DocIdItemGuid">
    <vt:lpwstr>6c8d32fb-4298-45d4-8926-2d2449043476</vt:lpwstr>
  </property>
</Properties>
</file>