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3AE2B6C" w14:textId="77777777" w:rsidR="002B4D6F" w:rsidRDefault="00D2005F" w:rsidP="00D2005F">
      <w:pPr>
        <w:jc w:val="center"/>
        <w:rPr>
          <w:b/>
          <w:sz w:val="48"/>
          <w:szCs w:val="48"/>
        </w:rPr>
      </w:pPr>
      <w:bookmarkStart w:id="0" w:name="_GoBack"/>
      <w:bookmarkEnd w:id="0"/>
      <w:r>
        <w:rPr>
          <w:noProof/>
        </w:rPr>
        <mc:AlternateContent>
          <mc:Choice Requires="wps">
            <w:drawing>
              <wp:anchor distT="0" distB="0" distL="114300" distR="114300" simplePos="0" relativeHeight="251802624" behindDoc="0" locked="0" layoutInCell="1" allowOverlap="1" wp14:anchorId="176B6D9D" wp14:editId="0F58D9BC">
                <wp:simplePos x="0" y="0"/>
                <wp:positionH relativeFrom="column">
                  <wp:posOffset>-551180</wp:posOffset>
                </wp:positionH>
                <wp:positionV relativeFrom="paragraph">
                  <wp:posOffset>9090572</wp:posOffset>
                </wp:positionV>
                <wp:extent cx="7226300" cy="490855"/>
                <wp:effectExtent l="0" t="0" r="0" b="444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26300" cy="490855"/>
                        </a:xfrm>
                        <a:prstGeom prst="rect">
                          <a:avLst/>
                        </a:prstGeom>
                        <a:noFill/>
                        <a:ln w="9525">
                          <a:noFill/>
                          <a:miter lim="800000"/>
                          <a:headEnd/>
                          <a:tailEnd/>
                        </a:ln>
                      </wps:spPr>
                      <wps:txbx>
                        <w:txbxContent>
                          <w:p w14:paraId="4B122410" w14:textId="77777777" w:rsidR="00546C7F" w:rsidRPr="0097587B" w:rsidRDefault="00546C7F" w:rsidP="00D2005F">
                            <w:pPr>
                              <w:rPr>
                                <w:rFonts w:ascii="Arial" w:hAnsi="Arial" w:cs="Arial"/>
                                <w:b/>
                                <w:szCs w:val="32"/>
                              </w:rPr>
                            </w:pPr>
                            <w:r w:rsidRPr="002450CE">
                              <w:rPr>
                                <w:rFonts w:ascii="Verdana" w:hAnsi="Verdana"/>
                                <w:sz w:val="24"/>
                                <w:szCs w:val="24"/>
                              </w:rPr>
                              <w:t xml:space="preserve">Authors - </w:t>
                            </w:r>
                            <w:r w:rsidRPr="002126A0">
                              <w:rPr>
                                <w:rFonts w:ascii="Verdana" w:hAnsi="Verdana"/>
                                <w:sz w:val="24"/>
                                <w:szCs w:val="24"/>
                              </w:rPr>
                              <w:t>Michelle Devlin, Eduardo Teixeira da Silva, Caroline Petus, Dieter Tracey</w:t>
                            </w:r>
                          </w:p>
                          <w:p w14:paraId="11FE68EF" w14:textId="77777777" w:rsidR="00546C7F" w:rsidRPr="002450CE" w:rsidRDefault="00546C7F" w:rsidP="00D2005F">
                            <w:pPr>
                              <w:rPr>
                                <w:rFonts w:ascii="Verdana" w:hAnsi="Verdana"/>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3.4pt;margin-top:715.8pt;width:569pt;height:38.65pt;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" filled="f" stroked="f">
                <v:textbox>
                  <w:txbxContent>
                    <w:p w14:paraId="4B122410" w14:textId="77777777" w:rsidR="00546C7F" w:rsidRPr="0097587B" w:rsidRDefault="00546C7F" w:rsidP="00D2005F">
                      <w:pPr>
                        <w:rPr>
                          <w:rFonts w:ascii="Arial" w:hAnsi="Arial" w:cs="Arial"/>
                          <w:b/>
                          <w:szCs w:val="32"/>
                        </w:rPr>
                      </w:pPr>
                      <w:r w:rsidRPr="002450CE">
                        <w:rPr>
                          <w:rFonts w:ascii="Verdana" w:hAnsi="Verdana"/>
                          <w:sz w:val="24"/>
                          <w:szCs w:val="24"/>
                        </w:rPr>
                        <w:t xml:space="preserve">Authors - </w:t>
                      </w:r>
                      <w:r w:rsidRPr="002126A0">
                        <w:rPr>
                          <w:rFonts w:ascii="Verdana" w:hAnsi="Verdana"/>
                          <w:sz w:val="24"/>
                          <w:szCs w:val="24"/>
                        </w:rPr>
                        <w:t>Michelle Devlin, Eduardo Teixeira da Silva, Caroline Petus, Dieter Tracey</w:t>
                      </w:r>
                    </w:p>
                    <w:p w14:paraId="11FE68EF" w14:textId="77777777" w:rsidR="00546C7F" w:rsidRPr="002450CE" w:rsidRDefault="00546C7F" w:rsidP="00D2005F">
                      <w:pPr>
                        <w:rPr>
                          <w:rFonts w:ascii="Verdana" w:hAnsi="Verdana"/>
                          <w:sz w:val="24"/>
                          <w:szCs w:val="24"/>
                        </w:rPr>
                      </w:pPr>
                    </w:p>
                  </w:txbxContent>
                </v:textbox>
              </v:shape>
            </w:pict>
          </mc:Fallback>
        </mc:AlternateContent>
      </w:r>
      <w:r>
        <w:rPr>
          <w:noProof/>
        </w:rPr>
        <w:drawing>
          <wp:anchor distT="0" distB="0" distL="114300" distR="114300" simplePos="0" relativeHeight="251800576" behindDoc="1" locked="0" layoutInCell="1" allowOverlap="1" wp14:anchorId="5EA5AF87" wp14:editId="154BAAA8">
            <wp:simplePos x="0" y="0"/>
            <wp:positionH relativeFrom="column">
              <wp:posOffset>5080</wp:posOffset>
            </wp:positionH>
            <wp:positionV relativeFrom="paragraph">
              <wp:posOffset>76835</wp:posOffset>
            </wp:positionV>
            <wp:extent cx="7563485" cy="10691495"/>
            <wp:effectExtent l="0" t="0" r="0" b="0"/>
            <wp:wrapThrough wrapText="bothSides">
              <wp:wrapPolygon edited="0">
                <wp:start x="0" y="0"/>
                <wp:lineTo x="0" y="21553"/>
                <wp:lineTo x="21544" y="21553"/>
                <wp:lineTo x="21544" y="0"/>
                <wp:lineTo x="0" y="0"/>
              </wp:wrapPolygon>
            </wp:wrapThrough>
            <wp:docPr id="1" name="Picture 1" descr="logo top right Australian Government Great Barrier Reef Marine Authority, James Cook University, TropWater. Marine Monitoring Program annaul report for flood plumes and extreme weather 2013-2014. Flood plume image at Russell Mulgrave ri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MP FloodPlume_ExWeather_Cover_13-14.jpg"/>
                    <pic:cNvPicPr/>
                  </pic:nvPicPr>
                  <pic:blipFill>
                    <a:blip r:embed="rId13" cstate="screen">
                      <a:extLst>
                        <a:ext uri="{28A0092B-C50C-407E-A947-70E740481C1C}">
                          <a14:useLocalDpi xmlns:a14="http://schemas.microsoft.com/office/drawing/2010/main"/>
                        </a:ext>
                      </a:extLst>
                    </a:blip>
                    <a:stretch>
                      <a:fillRect/>
                    </a:stretch>
                  </pic:blipFill>
                  <pic:spPr>
                    <a:xfrm>
                      <a:off x="0" y="0"/>
                      <a:ext cx="7563485" cy="10691495"/>
                    </a:xfrm>
                    <a:prstGeom prst="rect">
                      <a:avLst/>
                    </a:prstGeom>
                  </pic:spPr>
                </pic:pic>
              </a:graphicData>
            </a:graphic>
            <wp14:sizeRelH relativeFrom="page">
              <wp14:pctWidth>0</wp14:pctWidth>
            </wp14:sizeRelH>
            <wp14:sizeRelV relativeFrom="page">
              <wp14:pctHeight>0</wp14:pctHeight>
            </wp14:sizeRelV>
          </wp:anchor>
        </w:drawing>
      </w:r>
      <w:r w:rsidR="002B4D6F">
        <w:rPr>
          <w:b/>
          <w:sz w:val="48"/>
          <w:szCs w:val="48"/>
        </w:rPr>
        <w:br w:type="page"/>
      </w:r>
    </w:p>
    <w:p w14:paraId="6BC4871A" w14:textId="77777777" w:rsidR="00E838DF" w:rsidRDefault="00D2005F" w:rsidP="00E838DF">
      <w:pPr>
        <w:jc w:val="center"/>
        <w:rPr>
          <w:b/>
          <w:sz w:val="48"/>
          <w:szCs w:val="48"/>
        </w:rPr>
      </w:pPr>
      <w:r>
        <w:rPr>
          <w:b/>
          <w:sz w:val="48"/>
          <w:szCs w:val="48"/>
        </w:rPr>
        <w:lastRenderedPageBreak/>
        <w:t>Marine Monitoring Program - Annual Report for flood plumes and extreme weather 2013-2014</w:t>
      </w:r>
    </w:p>
    <w:p w14:paraId="6D7FEB7A" w14:textId="77777777" w:rsidR="00E838DF" w:rsidRPr="00393166" w:rsidRDefault="00E838DF" w:rsidP="00E838DF">
      <w:pPr>
        <w:jc w:val="center"/>
        <w:rPr>
          <w:b/>
          <w:sz w:val="48"/>
          <w:szCs w:val="48"/>
        </w:rPr>
      </w:pPr>
      <w:r>
        <w:rPr>
          <w:b/>
          <w:sz w:val="48"/>
          <w:szCs w:val="48"/>
        </w:rPr>
        <w:t>– Final Report –</w:t>
      </w:r>
    </w:p>
    <w:p w14:paraId="5F798B0C" w14:textId="77777777" w:rsidR="00CC1551" w:rsidRDefault="00CC1551" w:rsidP="00594554">
      <w:pPr>
        <w:jc w:val="center"/>
        <w:rPr>
          <w:sz w:val="32"/>
          <w:szCs w:val="32"/>
        </w:rPr>
      </w:pPr>
    </w:p>
    <w:p w14:paraId="54D84292" w14:textId="77777777" w:rsidR="001D46B7" w:rsidRPr="00F6756B" w:rsidRDefault="00A22ACE" w:rsidP="00594554">
      <w:pPr>
        <w:jc w:val="center"/>
        <w:rPr>
          <w:sz w:val="32"/>
          <w:szCs w:val="32"/>
        </w:rPr>
      </w:pPr>
      <w:r w:rsidRPr="00F6756B">
        <w:rPr>
          <w:sz w:val="32"/>
          <w:szCs w:val="32"/>
        </w:rPr>
        <w:t>A Report for</w:t>
      </w:r>
      <w:r w:rsidR="008A4B6B">
        <w:rPr>
          <w:sz w:val="32"/>
          <w:szCs w:val="32"/>
        </w:rPr>
        <w:t xml:space="preserve"> the </w:t>
      </w:r>
      <w:r w:rsidR="00E838DF">
        <w:rPr>
          <w:sz w:val="32"/>
          <w:szCs w:val="32"/>
        </w:rPr>
        <w:t>Great Barrier Reef Marine Park Authority</w:t>
      </w:r>
    </w:p>
    <w:p w14:paraId="077EB482" w14:textId="77777777" w:rsidR="007D5537" w:rsidRPr="00F6756B" w:rsidRDefault="007D5537" w:rsidP="00594554">
      <w:pPr>
        <w:jc w:val="center"/>
        <w:rPr>
          <w:sz w:val="32"/>
          <w:szCs w:val="32"/>
        </w:rPr>
      </w:pPr>
    </w:p>
    <w:p w14:paraId="22DF8E0F" w14:textId="77777777" w:rsidR="001D46B7" w:rsidRPr="00F6756B" w:rsidRDefault="001D46B7" w:rsidP="00594554">
      <w:pPr>
        <w:jc w:val="center"/>
        <w:rPr>
          <w:sz w:val="32"/>
          <w:szCs w:val="32"/>
        </w:rPr>
      </w:pPr>
      <w:r w:rsidRPr="004F6AA8">
        <w:rPr>
          <w:sz w:val="32"/>
          <w:szCs w:val="32"/>
        </w:rPr>
        <w:t xml:space="preserve">Report No. </w:t>
      </w:r>
      <w:r w:rsidR="00F339E7">
        <w:rPr>
          <w:sz w:val="32"/>
          <w:szCs w:val="32"/>
        </w:rPr>
        <w:t>15</w:t>
      </w:r>
      <w:r w:rsidR="00E838DF">
        <w:rPr>
          <w:sz w:val="32"/>
          <w:szCs w:val="32"/>
        </w:rPr>
        <w:t>/</w:t>
      </w:r>
      <w:r w:rsidR="00FF78D9">
        <w:rPr>
          <w:sz w:val="32"/>
          <w:szCs w:val="32"/>
        </w:rPr>
        <w:t>63</w:t>
      </w:r>
    </w:p>
    <w:p w14:paraId="75599D14" w14:textId="77777777" w:rsidR="001D46B7" w:rsidRPr="00F6756B" w:rsidRDefault="001D46B7" w:rsidP="00594554">
      <w:pPr>
        <w:jc w:val="center"/>
        <w:rPr>
          <w:sz w:val="32"/>
          <w:szCs w:val="32"/>
        </w:rPr>
      </w:pPr>
    </w:p>
    <w:p w14:paraId="09EBFAFC" w14:textId="77777777" w:rsidR="001D46B7" w:rsidRPr="00F6756B" w:rsidRDefault="00F339E7" w:rsidP="00594554">
      <w:pPr>
        <w:jc w:val="center"/>
        <w:rPr>
          <w:sz w:val="32"/>
          <w:szCs w:val="32"/>
        </w:rPr>
      </w:pPr>
      <w:r>
        <w:rPr>
          <w:sz w:val="32"/>
          <w:szCs w:val="32"/>
        </w:rPr>
        <w:t>2015</w:t>
      </w:r>
    </w:p>
    <w:p w14:paraId="3D084C9F" w14:textId="07D0EE69" w:rsidR="00E838DF" w:rsidRDefault="00E838DF" w:rsidP="00E838DF">
      <w:pPr>
        <w:jc w:val="center"/>
        <w:rPr>
          <w:sz w:val="32"/>
          <w:szCs w:val="32"/>
        </w:rPr>
      </w:pPr>
      <w:r w:rsidRPr="00F6756B">
        <w:rPr>
          <w:sz w:val="32"/>
          <w:szCs w:val="32"/>
        </w:rPr>
        <w:t xml:space="preserve">Prepared by </w:t>
      </w:r>
      <w:r w:rsidRPr="00393166">
        <w:rPr>
          <w:sz w:val="32"/>
          <w:szCs w:val="32"/>
        </w:rPr>
        <w:t>Michelle Devlin</w:t>
      </w:r>
      <w:r w:rsidRPr="00393166">
        <w:rPr>
          <w:sz w:val="32"/>
          <w:szCs w:val="32"/>
          <w:vertAlign w:val="superscript"/>
        </w:rPr>
        <w:t>1</w:t>
      </w:r>
      <w:r w:rsidR="00A64D1C">
        <w:rPr>
          <w:sz w:val="32"/>
          <w:szCs w:val="32"/>
          <w:vertAlign w:val="superscript"/>
        </w:rPr>
        <w:t>,2</w:t>
      </w:r>
      <w:r w:rsidRPr="00393166">
        <w:rPr>
          <w:sz w:val="32"/>
          <w:szCs w:val="32"/>
        </w:rPr>
        <w:t>, Eduardo Teixeira da Silva</w:t>
      </w:r>
      <w:r w:rsidRPr="00393166">
        <w:rPr>
          <w:sz w:val="32"/>
          <w:szCs w:val="32"/>
          <w:vertAlign w:val="superscript"/>
        </w:rPr>
        <w:t>1</w:t>
      </w:r>
      <w:r w:rsidRPr="00393166">
        <w:rPr>
          <w:sz w:val="32"/>
          <w:szCs w:val="32"/>
        </w:rPr>
        <w:t>, Caroline Petus</w:t>
      </w:r>
      <w:r w:rsidRPr="00393166">
        <w:rPr>
          <w:sz w:val="32"/>
          <w:szCs w:val="32"/>
          <w:vertAlign w:val="superscript"/>
        </w:rPr>
        <w:t>1</w:t>
      </w:r>
      <w:r w:rsidRPr="00393166">
        <w:rPr>
          <w:sz w:val="32"/>
          <w:szCs w:val="32"/>
        </w:rPr>
        <w:t>, Dieter Tracey</w:t>
      </w:r>
      <w:r w:rsidRPr="00393166">
        <w:rPr>
          <w:sz w:val="32"/>
          <w:szCs w:val="32"/>
          <w:vertAlign w:val="superscript"/>
        </w:rPr>
        <w:t>1</w:t>
      </w:r>
    </w:p>
    <w:p w14:paraId="027036A6" w14:textId="1463DD72" w:rsidR="00A90185" w:rsidRDefault="00A90185" w:rsidP="00A90185">
      <w:pPr>
        <w:spacing w:before="0" w:after="0"/>
        <w:jc w:val="center"/>
        <w:rPr>
          <w:rStyle w:val="Hyperlink"/>
          <w:color w:val="auto"/>
          <w:u w:val="none"/>
        </w:rPr>
      </w:pPr>
      <w:r w:rsidRPr="001810BF">
        <w:rPr>
          <w:rStyle w:val="Hyperlink"/>
          <w:color w:val="auto"/>
          <w:u w:val="none"/>
          <w:vertAlign w:val="superscript"/>
        </w:rPr>
        <w:t>1</w:t>
      </w:r>
      <w:r w:rsidRPr="001810BF">
        <w:rPr>
          <w:rStyle w:val="Hyperlink"/>
          <w:color w:val="auto"/>
          <w:u w:val="none"/>
        </w:rPr>
        <w:t>TropWATER, James Cook University</w:t>
      </w:r>
    </w:p>
    <w:p w14:paraId="3971369E" w14:textId="242AD39E" w:rsidR="00A64D1C" w:rsidRPr="00A64D1C" w:rsidRDefault="00A64D1C" w:rsidP="00A64D1C">
      <w:pPr>
        <w:spacing w:before="0" w:after="0"/>
        <w:jc w:val="center"/>
        <w:rPr>
          <w:rStyle w:val="Hyperlink"/>
          <w:color w:val="auto"/>
          <w:u w:val="none"/>
        </w:rPr>
      </w:pPr>
      <w:r w:rsidRPr="00A64D1C">
        <w:rPr>
          <w:rStyle w:val="Hyperlink"/>
          <w:color w:val="auto"/>
          <w:u w:val="none"/>
          <w:vertAlign w:val="superscript"/>
        </w:rPr>
        <w:t>2</w:t>
      </w:r>
      <w:r w:rsidRPr="00A64D1C">
        <w:rPr>
          <w:rStyle w:val="Hyperlink"/>
          <w:color w:val="auto"/>
          <w:u w:val="none"/>
        </w:rPr>
        <w:t>CEFAS, Lowestoft</w:t>
      </w:r>
      <w:r w:rsidR="007557A2">
        <w:rPr>
          <w:rStyle w:val="Hyperlink"/>
          <w:color w:val="auto"/>
          <w:u w:val="none"/>
        </w:rPr>
        <w:t>,</w:t>
      </w:r>
      <w:r w:rsidRPr="00A64D1C">
        <w:rPr>
          <w:rStyle w:val="Hyperlink"/>
          <w:color w:val="auto"/>
          <w:u w:val="none"/>
        </w:rPr>
        <w:t xml:space="preserve"> UK </w:t>
      </w:r>
    </w:p>
    <w:p w14:paraId="563328AB" w14:textId="77777777" w:rsidR="00A64D1C" w:rsidRPr="001810BF" w:rsidRDefault="00A64D1C" w:rsidP="00A90185">
      <w:pPr>
        <w:spacing w:before="0" w:after="0"/>
        <w:jc w:val="center"/>
        <w:rPr>
          <w:rStyle w:val="Hyperlink"/>
          <w:color w:val="auto"/>
          <w:u w:val="none"/>
        </w:rPr>
      </w:pPr>
    </w:p>
    <w:p w14:paraId="25ED2B57" w14:textId="77777777" w:rsidR="00E35FA5" w:rsidRPr="001810BF" w:rsidRDefault="00E35FA5" w:rsidP="00F6756B">
      <w:pPr>
        <w:jc w:val="center"/>
        <w:rPr>
          <w:rStyle w:val="Hyperlink"/>
          <w:color w:val="auto"/>
          <w:u w:val="none"/>
        </w:rPr>
      </w:pPr>
    </w:p>
    <w:p w14:paraId="16A46275" w14:textId="77777777" w:rsidR="001D46B7" w:rsidRPr="00036C83" w:rsidRDefault="001D46B7" w:rsidP="00F6756B">
      <w:pPr>
        <w:jc w:val="center"/>
      </w:pPr>
      <w:r w:rsidRPr="00036C83">
        <w:t>Centre for Tropical Water &amp; Aquatic</w:t>
      </w:r>
      <w:r w:rsidR="00271745" w:rsidRPr="00036C83">
        <w:t xml:space="preserve"> </w:t>
      </w:r>
      <w:r w:rsidRPr="00036C83">
        <w:t>Ecosystem Research</w:t>
      </w:r>
    </w:p>
    <w:p w14:paraId="3B61CF50" w14:textId="77777777" w:rsidR="001D46B7" w:rsidRPr="00036C83" w:rsidRDefault="001D46B7" w:rsidP="00F6756B">
      <w:pPr>
        <w:jc w:val="center"/>
      </w:pPr>
      <w:r w:rsidRPr="00036C83">
        <w:t>(TropWATER)</w:t>
      </w:r>
    </w:p>
    <w:p w14:paraId="325AFB5E" w14:textId="77777777" w:rsidR="00FD4D1A" w:rsidRDefault="00FD4D1A" w:rsidP="00F6756B">
      <w:pPr>
        <w:jc w:val="center"/>
      </w:pPr>
      <w:r w:rsidRPr="00F6756B">
        <w:t>James Cook University</w:t>
      </w:r>
    </w:p>
    <w:p w14:paraId="676A0DAD" w14:textId="77777777" w:rsidR="00FD4D1A" w:rsidRPr="00F6756B" w:rsidRDefault="00F121C3" w:rsidP="00F6756B">
      <w:pPr>
        <w:jc w:val="center"/>
      </w:pPr>
      <w:r>
        <w:t>Townsville</w:t>
      </w:r>
    </w:p>
    <w:p w14:paraId="6A9B9F74" w14:textId="77777777" w:rsidR="00CC1551" w:rsidRPr="00036C83" w:rsidRDefault="007B2B62" w:rsidP="00F6756B">
      <w:pPr>
        <w:jc w:val="center"/>
      </w:pPr>
      <w:r>
        <w:t>Phone</w:t>
      </w:r>
      <w:r w:rsidR="00CC1551" w:rsidRPr="00036C83">
        <w:t>: (07) 4781 4262</w:t>
      </w:r>
    </w:p>
    <w:p w14:paraId="6F411DC6" w14:textId="77777777" w:rsidR="00FD4D1A" w:rsidRPr="00036C83" w:rsidRDefault="00FD4D1A" w:rsidP="00F6756B">
      <w:pPr>
        <w:jc w:val="center"/>
      </w:pPr>
      <w:r w:rsidRPr="00036C83">
        <w:t xml:space="preserve">Email: </w:t>
      </w:r>
      <w:r w:rsidR="00531C57" w:rsidRPr="00036C83">
        <w:t>TropWATER</w:t>
      </w:r>
      <w:r w:rsidR="00F121C3" w:rsidRPr="00036C83">
        <w:t>@jcu.edu.au</w:t>
      </w:r>
    </w:p>
    <w:p w14:paraId="30201FB4" w14:textId="77777777" w:rsidR="006D0A1F" w:rsidRPr="00271745" w:rsidRDefault="001D46B7" w:rsidP="00F6756B">
      <w:pPr>
        <w:jc w:val="center"/>
      </w:pPr>
      <w:r w:rsidRPr="00036C83">
        <w:t>Web: www.jcu.edu.au/tropwater/</w:t>
      </w:r>
    </w:p>
    <w:p w14:paraId="5B6D1016" w14:textId="3AD57C71" w:rsidR="009E7629" w:rsidRDefault="00A64D1C" w:rsidP="00CC1551">
      <w:pPr>
        <w:pStyle w:val="Body"/>
      </w:pPr>
      <w:r>
        <w:rPr>
          <w:rFonts w:ascii="Times New Roman" w:hAnsi="Times New Roman" w:cs="Times New Roman"/>
          <w:noProof/>
          <w:sz w:val="24"/>
          <w:szCs w:val="24"/>
          <w:lang w:eastAsia="en-AU"/>
        </w:rPr>
        <w:drawing>
          <wp:anchor distT="0" distB="0" distL="114300" distR="114300" simplePos="0" relativeHeight="251696128" behindDoc="0" locked="0" layoutInCell="1" allowOverlap="1" wp14:anchorId="1F8AF4CE" wp14:editId="6C5BD325">
            <wp:simplePos x="0" y="0"/>
            <wp:positionH relativeFrom="column">
              <wp:posOffset>151130</wp:posOffset>
            </wp:positionH>
            <wp:positionV relativeFrom="paragraph">
              <wp:posOffset>680291</wp:posOffset>
            </wp:positionV>
            <wp:extent cx="1694180" cy="883920"/>
            <wp:effectExtent l="0" t="0" r="1270" b="0"/>
            <wp:wrapNone/>
            <wp:docPr id="2" name="Picture 2" descr="TropWa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a:ext>
                      </a:extLst>
                    </a:blip>
                    <a:srcRect/>
                    <a:stretch>
                      <a:fillRect/>
                    </a:stretch>
                  </pic:blipFill>
                  <pic:spPr bwMode="auto">
                    <a:xfrm>
                      <a:off x="0" y="0"/>
                      <a:ext cx="1694180" cy="883920"/>
                    </a:xfrm>
                    <a:prstGeom prst="rect">
                      <a:avLst/>
                    </a:prstGeom>
                    <a:noFill/>
                  </pic:spPr>
                </pic:pic>
              </a:graphicData>
            </a:graphic>
          </wp:anchor>
        </w:drawing>
      </w:r>
      <w:r>
        <w:rPr>
          <w:noProof/>
          <w:lang w:eastAsia="en-AU"/>
        </w:rPr>
        <w:drawing>
          <wp:anchor distT="0" distB="0" distL="114300" distR="114300" simplePos="0" relativeHeight="251671552" behindDoc="0" locked="0" layoutInCell="1" allowOverlap="1" wp14:anchorId="0EDD5219" wp14:editId="2B13CF6C">
            <wp:simplePos x="0" y="0"/>
            <wp:positionH relativeFrom="column">
              <wp:posOffset>3826903</wp:posOffset>
            </wp:positionH>
            <wp:positionV relativeFrom="paragraph">
              <wp:posOffset>638707</wp:posOffset>
            </wp:positionV>
            <wp:extent cx="2087880" cy="1099185"/>
            <wp:effectExtent l="0" t="0" r="7620" b="5715"/>
            <wp:wrapNone/>
            <wp:docPr id="29" name="Picture 29" descr="James Cook University" title="James Cook 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api.ning.com/files/fkz1aW-oepjwgzLg-*G5Zrzv48wIszrBs1pEFeBD-kKmaclwbVeUA6J7kwtf1B3eN7h1zYzY6XAcKPdo3fGUjP8ckbgVCL0N/JCU_Logo_RGB.JPG"/>
                    <pic:cNvPicPr>
                      <a:picLocks noChangeAspect="1" noChangeArrowheads="1"/>
                    </pic:cNvPicPr>
                  </pic:nvPicPr>
                  <pic:blipFill>
                    <a:blip r:embed="rId15" r:link="rId16" cstate="screen">
                      <a:extLst>
                        <a:ext uri="{28A0092B-C50C-407E-A947-70E740481C1C}">
                          <a14:useLocalDpi xmlns:a14="http://schemas.microsoft.com/office/drawing/2010/main"/>
                        </a:ext>
                      </a:extLst>
                    </a:blip>
                    <a:srcRect/>
                    <a:stretch>
                      <a:fillRect/>
                    </a:stretch>
                  </pic:blipFill>
                  <pic:spPr bwMode="auto">
                    <a:xfrm>
                      <a:off x="0" y="0"/>
                      <a:ext cx="2087880" cy="1099185"/>
                    </a:xfrm>
                    <a:prstGeom prst="rect">
                      <a:avLst/>
                    </a:prstGeom>
                    <a:noFill/>
                    <a:ln>
                      <a:noFill/>
                    </a:ln>
                  </pic:spPr>
                </pic:pic>
              </a:graphicData>
            </a:graphic>
          </wp:anchor>
        </w:drawing>
      </w:r>
      <w:r w:rsidR="009E7629">
        <w:br w:type="page"/>
      </w:r>
    </w:p>
    <w:p w14:paraId="3593C928" w14:textId="51D01E4A" w:rsidR="007557A2" w:rsidRDefault="006427BE" w:rsidP="007557A2">
      <w:pPr>
        <w:rPr>
          <w:lang w:eastAsia="en-US"/>
        </w:rPr>
      </w:pPr>
      <w:r>
        <w:rPr>
          <w:rFonts w:ascii="Times New Roman" w:eastAsiaTheme="minorEastAsia" w:hAnsi="Times New Roman" w:cs="Times New Roman"/>
          <w:noProof/>
          <w:sz w:val="24"/>
          <w:szCs w:val="24"/>
        </w:rPr>
        <w:lastRenderedPageBreak/>
        <mc:AlternateContent>
          <mc:Choice Requires="wps">
            <w:drawing>
              <wp:anchor distT="0" distB="0" distL="114300" distR="114300" simplePos="0" relativeHeight="251670527" behindDoc="1" locked="0" layoutInCell="0" allowOverlap="1" wp14:anchorId="08838E2D" wp14:editId="48880B68">
                <wp:simplePos x="0" y="0"/>
                <wp:positionH relativeFrom="margin">
                  <wp:posOffset>1270</wp:posOffset>
                </wp:positionH>
                <wp:positionV relativeFrom="margin">
                  <wp:posOffset>29845</wp:posOffset>
                </wp:positionV>
                <wp:extent cx="6429375" cy="8961120"/>
                <wp:effectExtent l="0" t="0" r="0" b="0"/>
                <wp:wrapSquare wrapText="bothSides"/>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29375" cy="8961120"/>
                        </a:xfrm>
                        <a:prstGeom prst="rect">
                          <a:avLst/>
                        </a:prstGeom>
                        <a:noFill/>
                        <a:ln>
                          <a:noFill/>
                        </a:ln>
                        <a:extLst>
                          <a:ext uri="{909E8E84-426E-40DD-AFC4-6F175D3DCCD1}">
                            <a14:hiddenFill xmlns:a14="http://schemas.microsoft.com/office/drawing/2010/main">
                              <a:solidFill>
                                <a:srgbClr val="C0C0C0">
                                  <a:alpha val="50000"/>
                                </a:srgb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BB7FFC" w14:textId="3E8D7D88" w:rsidR="00546C7F" w:rsidRPr="00760B0A" w:rsidRDefault="00546C7F" w:rsidP="006427BE">
                            <w:pPr>
                              <w:pStyle w:val="BasicParagraph"/>
                              <w:spacing w:after="0"/>
                              <w:rPr>
                                <w:rFonts w:ascii="Arial" w:hAnsi="Arial" w:cs="Arial"/>
                                <w:sz w:val="18"/>
                                <w:szCs w:val="18"/>
                              </w:rPr>
                            </w:pPr>
                            <w:bookmarkStart w:id="1" w:name="_Toc393721189"/>
                            <w:r w:rsidRPr="00760B0A">
                              <w:rPr>
                                <w:rFonts w:ascii="Arial" w:hAnsi="Arial" w:cs="Arial"/>
                                <w:sz w:val="18"/>
                                <w:szCs w:val="18"/>
                              </w:rPr>
                              <w:t xml:space="preserve">© </w:t>
                            </w:r>
                            <w:bookmarkEnd w:id="1"/>
                            <w:r w:rsidRPr="00760B0A">
                              <w:rPr>
                                <w:rFonts w:ascii="Arial" w:hAnsi="Arial" w:cs="Arial"/>
                                <w:sz w:val="18"/>
                                <w:szCs w:val="18"/>
                              </w:rPr>
                              <w:t>James Cook University</w:t>
                            </w:r>
                            <w:r w:rsidR="004F5D76">
                              <w:rPr>
                                <w:rFonts w:ascii="Arial" w:hAnsi="Arial" w:cs="Arial"/>
                                <w:sz w:val="18"/>
                                <w:szCs w:val="18"/>
                              </w:rPr>
                              <w:t xml:space="preserve"> 2017</w:t>
                            </w:r>
                          </w:p>
                          <w:p w14:paraId="7829947A" w14:textId="77777777" w:rsidR="00546C7F" w:rsidRPr="00760B0A" w:rsidRDefault="00546C7F" w:rsidP="006427BE">
                            <w:pPr>
                              <w:spacing w:after="0"/>
                              <w:rPr>
                                <w:rFonts w:ascii="Arial" w:hAnsi="Arial" w:cs="Arial"/>
                                <w:sz w:val="18"/>
                                <w:szCs w:val="18"/>
                                <w:lang w:val="en-GB"/>
                              </w:rPr>
                            </w:pPr>
                            <w:r w:rsidRPr="00760B0A">
                              <w:rPr>
                                <w:rFonts w:ascii="Arial" w:hAnsi="Arial" w:cs="Arial"/>
                                <w:sz w:val="18"/>
                                <w:szCs w:val="18"/>
                                <w:lang w:val="en-GB"/>
                              </w:rPr>
                              <w:t>Published by the Great Barrier Reef Marine Park Authority</w:t>
                            </w:r>
                          </w:p>
                          <w:p w14:paraId="483F531F" w14:textId="79245234" w:rsidR="00546C7F" w:rsidRPr="00546C7F" w:rsidRDefault="00546C7F" w:rsidP="00546C7F">
                            <w:pPr>
                              <w:spacing w:after="0"/>
                              <w:rPr>
                                <w:rFonts w:ascii="Arial" w:hAnsi="Arial" w:cs="Arial"/>
                                <w:sz w:val="18"/>
                                <w:szCs w:val="18"/>
                              </w:rPr>
                            </w:pPr>
                            <w:r w:rsidRPr="00760B0A">
                              <w:rPr>
                                <w:rFonts w:ascii="Arial" w:hAnsi="Arial" w:cs="Arial"/>
                                <w:sz w:val="18"/>
                                <w:szCs w:val="18"/>
                                <w:lang w:val="en-GB"/>
                              </w:rPr>
                              <w:t xml:space="preserve">ISBN </w:t>
                            </w:r>
                            <w:r>
                              <w:rPr>
                                <w:rFonts w:ascii="Arial" w:hAnsi="Arial" w:cs="Arial"/>
                                <w:sz w:val="18"/>
                                <w:szCs w:val="18"/>
                              </w:rPr>
                              <w:t xml:space="preserve">978 </w:t>
                            </w:r>
                            <w:r w:rsidRPr="00546C7F">
                              <w:rPr>
                                <w:rFonts w:ascii="Arial" w:hAnsi="Arial" w:cs="Arial"/>
                                <w:sz w:val="18"/>
                                <w:szCs w:val="18"/>
                              </w:rPr>
                              <w:t>09953731</w:t>
                            </w:r>
                            <w:r>
                              <w:rPr>
                                <w:rFonts w:ascii="Arial" w:hAnsi="Arial" w:cs="Arial"/>
                                <w:sz w:val="18"/>
                                <w:szCs w:val="18"/>
                              </w:rPr>
                              <w:t xml:space="preserve"> </w:t>
                            </w:r>
                            <w:r w:rsidRPr="00546C7F">
                              <w:rPr>
                                <w:rFonts w:ascii="Arial" w:hAnsi="Arial" w:cs="Arial"/>
                                <w:sz w:val="18"/>
                                <w:szCs w:val="18"/>
                              </w:rPr>
                              <w:t>43</w:t>
                            </w:r>
                          </w:p>
                          <w:p w14:paraId="6E31F36B" w14:textId="678CF1A7" w:rsidR="00546C7F" w:rsidRPr="00760B0A" w:rsidRDefault="00546C7F" w:rsidP="006427BE">
                            <w:pPr>
                              <w:spacing w:after="0"/>
                              <w:rPr>
                                <w:rFonts w:ascii="Arial" w:hAnsi="Arial" w:cs="Arial"/>
                                <w:sz w:val="18"/>
                                <w:szCs w:val="18"/>
                                <w:lang w:val="en-GB"/>
                              </w:rPr>
                            </w:pPr>
                          </w:p>
                          <w:p w14:paraId="60881629" w14:textId="04304A20" w:rsidR="00546C7F" w:rsidRPr="00760B0A" w:rsidRDefault="00546C7F" w:rsidP="006427BE">
                            <w:pPr>
                              <w:spacing w:after="0"/>
                              <w:rPr>
                                <w:rFonts w:ascii="Arial" w:hAnsi="Arial" w:cs="Arial"/>
                                <w:sz w:val="18"/>
                                <w:szCs w:val="18"/>
                              </w:rPr>
                            </w:pPr>
                            <w:r w:rsidRPr="00760B0A">
                              <w:rPr>
                                <w:rFonts w:ascii="Arial" w:hAnsi="Arial" w:cs="Arial"/>
                                <w:i/>
                                <w:color w:val="000000"/>
                                <w:sz w:val="18"/>
                                <w:szCs w:val="18"/>
                                <w:lang w:val="en-US" w:eastAsia="en-US"/>
                              </w:rPr>
                              <w:t>Marine Monitoring Program: Annual report for flood plumes and extreme weather 2013-2014</w:t>
                            </w:r>
                            <w:r>
                              <w:rPr>
                                <w:rFonts w:ascii="Arial" w:hAnsi="Arial" w:cs="Arial"/>
                                <w:color w:val="000000"/>
                                <w:sz w:val="18"/>
                                <w:szCs w:val="18"/>
                                <w:lang w:val="en-US" w:eastAsia="en-US"/>
                              </w:rPr>
                              <w:t xml:space="preserve"> </w:t>
                            </w:r>
                            <w:r w:rsidRPr="00760B0A">
                              <w:rPr>
                                <w:rFonts w:ascii="Arial" w:hAnsi="Arial" w:cs="Arial"/>
                                <w:sz w:val="18"/>
                                <w:szCs w:val="18"/>
                              </w:rPr>
                              <w:t>is licensed for use under a Creative Commons By Attribution 4.0 International licence with the exception of the Coat of Arms of the Commonwealth of Australia, the logo</w:t>
                            </w:r>
                            <w:r>
                              <w:rPr>
                                <w:rFonts w:ascii="Arial" w:hAnsi="Arial" w:cs="Arial"/>
                                <w:sz w:val="18"/>
                                <w:szCs w:val="18"/>
                              </w:rPr>
                              <w:t>s</w:t>
                            </w:r>
                            <w:r w:rsidRPr="00760B0A">
                              <w:rPr>
                                <w:rFonts w:ascii="Arial" w:hAnsi="Arial" w:cs="Arial"/>
                                <w:sz w:val="18"/>
                                <w:szCs w:val="18"/>
                              </w:rPr>
                              <w:t xml:space="preserve"> of the Great Barrier Reef Marine Park Authority</w:t>
                            </w:r>
                            <w:r>
                              <w:rPr>
                                <w:rFonts w:ascii="Arial" w:hAnsi="Arial" w:cs="Arial"/>
                                <w:sz w:val="18"/>
                                <w:szCs w:val="18"/>
                              </w:rPr>
                              <w:t>, James Cook University and TropWATER</w:t>
                            </w:r>
                            <w:r w:rsidRPr="00760B0A">
                              <w:rPr>
                                <w:rFonts w:ascii="Arial" w:hAnsi="Arial" w:cs="Arial"/>
                                <w:sz w:val="18"/>
                                <w:szCs w:val="18"/>
                              </w:rPr>
                              <w:t xml:space="preserve">, any other material protected by a trademark, content supplied by third parties and any photographs. For licence conditions see: </w:t>
                            </w:r>
                            <w:hyperlink r:id="rId17" w:history="1">
                              <w:r w:rsidRPr="00760B0A">
                                <w:rPr>
                                  <w:rStyle w:val="Hyperlink"/>
                                  <w:rFonts w:ascii="Arial" w:hAnsi="Arial" w:cs="Arial"/>
                                  <w:sz w:val="18"/>
                                  <w:szCs w:val="18"/>
                                </w:rPr>
                                <w:t>http://creativecommons.org/licences/by/4.0</w:t>
                              </w:r>
                            </w:hyperlink>
                            <w:r w:rsidRPr="00760B0A">
                              <w:rPr>
                                <w:rFonts w:ascii="Arial" w:hAnsi="Arial" w:cs="Arial"/>
                                <w:sz w:val="18"/>
                                <w:szCs w:val="18"/>
                              </w:rPr>
                              <w:t xml:space="preserve"> </w:t>
                            </w:r>
                          </w:p>
                          <w:p w14:paraId="5FC70786" w14:textId="3985E742" w:rsidR="00546C7F" w:rsidRPr="00760B0A" w:rsidRDefault="00546C7F" w:rsidP="006427BE">
                            <w:pPr>
                              <w:spacing w:after="0"/>
                              <w:rPr>
                                <w:rFonts w:ascii="Arial" w:hAnsi="Arial" w:cs="Arial"/>
                                <w:sz w:val="18"/>
                                <w:szCs w:val="18"/>
                              </w:rPr>
                            </w:pPr>
                            <w:r w:rsidRPr="00760B0A">
                              <w:rPr>
                                <w:rFonts w:ascii="Arial" w:eastAsiaTheme="minorEastAsia" w:hAnsi="Arial" w:cs="Arial"/>
                                <w:noProof/>
                                <w:sz w:val="18"/>
                                <w:szCs w:val="18"/>
                              </w:rPr>
                              <w:drawing>
                                <wp:inline distT="0" distB="0" distL="0" distR="0" wp14:anchorId="39F20520" wp14:editId="4705832B">
                                  <wp:extent cx="1228725" cy="428625"/>
                                  <wp:effectExtent l="0" t="0" r="0" b="9525"/>
                                  <wp:docPr id="9" name="Picture 9"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18"/>
                                  </wp:docPr>
                                  <wp:cNvGraphicFramePr/>
                                  <a:graphic xmlns:a="http://schemas.openxmlformats.org/drawingml/2006/main">
                                    <a:graphicData uri="http://schemas.openxmlformats.org/drawingml/2006/picture">
                                      <pic:pic xmlns:pic="http://schemas.openxmlformats.org/drawingml/2006/picture">
                                        <pic:nvPicPr>
                                          <pic:cNvPr id="34" name="Picture 34"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r:id="rId18"/>
                                          </pic:cNvPr>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226820" cy="429260"/>
                                          </a:xfrm>
                                          <a:prstGeom prst="rect">
                                            <a:avLst/>
                                          </a:prstGeom>
                                        </pic:spPr>
                                      </pic:pic>
                                    </a:graphicData>
                                  </a:graphic>
                                </wp:inline>
                              </w:drawing>
                            </w:r>
                          </w:p>
                          <w:p w14:paraId="71787758" w14:textId="77777777" w:rsidR="00546C7F" w:rsidRPr="00760B0A" w:rsidRDefault="00546C7F" w:rsidP="006427BE">
                            <w:pPr>
                              <w:spacing w:after="0"/>
                              <w:rPr>
                                <w:rFonts w:ascii="Arial" w:hAnsi="Arial" w:cs="Arial"/>
                                <w:sz w:val="18"/>
                                <w:szCs w:val="18"/>
                                <w:lang w:val="en-GB"/>
                              </w:rPr>
                            </w:pPr>
                          </w:p>
                          <w:p w14:paraId="358758BD" w14:textId="77777777" w:rsidR="00546C7F" w:rsidRPr="00837AAD" w:rsidRDefault="00546C7F" w:rsidP="006427BE">
                            <w:pPr>
                              <w:spacing w:after="0"/>
                              <w:rPr>
                                <w:rFonts w:ascii="Arial" w:hAnsi="Arial" w:cs="Arial"/>
                                <w:b/>
                                <w:sz w:val="18"/>
                                <w:szCs w:val="18"/>
                                <w:lang w:val="en-GB"/>
                              </w:rPr>
                            </w:pPr>
                            <w:r w:rsidRPr="00837AAD">
                              <w:rPr>
                                <w:rFonts w:ascii="Arial" w:hAnsi="Arial" w:cs="Arial"/>
                                <w:b/>
                                <w:sz w:val="18"/>
                                <w:szCs w:val="18"/>
                                <w:lang w:val="en-GB"/>
                              </w:rPr>
                              <w:t>This publication should be cited as:</w:t>
                            </w:r>
                          </w:p>
                          <w:p w14:paraId="1EBA7993" w14:textId="0B5D0D55" w:rsidR="00546C7F" w:rsidRPr="00760B0A" w:rsidRDefault="00546C7F" w:rsidP="00760B0A">
                            <w:pPr>
                              <w:jc w:val="left"/>
                              <w:rPr>
                                <w:rFonts w:ascii="Arial" w:hAnsi="Arial" w:cs="Arial"/>
                                <w:b/>
                                <w:sz w:val="18"/>
                                <w:szCs w:val="18"/>
                              </w:rPr>
                            </w:pPr>
                            <w:r w:rsidRPr="00760B0A">
                              <w:rPr>
                                <w:rFonts w:ascii="Arial" w:hAnsi="Arial" w:cs="Arial"/>
                                <w:sz w:val="18"/>
                                <w:szCs w:val="18"/>
                              </w:rPr>
                              <w:t xml:space="preserve">Devlin, M. da Silva, E.T., Petus, </w:t>
                            </w:r>
                            <w:r w:rsidRPr="00760B0A">
                              <w:rPr>
                                <w:rFonts w:ascii="Arial" w:hAnsi="Arial" w:cs="Arial"/>
                                <w:color w:val="000000"/>
                                <w:sz w:val="18"/>
                                <w:szCs w:val="18"/>
                                <w:lang w:val="en-US" w:eastAsia="en-US"/>
                              </w:rPr>
                              <w:t>C., Tracey, D. 2017</w:t>
                            </w:r>
                            <w:r w:rsidR="00837AAD">
                              <w:rPr>
                                <w:rFonts w:ascii="Arial" w:hAnsi="Arial" w:cs="Arial"/>
                                <w:color w:val="000000"/>
                                <w:sz w:val="18"/>
                                <w:szCs w:val="18"/>
                                <w:lang w:val="en-US" w:eastAsia="en-US"/>
                              </w:rPr>
                              <w:t>,</w:t>
                            </w:r>
                            <w:r>
                              <w:rPr>
                                <w:rFonts w:ascii="Arial" w:hAnsi="Arial" w:cs="Arial"/>
                                <w:color w:val="000000"/>
                                <w:sz w:val="18"/>
                                <w:szCs w:val="18"/>
                                <w:lang w:val="en-US" w:eastAsia="en-US"/>
                              </w:rPr>
                              <w:t xml:space="preserve"> </w:t>
                            </w:r>
                            <w:r w:rsidRPr="00837AAD">
                              <w:rPr>
                                <w:rFonts w:ascii="Arial" w:hAnsi="Arial" w:cs="Arial"/>
                                <w:i/>
                                <w:color w:val="000000"/>
                                <w:sz w:val="18"/>
                                <w:szCs w:val="18"/>
                                <w:lang w:val="en-US" w:eastAsia="en-US"/>
                              </w:rPr>
                              <w:t>Marine Monitoring Program: Annual report for flood plumes and extreme weather 2013-2014</w:t>
                            </w:r>
                            <w:r w:rsidRPr="00760B0A">
                              <w:rPr>
                                <w:rFonts w:ascii="Arial" w:hAnsi="Arial" w:cs="Arial"/>
                                <w:color w:val="000000"/>
                                <w:sz w:val="18"/>
                                <w:szCs w:val="18"/>
                                <w:lang w:val="en-US" w:eastAsia="en-US"/>
                              </w:rPr>
                              <w:t xml:space="preserve">. </w:t>
                            </w:r>
                            <w:r w:rsidRPr="00760B0A">
                              <w:rPr>
                                <w:rFonts w:ascii="Arial" w:hAnsi="Arial" w:cs="Arial"/>
                                <w:sz w:val="18"/>
                                <w:szCs w:val="18"/>
                              </w:rPr>
                              <w:t xml:space="preserve">Tropical Water &amp; Aquatic Ecosystem Research (TropWATER) Publication. Report No 15/63. </w:t>
                            </w:r>
                            <w:r>
                              <w:rPr>
                                <w:rFonts w:ascii="Arial" w:hAnsi="Arial" w:cs="Arial"/>
                                <w:sz w:val="18"/>
                                <w:szCs w:val="18"/>
                              </w:rPr>
                              <w:t>Great Barrier Reef Marine Park Authority</w:t>
                            </w:r>
                            <w:r w:rsidRPr="00760B0A">
                              <w:rPr>
                                <w:rFonts w:ascii="Arial" w:hAnsi="Arial" w:cs="Arial"/>
                                <w:sz w:val="18"/>
                                <w:szCs w:val="18"/>
                              </w:rPr>
                              <w:t>, Townsville, Australia. 102 pp.</w:t>
                            </w:r>
                          </w:p>
                          <w:p w14:paraId="55C20B78" w14:textId="77777777" w:rsidR="00546C7F" w:rsidRPr="00760B0A" w:rsidRDefault="00546C7F" w:rsidP="006427BE">
                            <w:pPr>
                              <w:spacing w:after="0"/>
                              <w:rPr>
                                <w:rFonts w:ascii="Arial" w:hAnsi="Arial" w:cs="Arial"/>
                                <w:sz w:val="18"/>
                                <w:szCs w:val="18"/>
                                <w:lang w:val="en-GB"/>
                              </w:rPr>
                            </w:pPr>
                          </w:p>
                          <w:p w14:paraId="103EDD0E" w14:textId="14FBAF33" w:rsidR="00546C7F" w:rsidRPr="00760B0A" w:rsidRDefault="00546C7F" w:rsidP="006427BE">
                            <w:pPr>
                              <w:spacing w:after="0"/>
                              <w:rPr>
                                <w:rFonts w:ascii="Arial" w:hAnsi="Arial" w:cs="Arial"/>
                                <w:sz w:val="18"/>
                                <w:szCs w:val="18"/>
                                <w:lang w:val="en-GB"/>
                              </w:rPr>
                            </w:pPr>
                            <w:r w:rsidRPr="00760B0A">
                              <w:rPr>
                                <w:rFonts w:ascii="Arial" w:hAnsi="Arial" w:cs="Arial"/>
                                <w:sz w:val="18"/>
                                <w:szCs w:val="18"/>
                              </w:rPr>
                              <w:t>A catalogue record for this publication is available</w:t>
                            </w:r>
                            <w:r>
                              <w:rPr>
                                <w:rFonts w:ascii="Arial" w:hAnsi="Arial" w:cs="Arial"/>
                                <w:sz w:val="18"/>
                                <w:szCs w:val="18"/>
                              </w:rPr>
                              <w:t xml:space="preserve"> </w:t>
                            </w:r>
                            <w:r w:rsidRPr="00760B0A">
                              <w:rPr>
                                <w:rFonts w:ascii="Arial" w:hAnsi="Arial" w:cs="Arial"/>
                                <w:sz w:val="18"/>
                                <w:szCs w:val="18"/>
                              </w:rPr>
                              <w:t>from the National Library of Australia</w:t>
                            </w:r>
                          </w:p>
                          <w:p w14:paraId="2D71DC74" w14:textId="77777777" w:rsidR="00546C7F" w:rsidRPr="00760B0A" w:rsidRDefault="00546C7F" w:rsidP="006427BE">
                            <w:pPr>
                              <w:spacing w:after="0"/>
                              <w:rPr>
                                <w:rFonts w:ascii="Arial" w:hAnsi="Arial" w:cs="Arial"/>
                                <w:sz w:val="18"/>
                                <w:szCs w:val="18"/>
                                <w:lang w:val="en-GB"/>
                              </w:rPr>
                            </w:pPr>
                          </w:p>
                          <w:p w14:paraId="4969E10A" w14:textId="77777777" w:rsidR="00A21DD7" w:rsidRDefault="00A21DD7" w:rsidP="006427BE">
                            <w:pPr>
                              <w:spacing w:after="0"/>
                              <w:rPr>
                                <w:rFonts w:ascii="Arial" w:hAnsi="Arial" w:cs="Arial"/>
                                <w:sz w:val="16"/>
                                <w:szCs w:val="16"/>
                                <w:lang w:val="en-GB"/>
                              </w:rPr>
                            </w:pPr>
                          </w:p>
                          <w:p w14:paraId="7DEB27B4" w14:textId="77777777" w:rsidR="00A21DD7" w:rsidRDefault="00A21DD7" w:rsidP="006427BE">
                            <w:pPr>
                              <w:spacing w:after="0"/>
                              <w:rPr>
                                <w:rFonts w:ascii="Arial" w:hAnsi="Arial" w:cs="Arial"/>
                                <w:sz w:val="16"/>
                                <w:szCs w:val="16"/>
                                <w:lang w:val="en-GB"/>
                              </w:rPr>
                            </w:pPr>
                          </w:p>
                          <w:p w14:paraId="415F13E2" w14:textId="77777777" w:rsidR="00A21DD7" w:rsidRDefault="00A21DD7" w:rsidP="006427BE">
                            <w:pPr>
                              <w:spacing w:after="0"/>
                              <w:rPr>
                                <w:rFonts w:ascii="Arial" w:hAnsi="Arial" w:cs="Arial"/>
                                <w:sz w:val="16"/>
                                <w:szCs w:val="16"/>
                                <w:lang w:val="en-GB"/>
                              </w:rPr>
                            </w:pPr>
                          </w:p>
                          <w:p w14:paraId="661E40FB" w14:textId="41E1AF4C" w:rsidR="00546C7F" w:rsidRPr="00A21DD7" w:rsidRDefault="00546C7F" w:rsidP="006427BE">
                            <w:pPr>
                              <w:spacing w:after="0"/>
                              <w:rPr>
                                <w:rFonts w:ascii="Arial" w:hAnsi="Arial" w:cs="Arial"/>
                                <w:sz w:val="16"/>
                                <w:szCs w:val="16"/>
                                <w:lang w:val="en-GB"/>
                              </w:rPr>
                            </w:pPr>
                            <w:r w:rsidRPr="00A21DD7">
                              <w:rPr>
                                <w:rFonts w:ascii="Arial" w:hAnsi="Arial" w:cs="Arial"/>
                                <w:sz w:val="16"/>
                                <w:szCs w:val="16"/>
                                <w:lang w:val="en-GB"/>
                              </w:rPr>
                              <w:t>Cover photograph courtesy of: Turbid river plume emerging from the Russell-Mulgrave river mouth following several days of heavy rainfall © Dieter Tracey</w:t>
                            </w:r>
                          </w:p>
                          <w:p w14:paraId="31AFD18C" w14:textId="77777777" w:rsidR="00546C7F" w:rsidRPr="00A21DD7" w:rsidRDefault="00546C7F" w:rsidP="006427BE">
                            <w:pPr>
                              <w:spacing w:after="0"/>
                              <w:rPr>
                                <w:rFonts w:ascii="Arial" w:hAnsi="Arial" w:cs="Arial"/>
                                <w:sz w:val="16"/>
                                <w:szCs w:val="16"/>
                                <w:lang w:val="en-GB"/>
                              </w:rPr>
                            </w:pPr>
                          </w:p>
                          <w:p w14:paraId="14530F1A" w14:textId="77777777" w:rsidR="00546C7F" w:rsidRPr="00A21DD7" w:rsidRDefault="00546C7F" w:rsidP="00760B0A">
                            <w:pPr>
                              <w:autoSpaceDE w:val="0"/>
                              <w:autoSpaceDN w:val="0"/>
                              <w:adjustRightInd w:val="0"/>
                              <w:rPr>
                                <w:rFonts w:ascii="Arial" w:hAnsi="Arial" w:cs="Arial"/>
                                <w:sz w:val="16"/>
                                <w:szCs w:val="16"/>
                                <w:lang w:val="en-US"/>
                              </w:rPr>
                            </w:pPr>
                            <w:r w:rsidRPr="00A21DD7">
                              <w:rPr>
                                <w:rFonts w:ascii="Arial" w:hAnsi="Arial" w:cs="Arial"/>
                                <w:sz w:val="16"/>
                                <w:szCs w:val="16"/>
                                <w:lang w:val="en-US"/>
                              </w:rPr>
                              <w:t>This publication has been compiled by the Centre for Tropical Water &amp; Aquatic Ecosystem Research (TropWATER), James Cook University.</w:t>
                            </w:r>
                          </w:p>
                          <w:p w14:paraId="4106C512" w14:textId="77777777" w:rsidR="00546C7F" w:rsidRPr="00634220" w:rsidRDefault="00546C7F" w:rsidP="006427BE">
                            <w:pPr>
                              <w:spacing w:after="0"/>
                              <w:rPr>
                                <w:sz w:val="18"/>
                                <w:szCs w:val="18"/>
                                <w:lang w:val="en-US"/>
                              </w:rPr>
                            </w:pPr>
                          </w:p>
                          <w:p w14:paraId="45112B44" w14:textId="02035B28" w:rsidR="00546C7F" w:rsidRPr="00837AAD" w:rsidRDefault="00546C7F" w:rsidP="006427BE">
                            <w:pPr>
                              <w:spacing w:after="0"/>
                              <w:rPr>
                                <w:rFonts w:ascii="Arial" w:hAnsi="Arial" w:cs="Arial"/>
                                <w:sz w:val="16"/>
                                <w:szCs w:val="16"/>
                              </w:rPr>
                            </w:pPr>
                            <w:r w:rsidRPr="00837AAD">
                              <w:rPr>
                                <w:rFonts w:ascii="Arial" w:hAnsi="Arial" w:cs="Arial"/>
                                <w:sz w:val="16"/>
                                <w:szCs w:val="16"/>
                              </w:rPr>
                              <w:t>Disclaimer</w:t>
                            </w:r>
                          </w:p>
                          <w:p w14:paraId="06F4580B" w14:textId="2B548874" w:rsidR="00546C7F" w:rsidRPr="00837AAD" w:rsidRDefault="00546C7F" w:rsidP="00760B0A">
                            <w:pPr>
                              <w:rPr>
                                <w:rFonts w:ascii="Arial" w:eastAsia="MS Mincho" w:hAnsi="Arial" w:cs="Arial"/>
                                <w:sz w:val="16"/>
                                <w:szCs w:val="16"/>
                                <w:lang w:eastAsia="ja-JP"/>
                              </w:rPr>
                            </w:pPr>
                            <w:r w:rsidRPr="00837AAD">
                              <w:rPr>
                                <w:rFonts w:ascii="Arial" w:eastAsia="MS Mincho" w:hAnsi="Arial" w:cs="Arial"/>
                                <w:sz w:val="16"/>
                                <w:szCs w:val="16"/>
                                <w:lang w:eastAsia="ja-JP"/>
                              </w:rPr>
                              <w:t xml:space="preserve">While reasonable efforts have been made to ensure that the contents of this document are factually correct, </w:t>
                            </w:r>
                            <w:r w:rsidR="00C114D0">
                              <w:rPr>
                                <w:rFonts w:ascii="Arial" w:eastAsia="MS Mincho" w:hAnsi="Arial" w:cs="Arial"/>
                                <w:sz w:val="16"/>
                                <w:szCs w:val="16"/>
                                <w:lang w:eastAsia="ja-JP"/>
                              </w:rPr>
                              <w:t>James Cook University</w:t>
                            </w:r>
                            <w:r w:rsidRPr="00837AAD">
                              <w:rPr>
                                <w:rFonts w:ascii="Arial" w:eastAsia="MS Mincho" w:hAnsi="Arial" w:cs="Arial"/>
                                <w:sz w:val="16"/>
                                <w:szCs w:val="16"/>
                                <w:lang w:eastAsia="ja-JP"/>
                              </w:rPr>
                              <w:t xml:space="preserve"> do not make any representation or give any warranty regarding the accuracy, completeness, currency or suitability for any particular purpose of the information or statements contained in this document. To the extent permitted by law </w:t>
                            </w:r>
                            <w:r w:rsidR="00C114D0">
                              <w:rPr>
                                <w:rFonts w:ascii="Arial" w:eastAsia="MS Mincho" w:hAnsi="Arial" w:cs="Arial"/>
                                <w:sz w:val="16"/>
                                <w:szCs w:val="16"/>
                                <w:lang w:eastAsia="ja-JP"/>
                              </w:rPr>
                              <w:t>James Cook University</w:t>
                            </w:r>
                            <w:r w:rsidRPr="00837AAD">
                              <w:rPr>
                                <w:rFonts w:ascii="Arial" w:eastAsia="MS Mincho" w:hAnsi="Arial" w:cs="Arial"/>
                                <w:sz w:val="16"/>
                                <w:szCs w:val="16"/>
                                <w:lang w:eastAsia="ja-JP"/>
                              </w:rPr>
                              <w:t xml:space="preserve"> shall not be liable for any loss, damage, cost or expense that may be occasioned directly or indirectly through the use of or reliance on the contents of this document.</w:t>
                            </w:r>
                          </w:p>
                          <w:p w14:paraId="3EB5B9E0" w14:textId="77777777" w:rsidR="00546C7F" w:rsidRPr="00760B0A" w:rsidRDefault="00546C7F" w:rsidP="006427BE">
                            <w:pPr>
                              <w:spacing w:after="0"/>
                              <w:rPr>
                                <w:sz w:val="18"/>
                                <w:szCs w:val="18"/>
                              </w:rPr>
                            </w:pPr>
                          </w:p>
                          <w:p w14:paraId="3BC31BE1" w14:textId="77777777" w:rsidR="00546C7F" w:rsidRDefault="00546C7F" w:rsidP="006427BE">
                            <w:pPr>
                              <w:spacing w:after="0"/>
                              <w:rPr>
                                <w:sz w:val="18"/>
                                <w:szCs w:val="18"/>
                                <w:lang w:val="en-GB"/>
                              </w:rPr>
                            </w:pPr>
                          </w:p>
                          <w:p w14:paraId="1AF707C2" w14:textId="77777777" w:rsidR="00A21DD7" w:rsidRDefault="00A21DD7" w:rsidP="00A21DD7">
                            <w:pPr>
                              <w:rPr>
                                <w:rFonts w:ascii="Arial" w:hAnsi="Arial" w:cs="Arial"/>
                                <w:sz w:val="18"/>
                                <w:szCs w:val="18"/>
                              </w:rPr>
                            </w:pPr>
                            <w:r>
                              <w:rPr>
                                <w:rFonts w:ascii="Arial" w:hAnsi="Arial" w:cs="Arial"/>
                                <w:sz w:val="18"/>
                                <w:szCs w:val="18"/>
                              </w:rPr>
                              <w:t>Comments and questions regarding this document are welcome and should be addressed to:</w:t>
                            </w:r>
                          </w:p>
                          <w:p w14:paraId="626F5BE0" w14:textId="77777777" w:rsidR="00546C7F" w:rsidRPr="00307CDB" w:rsidRDefault="00546C7F" w:rsidP="00837AAD">
                            <w:pPr>
                              <w:spacing w:before="0" w:after="0"/>
                              <w:ind w:left="720"/>
                              <w:rPr>
                                <w:rFonts w:ascii="Arial" w:hAnsi="Arial" w:cs="Arial"/>
                                <w:sz w:val="18"/>
                                <w:szCs w:val="18"/>
                              </w:rPr>
                            </w:pPr>
                            <w:r w:rsidRPr="00307CDB">
                              <w:rPr>
                                <w:rFonts w:ascii="Arial" w:hAnsi="Arial" w:cs="Arial"/>
                                <w:sz w:val="18"/>
                                <w:szCs w:val="18"/>
                              </w:rPr>
                              <w:t xml:space="preserve">Centre for Tropical Water &amp; Aquatic Ecosystem Research (TropWATER) </w:t>
                            </w:r>
                          </w:p>
                          <w:p w14:paraId="65247BB6" w14:textId="77777777" w:rsidR="00546C7F" w:rsidRPr="00307CDB" w:rsidRDefault="00546C7F" w:rsidP="00837AAD">
                            <w:pPr>
                              <w:spacing w:before="0" w:after="0"/>
                              <w:ind w:left="720"/>
                              <w:rPr>
                                <w:rFonts w:ascii="Arial" w:hAnsi="Arial" w:cs="Arial"/>
                                <w:sz w:val="18"/>
                                <w:szCs w:val="18"/>
                              </w:rPr>
                            </w:pPr>
                            <w:r w:rsidRPr="00307CDB">
                              <w:rPr>
                                <w:rFonts w:ascii="Arial" w:hAnsi="Arial" w:cs="Arial"/>
                                <w:sz w:val="18"/>
                                <w:szCs w:val="18"/>
                              </w:rPr>
                              <w:t>James Cook University</w:t>
                            </w:r>
                          </w:p>
                          <w:p w14:paraId="43AADF11" w14:textId="178B6F83" w:rsidR="00546C7F" w:rsidRDefault="00A87B15" w:rsidP="00837AAD">
                            <w:pPr>
                              <w:spacing w:before="0" w:after="0"/>
                              <w:ind w:left="720"/>
                              <w:rPr>
                                <w:rFonts w:ascii="Arial" w:hAnsi="Arial" w:cs="Arial"/>
                                <w:sz w:val="18"/>
                                <w:szCs w:val="18"/>
                              </w:rPr>
                            </w:pPr>
                            <w:hyperlink r:id="rId20" w:history="1">
                              <w:r w:rsidR="00546C7F" w:rsidRPr="00ED3B06">
                                <w:rPr>
                                  <w:rStyle w:val="Hyperlink"/>
                                  <w:rFonts w:ascii="Arial" w:hAnsi="Arial" w:cs="Arial"/>
                                  <w:sz w:val="18"/>
                                  <w:szCs w:val="18"/>
                                </w:rPr>
                                <w:t>tropwater@jcu.edu.au</w:t>
                              </w:r>
                            </w:hyperlink>
                          </w:p>
                          <w:p w14:paraId="075B8447" w14:textId="77777777" w:rsidR="00546C7F" w:rsidRPr="00307CDB" w:rsidRDefault="00546C7F" w:rsidP="00760B0A">
                            <w:pPr>
                              <w:spacing w:before="0" w:after="0"/>
                              <w:rPr>
                                <w:rFonts w:ascii="Arial" w:hAnsi="Arial" w:cs="Arial"/>
                                <w:sz w:val="18"/>
                                <w:szCs w:val="18"/>
                              </w:rPr>
                            </w:pPr>
                          </w:p>
                          <w:p w14:paraId="58342C9A" w14:textId="77777777" w:rsidR="00A21DD7" w:rsidRDefault="00A21DD7" w:rsidP="00634220">
                            <w:pPr>
                              <w:spacing w:before="100" w:beforeAutospacing="1" w:after="100" w:afterAutospacing="1"/>
                              <w:rPr>
                                <w:rFonts w:ascii="Arial" w:hAnsi="Arial" w:cs="Arial"/>
                                <w:i/>
                                <w:iCs/>
                                <w:sz w:val="18"/>
                                <w:szCs w:val="18"/>
                                <w:lang w:val="en-US"/>
                              </w:rPr>
                            </w:pPr>
                          </w:p>
                          <w:p w14:paraId="649FF7DE" w14:textId="77777777" w:rsidR="00A21DD7" w:rsidRDefault="00A21DD7" w:rsidP="00634220">
                            <w:pPr>
                              <w:spacing w:before="100" w:beforeAutospacing="1" w:after="100" w:afterAutospacing="1"/>
                              <w:rPr>
                                <w:rFonts w:ascii="Arial" w:hAnsi="Arial" w:cs="Arial"/>
                                <w:i/>
                                <w:iCs/>
                                <w:sz w:val="18"/>
                                <w:szCs w:val="18"/>
                                <w:lang w:val="en-US"/>
                              </w:rPr>
                            </w:pPr>
                          </w:p>
                          <w:p w14:paraId="411CC26C" w14:textId="778AA9BA" w:rsidR="00546C7F" w:rsidRPr="00634220" w:rsidRDefault="00546C7F" w:rsidP="00634220">
                            <w:pPr>
                              <w:spacing w:before="100" w:beforeAutospacing="1" w:after="100" w:afterAutospacing="1"/>
                              <w:rPr>
                                <w:rFonts w:ascii="Arial" w:hAnsi="Arial" w:cs="Arial"/>
                                <w:i/>
                                <w:iCs/>
                                <w:sz w:val="18"/>
                                <w:szCs w:val="18"/>
                                <w:lang w:val="en-US"/>
                              </w:rPr>
                            </w:pPr>
                            <w:r w:rsidRPr="00634220">
                              <w:rPr>
                                <w:rFonts w:ascii="Arial" w:hAnsi="Arial" w:cs="Arial"/>
                                <w:i/>
                                <w:iCs/>
                                <w:sz w:val="18"/>
                                <w:szCs w:val="18"/>
                                <w:lang w:val="en-US"/>
                              </w:rPr>
                              <w:t xml:space="preserve">This project is supported by the Great Barrier Reef Marine Park Authority through funding from the Australian Government Reef Program, the </w:t>
                            </w:r>
                            <w:r w:rsidRPr="00634220">
                              <w:rPr>
                                <w:rFonts w:ascii="Arial" w:hAnsi="Arial" w:cs="Arial"/>
                                <w:i/>
                                <w:iCs/>
                                <w:sz w:val="18"/>
                                <w:szCs w:val="18"/>
                              </w:rPr>
                              <w:t>Reef 2050 Integrated Monitoring, and Reporting Program</w:t>
                            </w:r>
                            <w:r w:rsidRPr="00634220">
                              <w:rPr>
                                <w:rFonts w:ascii="Arial" w:hAnsi="Arial" w:cs="Arial"/>
                                <w:i/>
                                <w:iCs/>
                                <w:sz w:val="18"/>
                                <w:szCs w:val="18"/>
                                <w:lang w:val="en-US"/>
                              </w:rPr>
                              <w:t xml:space="preserve"> and James Cook University</w:t>
                            </w:r>
                            <w:r w:rsidR="00A21DD7">
                              <w:rPr>
                                <w:rFonts w:ascii="Arial" w:hAnsi="Arial" w:cs="Arial"/>
                                <w:i/>
                                <w:iCs/>
                                <w:sz w:val="18"/>
                                <w:szCs w:val="18"/>
                                <w:lang w:val="en-US"/>
                              </w:rPr>
                              <w:t>.</w:t>
                            </w:r>
                          </w:p>
                          <w:p w14:paraId="5B807E82" w14:textId="4893A009" w:rsidR="00546C7F" w:rsidRPr="00634220" w:rsidRDefault="00546C7F" w:rsidP="00307CDB">
                            <w:pPr>
                              <w:spacing w:after="0"/>
                              <w:rPr>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7" type="#_x0000_t202" style="position:absolute;left:0;text-align:left;margin-left:.1pt;margin-top:2.35pt;width:506.25pt;height:705.6pt;z-index:-251645953;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" o:allowincell="f" filled="f" fillcolor="silver" stroked="f">
                <v:fill opacity="32896f"/>
                <v:textbox>
                  <w:txbxContent>
                    <w:p w14:paraId="14BB7FFC" w14:textId="3E8D7D88" w:rsidR="00546C7F" w:rsidRPr="00760B0A" w:rsidRDefault="00546C7F" w:rsidP="006427BE">
                      <w:pPr>
                        <w:pStyle w:val="BasicParagraph"/>
                        <w:spacing w:after="0"/>
                        <w:rPr>
                          <w:rFonts w:ascii="Arial" w:hAnsi="Arial" w:cs="Arial"/>
                          <w:sz w:val="18"/>
                          <w:szCs w:val="18"/>
                        </w:rPr>
                      </w:pPr>
                      <w:bookmarkStart w:id="2" w:name="_Toc393721189"/>
                      <w:r w:rsidRPr="00760B0A">
                        <w:rPr>
                          <w:rFonts w:ascii="Arial" w:hAnsi="Arial" w:cs="Arial"/>
                          <w:sz w:val="18"/>
                          <w:szCs w:val="18"/>
                        </w:rPr>
                        <w:t xml:space="preserve">© </w:t>
                      </w:r>
                      <w:bookmarkEnd w:id="2"/>
                      <w:r w:rsidRPr="00760B0A">
                        <w:rPr>
                          <w:rFonts w:ascii="Arial" w:hAnsi="Arial" w:cs="Arial"/>
                          <w:sz w:val="18"/>
                          <w:szCs w:val="18"/>
                        </w:rPr>
                        <w:t>James Cook University</w:t>
                      </w:r>
                      <w:r w:rsidR="004F5D76">
                        <w:rPr>
                          <w:rFonts w:ascii="Arial" w:hAnsi="Arial" w:cs="Arial"/>
                          <w:sz w:val="18"/>
                          <w:szCs w:val="18"/>
                        </w:rPr>
                        <w:t xml:space="preserve"> 2017</w:t>
                      </w:r>
                    </w:p>
                    <w:p w14:paraId="7829947A" w14:textId="77777777" w:rsidR="00546C7F" w:rsidRPr="00760B0A" w:rsidRDefault="00546C7F" w:rsidP="006427BE">
                      <w:pPr>
                        <w:spacing w:after="0"/>
                        <w:rPr>
                          <w:rFonts w:ascii="Arial" w:hAnsi="Arial" w:cs="Arial"/>
                          <w:sz w:val="18"/>
                          <w:szCs w:val="18"/>
                          <w:lang w:val="en-GB"/>
                        </w:rPr>
                      </w:pPr>
                      <w:r w:rsidRPr="00760B0A">
                        <w:rPr>
                          <w:rFonts w:ascii="Arial" w:hAnsi="Arial" w:cs="Arial"/>
                          <w:sz w:val="18"/>
                          <w:szCs w:val="18"/>
                          <w:lang w:val="en-GB"/>
                        </w:rPr>
                        <w:t>Published by the Great Barrier Reef Marine Park Authority</w:t>
                      </w:r>
                    </w:p>
                    <w:p w14:paraId="483F531F" w14:textId="79245234" w:rsidR="00546C7F" w:rsidRPr="00546C7F" w:rsidRDefault="00546C7F" w:rsidP="00546C7F">
                      <w:pPr>
                        <w:spacing w:after="0"/>
                        <w:rPr>
                          <w:rFonts w:ascii="Arial" w:hAnsi="Arial" w:cs="Arial"/>
                          <w:sz w:val="18"/>
                          <w:szCs w:val="18"/>
                        </w:rPr>
                      </w:pPr>
                      <w:r w:rsidRPr="00760B0A">
                        <w:rPr>
                          <w:rFonts w:ascii="Arial" w:hAnsi="Arial" w:cs="Arial"/>
                          <w:sz w:val="18"/>
                          <w:szCs w:val="18"/>
                          <w:lang w:val="en-GB"/>
                        </w:rPr>
                        <w:t xml:space="preserve">ISBN </w:t>
                      </w:r>
                      <w:r>
                        <w:rPr>
                          <w:rFonts w:ascii="Arial" w:hAnsi="Arial" w:cs="Arial"/>
                          <w:sz w:val="18"/>
                          <w:szCs w:val="18"/>
                        </w:rPr>
                        <w:t xml:space="preserve">978 </w:t>
                      </w:r>
                      <w:r w:rsidRPr="00546C7F">
                        <w:rPr>
                          <w:rFonts w:ascii="Arial" w:hAnsi="Arial" w:cs="Arial"/>
                          <w:sz w:val="18"/>
                          <w:szCs w:val="18"/>
                        </w:rPr>
                        <w:t>09953731</w:t>
                      </w:r>
                      <w:r>
                        <w:rPr>
                          <w:rFonts w:ascii="Arial" w:hAnsi="Arial" w:cs="Arial"/>
                          <w:sz w:val="18"/>
                          <w:szCs w:val="18"/>
                        </w:rPr>
                        <w:t xml:space="preserve"> </w:t>
                      </w:r>
                      <w:r w:rsidRPr="00546C7F">
                        <w:rPr>
                          <w:rFonts w:ascii="Arial" w:hAnsi="Arial" w:cs="Arial"/>
                          <w:sz w:val="18"/>
                          <w:szCs w:val="18"/>
                        </w:rPr>
                        <w:t>43</w:t>
                      </w:r>
                    </w:p>
                    <w:p w14:paraId="6E31F36B" w14:textId="678CF1A7" w:rsidR="00546C7F" w:rsidRPr="00760B0A" w:rsidRDefault="00546C7F" w:rsidP="006427BE">
                      <w:pPr>
                        <w:spacing w:after="0"/>
                        <w:rPr>
                          <w:rFonts w:ascii="Arial" w:hAnsi="Arial" w:cs="Arial"/>
                          <w:sz w:val="18"/>
                          <w:szCs w:val="18"/>
                          <w:lang w:val="en-GB"/>
                        </w:rPr>
                      </w:pPr>
                    </w:p>
                    <w:p w14:paraId="60881629" w14:textId="04304A20" w:rsidR="00546C7F" w:rsidRPr="00760B0A" w:rsidRDefault="00546C7F" w:rsidP="006427BE">
                      <w:pPr>
                        <w:spacing w:after="0"/>
                        <w:rPr>
                          <w:rFonts w:ascii="Arial" w:hAnsi="Arial" w:cs="Arial"/>
                          <w:sz w:val="18"/>
                          <w:szCs w:val="18"/>
                        </w:rPr>
                      </w:pPr>
                      <w:r w:rsidRPr="00760B0A">
                        <w:rPr>
                          <w:rFonts w:ascii="Arial" w:hAnsi="Arial" w:cs="Arial"/>
                          <w:i/>
                          <w:color w:val="000000"/>
                          <w:sz w:val="18"/>
                          <w:szCs w:val="18"/>
                          <w:lang w:val="en-US" w:eastAsia="en-US"/>
                        </w:rPr>
                        <w:t>Marine Monitoring Program: Annual report for flood plumes and extreme weather 2013-2014</w:t>
                      </w:r>
                      <w:r>
                        <w:rPr>
                          <w:rFonts w:ascii="Arial" w:hAnsi="Arial" w:cs="Arial"/>
                          <w:color w:val="000000"/>
                          <w:sz w:val="18"/>
                          <w:szCs w:val="18"/>
                          <w:lang w:val="en-US" w:eastAsia="en-US"/>
                        </w:rPr>
                        <w:t xml:space="preserve"> </w:t>
                      </w:r>
                      <w:r w:rsidRPr="00760B0A">
                        <w:rPr>
                          <w:rFonts w:ascii="Arial" w:hAnsi="Arial" w:cs="Arial"/>
                          <w:sz w:val="18"/>
                          <w:szCs w:val="18"/>
                        </w:rPr>
                        <w:t>is licensed for use under a Creative Commons By Attribution 4.0 International licence with the exception of the Coat of Arms of the Commonwealth of Australia, the logo</w:t>
                      </w:r>
                      <w:r>
                        <w:rPr>
                          <w:rFonts w:ascii="Arial" w:hAnsi="Arial" w:cs="Arial"/>
                          <w:sz w:val="18"/>
                          <w:szCs w:val="18"/>
                        </w:rPr>
                        <w:t>s</w:t>
                      </w:r>
                      <w:r w:rsidRPr="00760B0A">
                        <w:rPr>
                          <w:rFonts w:ascii="Arial" w:hAnsi="Arial" w:cs="Arial"/>
                          <w:sz w:val="18"/>
                          <w:szCs w:val="18"/>
                        </w:rPr>
                        <w:t xml:space="preserve"> of the Great Barrier Reef Marine Park Authority</w:t>
                      </w:r>
                      <w:r>
                        <w:rPr>
                          <w:rFonts w:ascii="Arial" w:hAnsi="Arial" w:cs="Arial"/>
                          <w:sz w:val="18"/>
                          <w:szCs w:val="18"/>
                        </w:rPr>
                        <w:t>, James Cook University and TropWATER</w:t>
                      </w:r>
                      <w:r w:rsidRPr="00760B0A">
                        <w:rPr>
                          <w:rFonts w:ascii="Arial" w:hAnsi="Arial" w:cs="Arial"/>
                          <w:sz w:val="18"/>
                          <w:szCs w:val="18"/>
                        </w:rPr>
                        <w:t xml:space="preserve">, any other material protected by a trademark, content supplied by third parties and any photographs. For licence conditions see: </w:t>
                      </w:r>
                      <w:hyperlink r:id="rId21" w:history="1">
                        <w:r w:rsidRPr="00760B0A">
                          <w:rPr>
                            <w:rStyle w:val="Hyperlink"/>
                            <w:rFonts w:ascii="Arial" w:hAnsi="Arial" w:cs="Arial"/>
                            <w:sz w:val="18"/>
                            <w:szCs w:val="18"/>
                          </w:rPr>
                          <w:t>http://creativecommons.org/licences/by/4.0</w:t>
                        </w:r>
                      </w:hyperlink>
                      <w:r w:rsidRPr="00760B0A">
                        <w:rPr>
                          <w:rFonts w:ascii="Arial" w:hAnsi="Arial" w:cs="Arial"/>
                          <w:sz w:val="18"/>
                          <w:szCs w:val="18"/>
                        </w:rPr>
                        <w:t xml:space="preserve"> </w:t>
                      </w:r>
                    </w:p>
                    <w:p w14:paraId="5FC70786" w14:textId="3985E742" w:rsidR="00546C7F" w:rsidRPr="00760B0A" w:rsidRDefault="00546C7F" w:rsidP="006427BE">
                      <w:pPr>
                        <w:spacing w:after="0"/>
                        <w:rPr>
                          <w:rFonts w:ascii="Arial" w:hAnsi="Arial" w:cs="Arial"/>
                          <w:sz w:val="18"/>
                          <w:szCs w:val="18"/>
                        </w:rPr>
                      </w:pPr>
                      <w:r w:rsidRPr="00760B0A">
                        <w:rPr>
                          <w:rFonts w:ascii="Arial" w:eastAsiaTheme="minorEastAsia" w:hAnsi="Arial" w:cs="Arial"/>
                          <w:noProof/>
                          <w:sz w:val="18"/>
                          <w:szCs w:val="18"/>
                        </w:rPr>
                        <w:drawing>
                          <wp:inline distT="0" distB="0" distL="0" distR="0" wp14:anchorId="39F20520" wp14:editId="4705832B">
                            <wp:extent cx="1228725" cy="428625"/>
                            <wp:effectExtent l="0" t="0" r="0" b="9525"/>
                            <wp:docPr id="9" name="Picture 9"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18"/>
                            </wp:docPr>
                            <wp:cNvGraphicFramePr/>
                            <a:graphic xmlns:a="http://schemas.openxmlformats.org/drawingml/2006/main">
                              <a:graphicData uri="http://schemas.openxmlformats.org/drawingml/2006/picture">
                                <pic:pic xmlns:pic="http://schemas.openxmlformats.org/drawingml/2006/picture">
                                  <pic:nvPicPr>
                                    <pic:cNvPr id="34" name="Picture 34"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r:id="rId18"/>
                                    </pic:cNvPr>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226820" cy="429260"/>
                                    </a:xfrm>
                                    <a:prstGeom prst="rect">
                                      <a:avLst/>
                                    </a:prstGeom>
                                  </pic:spPr>
                                </pic:pic>
                              </a:graphicData>
                            </a:graphic>
                          </wp:inline>
                        </w:drawing>
                      </w:r>
                    </w:p>
                    <w:p w14:paraId="71787758" w14:textId="77777777" w:rsidR="00546C7F" w:rsidRPr="00760B0A" w:rsidRDefault="00546C7F" w:rsidP="006427BE">
                      <w:pPr>
                        <w:spacing w:after="0"/>
                        <w:rPr>
                          <w:rFonts w:ascii="Arial" w:hAnsi="Arial" w:cs="Arial"/>
                          <w:sz w:val="18"/>
                          <w:szCs w:val="18"/>
                          <w:lang w:val="en-GB"/>
                        </w:rPr>
                      </w:pPr>
                    </w:p>
                    <w:p w14:paraId="358758BD" w14:textId="77777777" w:rsidR="00546C7F" w:rsidRPr="00837AAD" w:rsidRDefault="00546C7F" w:rsidP="006427BE">
                      <w:pPr>
                        <w:spacing w:after="0"/>
                        <w:rPr>
                          <w:rFonts w:ascii="Arial" w:hAnsi="Arial" w:cs="Arial"/>
                          <w:b/>
                          <w:sz w:val="18"/>
                          <w:szCs w:val="18"/>
                          <w:lang w:val="en-GB"/>
                        </w:rPr>
                      </w:pPr>
                      <w:r w:rsidRPr="00837AAD">
                        <w:rPr>
                          <w:rFonts w:ascii="Arial" w:hAnsi="Arial" w:cs="Arial"/>
                          <w:b/>
                          <w:sz w:val="18"/>
                          <w:szCs w:val="18"/>
                          <w:lang w:val="en-GB"/>
                        </w:rPr>
                        <w:t>This publication should be cited as:</w:t>
                      </w:r>
                    </w:p>
                    <w:p w14:paraId="1EBA7993" w14:textId="0B5D0D55" w:rsidR="00546C7F" w:rsidRPr="00760B0A" w:rsidRDefault="00546C7F" w:rsidP="00760B0A">
                      <w:pPr>
                        <w:jc w:val="left"/>
                        <w:rPr>
                          <w:rFonts w:ascii="Arial" w:hAnsi="Arial" w:cs="Arial"/>
                          <w:b/>
                          <w:sz w:val="18"/>
                          <w:szCs w:val="18"/>
                        </w:rPr>
                      </w:pPr>
                      <w:r w:rsidRPr="00760B0A">
                        <w:rPr>
                          <w:rFonts w:ascii="Arial" w:hAnsi="Arial" w:cs="Arial"/>
                          <w:sz w:val="18"/>
                          <w:szCs w:val="18"/>
                        </w:rPr>
                        <w:t xml:space="preserve">Devlin, M. da Silva, E.T., Petus, </w:t>
                      </w:r>
                      <w:r w:rsidRPr="00760B0A">
                        <w:rPr>
                          <w:rFonts w:ascii="Arial" w:hAnsi="Arial" w:cs="Arial"/>
                          <w:color w:val="000000"/>
                          <w:sz w:val="18"/>
                          <w:szCs w:val="18"/>
                          <w:lang w:val="en-US" w:eastAsia="en-US"/>
                        </w:rPr>
                        <w:t>C., Tracey, D. 2017</w:t>
                      </w:r>
                      <w:r w:rsidR="00837AAD">
                        <w:rPr>
                          <w:rFonts w:ascii="Arial" w:hAnsi="Arial" w:cs="Arial"/>
                          <w:color w:val="000000"/>
                          <w:sz w:val="18"/>
                          <w:szCs w:val="18"/>
                          <w:lang w:val="en-US" w:eastAsia="en-US"/>
                        </w:rPr>
                        <w:t>,</w:t>
                      </w:r>
                      <w:r>
                        <w:rPr>
                          <w:rFonts w:ascii="Arial" w:hAnsi="Arial" w:cs="Arial"/>
                          <w:color w:val="000000"/>
                          <w:sz w:val="18"/>
                          <w:szCs w:val="18"/>
                          <w:lang w:val="en-US" w:eastAsia="en-US"/>
                        </w:rPr>
                        <w:t xml:space="preserve"> </w:t>
                      </w:r>
                      <w:r w:rsidRPr="00837AAD">
                        <w:rPr>
                          <w:rFonts w:ascii="Arial" w:hAnsi="Arial" w:cs="Arial"/>
                          <w:i/>
                          <w:color w:val="000000"/>
                          <w:sz w:val="18"/>
                          <w:szCs w:val="18"/>
                          <w:lang w:val="en-US" w:eastAsia="en-US"/>
                        </w:rPr>
                        <w:t>Marine Monitoring Program: Annual report for flood plumes and extreme weather 2013-2014</w:t>
                      </w:r>
                      <w:r w:rsidRPr="00760B0A">
                        <w:rPr>
                          <w:rFonts w:ascii="Arial" w:hAnsi="Arial" w:cs="Arial"/>
                          <w:color w:val="000000"/>
                          <w:sz w:val="18"/>
                          <w:szCs w:val="18"/>
                          <w:lang w:val="en-US" w:eastAsia="en-US"/>
                        </w:rPr>
                        <w:t xml:space="preserve">. </w:t>
                      </w:r>
                      <w:r w:rsidRPr="00760B0A">
                        <w:rPr>
                          <w:rFonts w:ascii="Arial" w:hAnsi="Arial" w:cs="Arial"/>
                          <w:sz w:val="18"/>
                          <w:szCs w:val="18"/>
                        </w:rPr>
                        <w:t xml:space="preserve">Tropical Water &amp; Aquatic Ecosystem Research (TropWATER) Publication. Report No 15/63. </w:t>
                      </w:r>
                      <w:r>
                        <w:rPr>
                          <w:rFonts w:ascii="Arial" w:hAnsi="Arial" w:cs="Arial"/>
                          <w:sz w:val="18"/>
                          <w:szCs w:val="18"/>
                        </w:rPr>
                        <w:t>Great Barrier Reef Marine Park Authority</w:t>
                      </w:r>
                      <w:r w:rsidRPr="00760B0A">
                        <w:rPr>
                          <w:rFonts w:ascii="Arial" w:hAnsi="Arial" w:cs="Arial"/>
                          <w:sz w:val="18"/>
                          <w:szCs w:val="18"/>
                        </w:rPr>
                        <w:t>, Townsville, Australia. 102 pp.</w:t>
                      </w:r>
                    </w:p>
                    <w:p w14:paraId="55C20B78" w14:textId="77777777" w:rsidR="00546C7F" w:rsidRPr="00760B0A" w:rsidRDefault="00546C7F" w:rsidP="006427BE">
                      <w:pPr>
                        <w:spacing w:after="0"/>
                        <w:rPr>
                          <w:rFonts w:ascii="Arial" w:hAnsi="Arial" w:cs="Arial"/>
                          <w:sz w:val="18"/>
                          <w:szCs w:val="18"/>
                          <w:lang w:val="en-GB"/>
                        </w:rPr>
                      </w:pPr>
                    </w:p>
                    <w:p w14:paraId="103EDD0E" w14:textId="14FBAF33" w:rsidR="00546C7F" w:rsidRPr="00760B0A" w:rsidRDefault="00546C7F" w:rsidP="006427BE">
                      <w:pPr>
                        <w:spacing w:after="0"/>
                        <w:rPr>
                          <w:rFonts w:ascii="Arial" w:hAnsi="Arial" w:cs="Arial"/>
                          <w:sz w:val="18"/>
                          <w:szCs w:val="18"/>
                          <w:lang w:val="en-GB"/>
                        </w:rPr>
                      </w:pPr>
                      <w:r w:rsidRPr="00760B0A">
                        <w:rPr>
                          <w:rFonts w:ascii="Arial" w:hAnsi="Arial" w:cs="Arial"/>
                          <w:sz w:val="18"/>
                          <w:szCs w:val="18"/>
                        </w:rPr>
                        <w:t>A catalogue record for this publication is available</w:t>
                      </w:r>
                      <w:r>
                        <w:rPr>
                          <w:rFonts w:ascii="Arial" w:hAnsi="Arial" w:cs="Arial"/>
                          <w:sz w:val="18"/>
                          <w:szCs w:val="18"/>
                        </w:rPr>
                        <w:t xml:space="preserve"> </w:t>
                      </w:r>
                      <w:r w:rsidRPr="00760B0A">
                        <w:rPr>
                          <w:rFonts w:ascii="Arial" w:hAnsi="Arial" w:cs="Arial"/>
                          <w:sz w:val="18"/>
                          <w:szCs w:val="18"/>
                        </w:rPr>
                        <w:t>from the National Library of Australia</w:t>
                      </w:r>
                    </w:p>
                    <w:p w14:paraId="2D71DC74" w14:textId="77777777" w:rsidR="00546C7F" w:rsidRPr="00760B0A" w:rsidRDefault="00546C7F" w:rsidP="006427BE">
                      <w:pPr>
                        <w:spacing w:after="0"/>
                        <w:rPr>
                          <w:rFonts w:ascii="Arial" w:hAnsi="Arial" w:cs="Arial"/>
                          <w:sz w:val="18"/>
                          <w:szCs w:val="18"/>
                          <w:lang w:val="en-GB"/>
                        </w:rPr>
                      </w:pPr>
                    </w:p>
                    <w:p w14:paraId="4969E10A" w14:textId="77777777" w:rsidR="00A21DD7" w:rsidRDefault="00A21DD7" w:rsidP="006427BE">
                      <w:pPr>
                        <w:spacing w:after="0"/>
                        <w:rPr>
                          <w:rFonts w:ascii="Arial" w:hAnsi="Arial" w:cs="Arial"/>
                          <w:sz w:val="16"/>
                          <w:szCs w:val="16"/>
                          <w:lang w:val="en-GB"/>
                        </w:rPr>
                      </w:pPr>
                    </w:p>
                    <w:p w14:paraId="7DEB27B4" w14:textId="77777777" w:rsidR="00A21DD7" w:rsidRDefault="00A21DD7" w:rsidP="006427BE">
                      <w:pPr>
                        <w:spacing w:after="0"/>
                        <w:rPr>
                          <w:rFonts w:ascii="Arial" w:hAnsi="Arial" w:cs="Arial"/>
                          <w:sz w:val="16"/>
                          <w:szCs w:val="16"/>
                          <w:lang w:val="en-GB"/>
                        </w:rPr>
                      </w:pPr>
                    </w:p>
                    <w:p w14:paraId="415F13E2" w14:textId="77777777" w:rsidR="00A21DD7" w:rsidRDefault="00A21DD7" w:rsidP="006427BE">
                      <w:pPr>
                        <w:spacing w:after="0"/>
                        <w:rPr>
                          <w:rFonts w:ascii="Arial" w:hAnsi="Arial" w:cs="Arial"/>
                          <w:sz w:val="16"/>
                          <w:szCs w:val="16"/>
                          <w:lang w:val="en-GB"/>
                        </w:rPr>
                      </w:pPr>
                    </w:p>
                    <w:p w14:paraId="661E40FB" w14:textId="41E1AF4C" w:rsidR="00546C7F" w:rsidRPr="00A21DD7" w:rsidRDefault="00546C7F" w:rsidP="006427BE">
                      <w:pPr>
                        <w:spacing w:after="0"/>
                        <w:rPr>
                          <w:rFonts w:ascii="Arial" w:hAnsi="Arial" w:cs="Arial"/>
                          <w:sz w:val="16"/>
                          <w:szCs w:val="16"/>
                          <w:lang w:val="en-GB"/>
                        </w:rPr>
                      </w:pPr>
                      <w:r w:rsidRPr="00A21DD7">
                        <w:rPr>
                          <w:rFonts w:ascii="Arial" w:hAnsi="Arial" w:cs="Arial"/>
                          <w:sz w:val="16"/>
                          <w:szCs w:val="16"/>
                          <w:lang w:val="en-GB"/>
                        </w:rPr>
                        <w:t>Cover photograph courtesy of: Turbid river plume emerging from the Russell-Mulgrave river mouth following several days of heavy rainfall © Dieter Tracey</w:t>
                      </w:r>
                    </w:p>
                    <w:p w14:paraId="31AFD18C" w14:textId="77777777" w:rsidR="00546C7F" w:rsidRPr="00A21DD7" w:rsidRDefault="00546C7F" w:rsidP="006427BE">
                      <w:pPr>
                        <w:spacing w:after="0"/>
                        <w:rPr>
                          <w:rFonts w:ascii="Arial" w:hAnsi="Arial" w:cs="Arial"/>
                          <w:sz w:val="16"/>
                          <w:szCs w:val="16"/>
                          <w:lang w:val="en-GB"/>
                        </w:rPr>
                      </w:pPr>
                    </w:p>
                    <w:p w14:paraId="14530F1A" w14:textId="77777777" w:rsidR="00546C7F" w:rsidRPr="00A21DD7" w:rsidRDefault="00546C7F" w:rsidP="00760B0A">
                      <w:pPr>
                        <w:autoSpaceDE w:val="0"/>
                        <w:autoSpaceDN w:val="0"/>
                        <w:adjustRightInd w:val="0"/>
                        <w:rPr>
                          <w:rFonts w:ascii="Arial" w:hAnsi="Arial" w:cs="Arial"/>
                          <w:sz w:val="16"/>
                          <w:szCs w:val="16"/>
                          <w:lang w:val="en-US"/>
                        </w:rPr>
                      </w:pPr>
                      <w:r w:rsidRPr="00A21DD7">
                        <w:rPr>
                          <w:rFonts w:ascii="Arial" w:hAnsi="Arial" w:cs="Arial"/>
                          <w:sz w:val="16"/>
                          <w:szCs w:val="16"/>
                          <w:lang w:val="en-US"/>
                        </w:rPr>
                        <w:t>This publication has been compiled by the Centre for Tropical Water &amp; Aquatic Ecosystem Research (TropWATER), James Cook University.</w:t>
                      </w:r>
                    </w:p>
                    <w:p w14:paraId="4106C512" w14:textId="77777777" w:rsidR="00546C7F" w:rsidRPr="00634220" w:rsidRDefault="00546C7F" w:rsidP="006427BE">
                      <w:pPr>
                        <w:spacing w:after="0"/>
                        <w:rPr>
                          <w:sz w:val="18"/>
                          <w:szCs w:val="18"/>
                          <w:lang w:val="en-US"/>
                        </w:rPr>
                      </w:pPr>
                    </w:p>
                    <w:p w14:paraId="45112B44" w14:textId="02035B28" w:rsidR="00546C7F" w:rsidRPr="00837AAD" w:rsidRDefault="00546C7F" w:rsidP="006427BE">
                      <w:pPr>
                        <w:spacing w:after="0"/>
                        <w:rPr>
                          <w:rFonts w:ascii="Arial" w:hAnsi="Arial" w:cs="Arial"/>
                          <w:sz w:val="16"/>
                          <w:szCs w:val="16"/>
                        </w:rPr>
                      </w:pPr>
                      <w:r w:rsidRPr="00837AAD">
                        <w:rPr>
                          <w:rFonts w:ascii="Arial" w:hAnsi="Arial" w:cs="Arial"/>
                          <w:sz w:val="16"/>
                          <w:szCs w:val="16"/>
                        </w:rPr>
                        <w:t>Disclaimer</w:t>
                      </w:r>
                    </w:p>
                    <w:p w14:paraId="06F4580B" w14:textId="2B548874" w:rsidR="00546C7F" w:rsidRPr="00837AAD" w:rsidRDefault="00546C7F" w:rsidP="00760B0A">
                      <w:pPr>
                        <w:rPr>
                          <w:rFonts w:ascii="Arial" w:eastAsia="MS Mincho" w:hAnsi="Arial" w:cs="Arial"/>
                          <w:sz w:val="16"/>
                          <w:szCs w:val="16"/>
                          <w:lang w:eastAsia="ja-JP"/>
                        </w:rPr>
                      </w:pPr>
                      <w:r w:rsidRPr="00837AAD">
                        <w:rPr>
                          <w:rFonts w:ascii="Arial" w:eastAsia="MS Mincho" w:hAnsi="Arial" w:cs="Arial"/>
                          <w:sz w:val="16"/>
                          <w:szCs w:val="16"/>
                          <w:lang w:eastAsia="ja-JP"/>
                        </w:rPr>
                        <w:t xml:space="preserve">While reasonable efforts have been made to ensure that the contents of this document are factually correct, </w:t>
                      </w:r>
                      <w:r w:rsidR="00C114D0">
                        <w:rPr>
                          <w:rFonts w:ascii="Arial" w:eastAsia="MS Mincho" w:hAnsi="Arial" w:cs="Arial"/>
                          <w:sz w:val="16"/>
                          <w:szCs w:val="16"/>
                          <w:lang w:eastAsia="ja-JP"/>
                        </w:rPr>
                        <w:t>James Cook University</w:t>
                      </w:r>
                      <w:r w:rsidRPr="00837AAD">
                        <w:rPr>
                          <w:rFonts w:ascii="Arial" w:eastAsia="MS Mincho" w:hAnsi="Arial" w:cs="Arial"/>
                          <w:sz w:val="16"/>
                          <w:szCs w:val="16"/>
                          <w:lang w:eastAsia="ja-JP"/>
                        </w:rPr>
                        <w:t xml:space="preserve"> do not make any representation or give any warranty regarding the accuracy, completeness, currency or suitability for any particular purpose of the information or statements contained in this document. To the extent permitted by law </w:t>
                      </w:r>
                      <w:r w:rsidR="00C114D0">
                        <w:rPr>
                          <w:rFonts w:ascii="Arial" w:eastAsia="MS Mincho" w:hAnsi="Arial" w:cs="Arial"/>
                          <w:sz w:val="16"/>
                          <w:szCs w:val="16"/>
                          <w:lang w:eastAsia="ja-JP"/>
                        </w:rPr>
                        <w:t>James Cook University</w:t>
                      </w:r>
                      <w:r w:rsidRPr="00837AAD">
                        <w:rPr>
                          <w:rFonts w:ascii="Arial" w:eastAsia="MS Mincho" w:hAnsi="Arial" w:cs="Arial"/>
                          <w:sz w:val="16"/>
                          <w:szCs w:val="16"/>
                          <w:lang w:eastAsia="ja-JP"/>
                        </w:rPr>
                        <w:t xml:space="preserve"> shall not be liable for any loss, damage, cost or expense that may be occasioned directly or indirectly through the use of or reliance on the contents of this document.</w:t>
                      </w:r>
                    </w:p>
                    <w:p w14:paraId="3EB5B9E0" w14:textId="77777777" w:rsidR="00546C7F" w:rsidRPr="00760B0A" w:rsidRDefault="00546C7F" w:rsidP="006427BE">
                      <w:pPr>
                        <w:spacing w:after="0"/>
                        <w:rPr>
                          <w:sz w:val="18"/>
                          <w:szCs w:val="18"/>
                        </w:rPr>
                      </w:pPr>
                    </w:p>
                    <w:p w14:paraId="3BC31BE1" w14:textId="77777777" w:rsidR="00546C7F" w:rsidRDefault="00546C7F" w:rsidP="006427BE">
                      <w:pPr>
                        <w:spacing w:after="0"/>
                        <w:rPr>
                          <w:sz w:val="18"/>
                          <w:szCs w:val="18"/>
                          <w:lang w:val="en-GB"/>
                        </w:rPr>
                      </w:pPr>
                    </w:p>
                    <w:p w14:paraId="1AF707C2" w14:textId="77777777" w:rsidR="00A21DD7" w:rsidRDefault="00A21DD7" w:rsidP="00A21DD7">
                      <w:pPr>
                        <w:rPr>
                          <w:rFonts w:ascii="Arial" w:hAnsi="Arial" w:cs="Arial"/>
                          <w:sz w:val="18"/>
                          <w:szCs w:val="18"/>
                        </w:rPr>
                      </w:pPr>
                      <w:r>
                        <w:rPr>
                          <w:rFonts w:ascii="Arial" w:hAnsi="Arial" w:cs="Arial"/>
                          <w:sz w:val="18"/>
                          <w:szCs w:val="18"/>
                        </w:rPr>
                        <w:t>Comments and questions regarding this document are welcome and should be addressed to:</w:t>
                      </w:r>
                    </w:p>
                    <w:p w14:paraId="626F5BE0" w14:textId="77777777" w:rsidR="00546C7F" w:rsidRPr="00307CDB" w:rsidRDefault="00546C7F" w:rsidP="00837AAD">
                      <w:pPr>
                        <w:spacing w:before="0" w:after="0"/>
                        <w:ind w:left="720"/>
                        <w:rPr>
                          <w:rFonts w:ascii="Arial" w:hAnsi="Arial" w:cs="Arial"/>
                          <w:sz w:val="18"/>
                          <w:szCs w:val="18"/>
                        </w:rPr>
                      </w:pPr>
                      <w:r w:rsidRPr="00307CDB">
                        <w:rPr>
                          <w:rFonts w:ascii="Arial" w:hAnsi="Arial" w:cs="Arial"/>
                          <w:sz w:val="18"/>
                          <w:szCs w:val="18"/>
                        </w:rPr>
                        <w:t xml:space="preserve">Centre for Tropical Water &amp; Aquatic Ecosystem Research (TropWATER) </w:t>
                      </w:r>
                    </w:p>
                    <w:p w14:paraId="65247BB6" w14:textId="77777777" w:rsidR="00546C7F" w:rsidRPr="00307CDB" w:rsidRDefault="00546C7F" w:rsidP="00837AAD">
                      <w:pPr>
                        <w:spacing w:before="0" w:after="0"/>
                        <w:ind w:left="720"/>
                        <w:rPr>
                          <w:rFonts w:ascii="Arial" w:hAnsi="Arial" w:cs="Arial"/>
                          <w:sz w:val="18"/>
                          <w:szCs w:val="18"/>
                        </w:rPr>
                      </w:pPr>
                      <w:r w:rsidRPr="00307CDB">
                        <w:rPr>
                          <w:rFonts w:ascii="Arial" w:hAnsi="Arial" w:cs="Arial"/>
                          <w:sz w:val="18"/>
                          <w:szCs w:val="18"/>
                        </w:rPr>
                        <w:t>James Cook University</w:t>
                      </w:r>
                    </w:p>
                    <w:p w14:paraId="43AADF11" w14:textId="178B6F83" w:rsidR="00546C7F" w:rsidRDefault="00A87B15" w:rsidP="00837AAD">
                      <w:pPr>
                        <w:spacing w:before="0" w:after="0"/>
                        <w:ind w:left="720"/>
                        <w:rPr>
                          <w:rFonts w:ascii="Arial" w:hAnsi="Arial" w:cs="Arial"/>
                          <w:sz w:val="18"/>
                          <w:szCs w:val="18"/>
                        </w:rPr>
                      </w:pPr>
                      <w:hyperlink r:id="rId22" w:history="1">
                        <w:r w:rsidR="00546C7F" w:rsidRPr="00ED3B06">
                          <w:rPr>
                            <w:rStyle w:val="Hyperlink"/>
                            <w:rFonts w:ascii="Arial" w:hAnsi="Arial" w:cs="Arial"/>
                            <w:sz w:val="18"/>
                            <w:szCs w:val="18"/>
                          </w:rPr>
                          <w:t>tropwater@jcu.edu.au</w:t>
                        </w:r>
                      </w:hyperlink>
                    </w:p>
                    <w:p w14:paraId="075B8447" w14:textId="77777777" w:rsidR="00546C7F" w:rsidRPr="00307CDB" w:rsidRDefault="00546C7F" w:rsidP="00760B0A">
                      <w:pPr>
                        <w:spacing w:before="0" w:after="0"/>
                        <w:rPr>
                          <w:rFonts w:ascii="Arial" w:hAnsi="Arial" w:cs="Arial"/>
                          <w:sz w:val="18"/>
                          <w:szCs w:val="18"/>
                        </w:rPr>
                      </w:pPr>
                    </w:p>
                    <w:p w14:paraId="58342C9A" w14:textId="77777777" w:rsidR="00A21DD7" w:rsidRDefault="00A21DD7" w:rsidP="00634220">
                      <w:pPr>
                        <w:spacing w:before="100" w:beforeAutospacing="1" w:after="100" w:afterAutospacing="1"/>
                        <w:rPr>
                          <w:rFonts w:ascii="Arial" w:hAnsi="Arial" w:cs="Arial"/>
                          <w:i/>
                          <w:iCs/>
                          <w:sz w:val="18"/>
                          <w:szCs w:val="18"/>
                          <w:lang w:val="en-US"/>
                        </w:rPr>
                      </w:pPr>
                    </w:p>
                    <w:p w14:paraId="649FF7DE" w14:textId="77777777" w:rsidR="00A21DD7" w:rsidRDefault="00A21DD7" w:rsidP="00634220">
                      <w:pPr>
                        <w:spacing w:before="100" w:beforeAutospacing="1" w:after="100" w:afterAutospacing="1"/>
                        <w:rPr>
                          <w:rFonts w:ascii="Arial" w:hAnsi="Arial" w:cs="Arial"/>
                          <w:i/>
                          <w:iCs/>
                          <w:sz w:val="18"/>
                          <w:szCs w:val="18"/>
                          <w:lang w:val="en-US"/>
                        </w:rPr>
                      </w:pPr>
                    </w:p>
                    <w:p w14:paraId="411CC26C" w14:textId="778AA9BA" w:rsidR="00546C7F" w:rsidRPr="00634220" w:rsidRDefault="00546C7F" w:rsidP="00634220">
                      <w:pPr>
                        <w:spacing w:before="100" w:beforeAutospacing="1" w:after="100" w:afterAutospacing="1"/>
                        <w:rPr>
                          <w:rFonts w:ascii="Arial" w:hAnsi="Arial" w:cs="Arial"/>
                          <w:i/>
                          <w:iCs/>
                          <w:sz w:val="18"/>
                          <w:szCs w:val="18"/>
                          <w:lang w:val="en-US"/>
                        </w:rPr>
                      </w:pPr>
                      <w:r w:rsidRPr="00634220">
                        <w:rPr>
                          <w:rFonts w:ascii="Arial" w:hAnsi="Arial" w:cs="Arial"/>
                          <w:i/>
                          <w:iCs/>
                          <w:sz w:val="18"/>
                          <w:szCs w:val="18"/>
                          <w:lang w:val="en-US"/>
                        </w:rPr>
                        <w:t xml:space="preserve">This project is supported by the Great Barrier Reef Marine Park Authority through funding from the Australian Government Reef Program, the </w:t>
                      </w:r>
                      <w:r w:rsidRPr="00634220">
                        <w:rPr>
                          <w:rFonts w:ascii="Arial" w:hAnsi="Arial" w:cs="Arial"/>
                          <w:i/>
                          <w:iCs/>
                          <w:sz w:val="18"/>
                          <w:szCs w:val="18"/>
                        </w:rPr>
                        <w:t>Reef 2050 Integrated Monitoring, and Reporting Program</w:t>
                      </w:r>
                      <w:r w:rsidRPr="00634220">
                        <w:rPr>
                          <w:rFonts w:ascii="Arial" w:hAnsi="Arial" w:cs="Arial"/>
                          <w:i/>
                          <w:iCs/>
                          <w:sz w:val="18"/>
                          <w:szCs w:val="18"/>
                          <w:lang w:val="en-US"/>
                        </w:rPr>
                        <w:t xml:space="preserve"> and James Cook University</w:t>
                      </w:r>
                      <w:r w:rsidR="00A21DD7">
                        <w:rPr>
                          <w:rFonts w:ascii="Arial" w:hAnsi="Arial" w:cs="Arial"/>
                          <w:i/>
                          <w:iCs/>
                          <w:sz w:val="18"/>
                          <w:szCs w:val="18"/>
                          <w:lang w:val="en-US"/>
                        </w:rPr>
                        <w:t>.</w:t>
                      </w:r>
                    </w:p>
                    <w:p w14:paraId="5B807E82" w14:textId="4893A009" w:rsidR="00546C7F" w:rsidRPr="00634220" w:rsidRDefault="00546C7F" w:rsidP="00307CDB">
                      <w:pPr>
                        <w:spacing w:after="0"/>
                        <w:rPr>
                          <w:lang w:val="en-US"/>
                        </w:rPr>
                      </w:pPr>
                    </w:p>
                  </w:txbxContent>
                </v:textbox>
                <w10:wrap type="square" anchorx="margin" anchory="margin"/>
              </v:shape>
            </w:pict>
          </mc:Fallback>
        </mc:AlternateContent>
      </w:r>
    </w:p>
    <w:p w14:paraId="49ECA00B" w14:textId="77777777" w:rsidR="007557A2" w:rsidRPr="007557A2" w:rsidRDefault="007557A2" w:rsidP="007557A2">
      <w:pPr>
        <w:rPr>
          <w:lang w:eastAsia="en-US"/>
        </w:rPr>
        <w:sectPr w:rsidR="007557A2" w:rsidRPr="007557A2" w:rsidSect="00571B6D">
          <w:footerReference w:type="default" r:id="rId23"/>
          <w:headerReference w:type="first" r:id="rId24"/>
          <w:footerReference w:type="first" r:id="rId25"/>
          <w:pgSz w:w="11907" w:h="16840" w:code="9"/>
          <w:pgMar w:top="1418" w:right="1134" w:bottom="1134" w:left="1200" w:header="680" w:footer="851" w:gutter="0"/>
          <w:pgNumType w:fmt="lowerRoman" w:start="1"/>
          <w:cols w:space="708"/>
          <w:docGrid w:linePitch="326"/>
        </w:sectPr>
      </w:pPr>
    </w:p>
    <w:p w14:paraId="6749794C" w14:textId="2D3836EC" w:rsidR="008D578B" w:rsidRDefault="008D578B" w:rsidP="009E7629">
      <w:pPr>
        <w:pStyle w:val="Body"/>
        <w:rPr>
          <w:rFonts w:asciiTheme="minorHAnsi" w:hAnsiTheme="minorHAnsi"/>
          <w:b/>
        </w:rPr>
      </w:pPr>
    </w:p>
    <w:p w14:paraId="1019A8D6" w14:textId="77777777" w:rsidR="002D1F86" w:rsidRPr="00507ABB" w:rsidRDefault="002D1F86" w:rsidP="002D1F86">
      <w:pPr>
        <w:rPr>
          <w:b/>
          <w:sz w:val="32"/>
          <w:szCs w:val="32"/>
        </w:rPr>
      </w:pPr>
      <w:r w:rsidRPr="00507ABB">
        <w:rPr>
          <w:b/>
          <w:sz w:val="32"/>
          <w:szCs w:val="32"/>
          <w:lang w:val="en-US"/>
        </w:rPr>
        <w:t>TABLE OF CONTENTS</w:t>
      </w:r>
    </w:p>
    <w:p w14:paraId="761E7B04" w14:textId="5FEC9A81" w:rsidR="0005540A" w:rsidRDefault="001C068B">
      <w:pPr>
        <w:pStyle w:val="TOC1"/>
        <w:rPr>
          <w:rFonts w:asciiTheme="minorHAnsi" w:eastAsiaTheme="minorEastAsia" w:hAnsiTheme="minorHAnsi" w:cstheme="minorBidi"/>
          <w:b w:val="0"/>
          <w:bCs w:val="0"/>
          <w:caps w:val="0"/>
          <w:noProof/>
          <w:sz w:val="22"/>
          <w:szCs w:val="22"/>
        </w:rPr>
      </w:pPr>
      <w:r>
        <w:rPr>
          <w:szCs w:val="20"/>
        </w:rPr>
        <w:fldChar w:fldCharType="begin"/>
      </w:r>
      <w:r>
        <w:rPr>
          <w:szCs w:val="20"/>
        </w:rPr>
        <w:instrText xml:space="preserve"> TOC \o "1-4" \h \z \u </w:instrText>
      </w:r>
      <w:r>
        <w:rPr>
          <w:szCs w:val="20"/>
        </w:rPr>
        <w:fldChar w:fldCharType="separate"/>
      </w:r>
      <w:hyperlink w:anchor="_Toc454304685" w:history="1">
        <w:r w:rsidR="0005540A" w:rsidRPr="00BD13B3">
          <w:rPr>
            <w:rStyle w:val="Hyperlink"/>
            <w:noProof/>
          </w:rPr>
          <w:t>LIST OF FIGURES</w:t>
        </w:r>
        <w:r w:rsidR="0005540A">
          <w:rPr>
            <w:noProof/>
            <w:webHidden/>
          </w:rPr>
          <w:tab/>
        </w:r>
        <w:r w:rsidR="0005540A">
          <w:rPr>
            <w:noProof/>
            <w:webHidden/>
          </w:rPr>
          <w:fldChar w:fldCharType="begin"/>
        </w:r>
        <w:r w:rsidR="0005540A">
          <w:rPr>
            <w:noProof/>
            <w:webHidden/>
          </w:rPr>
          <w:instrText xml:space="preserve"> PAGEREF _Toc454304685 \h </w:instrText>
        </w:r>
        <w:r w:rsidR="0005540A">
          <w:rPr>
            <w:noProof/>
            <w:webHidden/>
          </w:rPr>
        </w:r>
        <w:r w:rsidR="0005540A">
          <w:rPr>
            <w:noProof/>
            <w:webHidden/>
          </w:rPr>
          <w:fldChar w:fldCharType="separate"/>
        </w:r>
        <w:r w:rsidR="000E22F3">
          <w:rPr>
            <w:noProof/>
            <w:webHidden/>
          </w:rPr>
          <w:t>vi</w:t>
        </w:r>
        <w:r w:rsidR="0005540A">
          <w:rPr>
            <w:noProof/>
            <w:webHidden/>
          </w:rPr>
          <w:fldChar w:fldCharType="end"/>
        </w:r>
      </w:hyperlink>
    </w:p>
    <w:p w14:paraId="0A6251E0" w14:textId="610176F0" w:rsidR="0005540A" w:rsidRDefault="00A87B15">
      <w:pPr>
        <w:pStyle w:val="TOC1"/>
        <w:rPr>
          <w:rFonts w:asciiTheme="minorHAnsi" w:eastAsiaTheme="minorEastAsia" w:hAnsiTheme="minorHAnsi" w:cstheme="minorBidi"/>
          <w:b w:val="0"/>
          <w:bCs w:val="0"/>
          <w:caps w:val="0"/>
          <w:noProof/>
          <w:sz w:val="22"/>
          <w:szCs w:val="22"/>
        </w:rPr>
      </w:pPr>
      <w:hyperlink w:anchor="_Toc454304686" w:history="1">
        <w:r w:rsidR="0005540A" w:rsidRPr="00BD13B3">
          <w:rPr>
            <w:rStyle w:val="Hyperlink"/>
            <w:noProof/>
          </w:rPr>
          <w:t>LIST OF TABLES</w:t>
        </w:r>
        <w:r w:rsidR="0005540A">
          <w:rPr>
            <w:noProof/>
            <w:webHidden/>
          </w:rPr>
          <w:tab/>
        </w:r>
        <w:r w:rsidR="0005540A">
          <w:rPr>
            <w:noProof/>
            <w:webHidden/>
          </w:rPr>
          <w:fldChar w:fldCharType="begin"/>
        </w:r>
        <w:r w:rsidR="0005540A">
          <w:rPr>
            <w:noProof/>
            <w:webHidden/>
          </w:rPr>
          <w:instrText xml:space="preserve"> PAGEREF _Toc454304686 \h </w:instrText>
        </w:r>
        <w:r w:rsidR="0005540A">
          <w:rPr>
            <w:noProof/>
            <w:webHidden/>
          </w:rPr>
        </w:r>
        <w:r w:rsidR="0005540A">
          <w:rPr>
            <w:noProof/>
            <w:webHidden/>
          </w:rPr>
          <w:fldChar w:fldCharType="separate"/>
        </w:r>
        <w:r w:rsidR="000E22F3">
          <w:rPr>
            <w:noProof/>
            <w:webHidden/>
          </w:rPr>
          <w:t>ix</w:t>
        </w:r>
        <w:r w:rsidR="0005540A">
          <w:rPr>
            <w:noProof/>
            <w:webHidden/>
          </w:rPr>
          <w:fldChar w:fldCharType="end"/>
        </w:r>
      </w:hyperlink>
    </w:p>
    <w:p w14:paraId="78EBB6F1" w14:textId="05A89379" w:rsidR="0005540A" w:rsidRDefault="00A87B15">
      <w:pPr>
        <w:pStyle w:val="TOC1"/>
        <w:rPr>
          <w:rFonts w:asciiTheme="minorHAnsi" w:eastAsiaTheme="minorEastAsia" w:hAnsiTheme="minorHAnsi" w:cstheme="minorBidi"/>
          <w:b w:val="0"/>
          <w:bCs w:val="0"/>
          <w:caps w:val="0"/>
          <w:noProof/>
          <w:sz w:val="22"/>
          <w:szCs w:val="22"/>
        </w:rPr>
      </w:pPr>
      <w:hyperlink w:anchor="_Toc454304687" w:history="1">
        <w:r w:rsidR="0005540A" w:rsidRPr="00BD13B3">
          <w:rPr>
            <w:rStyle w:val="Hyperlink"/>
            <w:noProof/>
          </w:rPr>
          <w:t>Acronyms and Abbreviations</w:t>
        </w:r>
        <w:r w:rsidR="0005540A">
          <w:rPr>
            <w:noProof/>
            <w:webHidden/>
          </w:rPr>
          <w:tab/>
        </w:r>
        <w:r w:rsidR="0005540A">
          <w:rPr>
            <w:noProof/>
            <w:webHidden/>
          </w:rPr>
          <w:fldChar w:fldCharType="begin"/>
        </w:r>
        <w:r w:rsidR="0005540A">
          <w:rPr>
            <w:noProof/>
            <w:webHidden/>
          </w:rPr>
          <w:instrText xml:space="preserve"> PAGEREF _Toc454304687 \h </w:instrText>
        </w:r>
        <w:r w:rsidR="0005540A">
          <w:rPr>
            <w:noProof/>
            <w:webHidden/>
          </w:rPr>
        </w:r>
        <w:r w:rsidR="0005540A">
          <w:rPr>
            <w:noProof/>
            <w:webHidden/>
          </w:rPr>
          <w:fldChar w:fldCharType="separate"/>
        </w:r>
        <w:r w:rsidR="000E22F3">
          <w:rPr>
            <w:noProof/>
            <w:webHidden/>
          </w:rPr>
          <w:t>xii</w:t>
        </w:r>
        <w:r w:rsidR="0005540A">
          <w:rPr>
            <w:noProof/>
            <w:webHidden/>
          </w:rPr>
          <w:fldChar w:fldCharType="end"/>
        </w:r>
      </w:hyperlink>
    </w:p>
    <w:p w14:paraId="05D64114" w14:textId="1D6F2D60" w:rsidR="0005540A" w:rsidRDefault="00A87B15">
      <w:pPr>
        <w:pStyle w:val="TOC1"/>
        <w:rPr>
          <w:rFonts w:asciiTheme="minorHAnsi" w:eastAsiaTheme="minorEastAsia" w:hAnsiTheme="minorHAnsi" w:cstheme="minorBidi"/>
          <w:b w:val="0"/>
          <w:bCs w:val="0"/>
          <w:caps w:val="0"/>
          <w:noProof/>
          <w:sz w:val="22"/>
          <w:szCs w:val="22"/>
        </w:rPr>
      </w:pPr>
      <w:hyperlink w:anchor="_Toc454304688" w:history="1">
        <w:r w:rsidR="0005540A" w:rsidRPr="00BD13B3">
          <w:rPr>
            <w:rStyle w:val="Hyperlink"/>
            <w:noProof/>
          </w:rPr>
          <w:t>About this Report</w:t>
        </w:r>
        <w:r w:rsidR="0005540A">
          <w:rPr>
            <w:noProof/>
            <w:webHidden/>
          </w:rPr>
          <w:tab/>
        </w:r>
        <w:r w:rsidR="0005540A">
          <w:rPr>
            <w:noProof/>
            <w:webHidden/>
          </w:rPr>
          <w:fldChar w:fldCharType="begin"/>
        </w:r>
        <w:r w:rsidR="0005540A">
          <w:rPr>
            <w:noProof/>
            <w:webHidden/>
          </w:rPr>
          <w:instrText xml:space="preserve"> PAGEREF _Toc454304688 \h </w:instrText>
        </w:r>
        <w:r w:rsidR="0005540A">
          <w:rPr>
            <w:noProof/>
            <w:webHidden/>
          </w:rPr>
        </w:r>
        <w:r w:rsidR="0005540A">
          <w:rPr>
            <w:noProof/>
            <w:webHidden/>
          </w:rPr>
          <w:fldChar w:fldCharType="separate"/>
        </w:r>
        <w:r w:rsidR="000E22F3">
          <w:rPr>
            <w:noProof/>
            <w:webHidden/>
          </w:rPr>
          <w:t>xiii</w:t>
        </w:r>
        <w:r w:rsidR="0005540A">
          <w:rPr>
            <w:noProof/>
            <w:webHidden/>
          </w:rPr>
          <w:fldChar w:fldCharType="end"/>
        </w:r>
      </w:hyperlink>
    </w:p>
    <w:p w14:paraId="078B43C2" w14:textId="3FB53EF8" w:rsidR="0005540A" w:rsidRDefault="00A87B15">
      <w:pPr>
        <w:pStyle w:val="TOC1"/>
        <w:rPr>
          <w:rFonts w:asciiTheme="minorHAnsi" w:eastAsiaTheme="minorEastAsia" w:hAnsiTheme="minorHAnsi" w:cstheme="minorBidi"/>
          <w:b w:val="0"/>
          <w:bCs w:val="0"/>
          <w:caps w:val="0"/>
          <w:noProof/>
          <w:sz w:val="22"/>
          <w:szCs w:val="22"/>
        </w:rPr>
      </w:pPr>
      <w:hyperlink w:anchor="_Toc454304689" w:history="1">
        <w:r w:rsidR="0005540A" w:rsidRPr="00BD13B3">
          <w:rPr>
            <w:rStyle w:val="Hyperlink"/>
            <w:noProof/>
          </w:rPr>
          <w:t>Acknowledgments</w:t>
        </w:r>
        <w:r w:rsidR="0005540A">
          <w:rPr>
            <w:noProof/>
            <w:webHidden/>
          </w:rPr>
          <w:tab/>
        </w:r>
        <w:r w:rsidR="0005540A">
          <w:rPr>
            <w:noProof/>
            <w:webHidden/>
          </w:rPr>
          <w:fldChar w:fldCharType="begin"/>
        </w:r>
        <w:r w:rsidR="0005540A">
          <w:rPr>
            <w:noProof/>
            <w:webHidden/>
          </w:rPr>
          <w:instrText xml:space="preserve"> PAGEREF _Toc454304689 \h </w:instrText>
        </w:r>
        <w:r w:rsidR="0005540A">
          <w:rPr>
            <w:noProof/>
            <w:webHidden/>
          </w:rPr>
        </w:r>
        <w:r w:rsidR="0005540A">
          <w:rPr>
            <w:noProof/>
            <w:webHidden/>
          </w:rPr>
          <w:fldChar w:fldCharType="separate"/>
        </w:r>
        <w:r w:rsidR="000E22F3">
          <w:rPr>
            <w:noProof/>
            <w:webHidden/>
          </w:rPr>
          <w:t>xiv</w:t>
        </w:r>
        <w:r w:rsidR="0005540A">
          <w:rPr>
            <w:noProof/>
            <w:webHidden/>
          </w:rPr>
          <w:fldChar w:fldCharType="end"/>
        </w:r>
      </w:hyperlink>
    </w:p>
    <w:p w14:paraId="04B31264" w14:textId="7B830E4A" w:rsidR="0005540A" w:rsidRDefault="00A87B15">
      <w:pPr>
        <w:pStyle w:val="TOC1"/>
        <w:rPr>
          <w:rFonts w:asciiTheme="minorHAnsi" w:eastAsiaTheme="minorEastAsia" w:hAnsiTheme="minorHAnsi" w:cstheme="minorBidi"/>
          <w:b w:val="0"/>
          <w:bCs w:val="0"/>
          <w:caps w:val="0"/>
          <w:noProof/>
          <w:sz w:val="22"/>
          <w:szCs w:val="22"/>
        </w:rPr>
      </w:pPr>
      <w:hyperlink w:anchor="_Toc454304690" w:history="1">
        <w:r w:rsidR="0005540A" w:rsidRPr="00BD13B3">
          <w:rPr>
            <w:rStyle w:val="Hyperlink"/>
            <w:noProof/>
          </w:rPr>
          <w:t>1.</w:t>
        </w:r>
        <w:r w:rsidR="0005540A">
          <w:rPr>
            <w:rFonts w:asciiTheme="minorHAnsi" w:eastAsiaTheme="minorEastAsia" w:hAnsiTheme="minorHAnsi" w:cstheme="minorBidi"/>
            <w:b w:val="0"/>
            <w:bCs w:val="0"/>
            <w:caps w:val="0"/>
            <w:noProof/>
            <w:sz w:val="22"/>
            <w:szCs w:val="22"/>
          </w:rPr>
          <w:tab/>
        </w:r>
        <w:r w:rsidR="0005540A" w:rsidRPr="00BD13B3">
          <w:rPr>
            <w:rStyle w:val="Hyperlink"/>
            <w:noProof/>
          </w:rPr>
          <w:t>Executive summary</w:t>
        </w:r>
        <w:r w:rsidR="0005540A">
          <w:rPr>
            <w:noProof/>
            <w:webHidden/>
          </w:rPr>
          <w:tab/>
        </w:r>
        <w:r w:rsidR="0005540A">
          <w:rPr>
            <w:noProof/>
            <w:webHidden/>
          </w:rPr>
          <w:fldChar w:fldCharType="begin"/>
        </w:r>
        <w:r w:rsidR="0005540A">
          <w:rPr>
            <w:noProof/>
            <w:webHidden/>
          </w:rPr>
          <w:instrText xml:space="preserve"> PAGEREF _Toc454304690 \h </w:instrText>
        </w:r>
        <w:r w:rsidR="0005540A">
          <w:rPr>
            <w:noProof/>
            <w:webHidden/>
          </w:rPr>
        </w:r>
        <w:r w:rsidR="0005540A">
          <w:rPr>
            <w:noProof/>
            <w:webHidden/>
          </w:rPr>
          <w:fldChar w:fldCharType="separate"/>
        </w:r>
        <w:r w:rsidR="000E22F3">
          <w:rPr>
            <w:noProof/>
            <w:webHidden/>
          </w:rPr>
          <w:t>15</w:t>
        </w:r>
        <w:r w:rsidR="0005540A">
          <w:rPr>
            <w:noProof/>
            <w:webHidden/>
          </w:rPr>
          <w:fldChar w:fldCharType="end"/>
        </w:r>
      </w:hyperlink>
    </w:p>
    <w:p w14:paraId="64D5408C" w14:textId="34B2A884" w:rsidR="0005540A" w:rsidRDefault="00A87B15">
      <w:pPr>
        <w:pStyle w:val="TOC2"/>
        <w:rPr>
          <w:rFonts w:eastAsiaTheme="minorEastAsia" w:cstheme="minorBidi"/>
          <w:b w:val="0"/>
          <w:bCs w:val="0"/>
          <w:noProof/>
          <w:sz w:val="22"/>
          <w:szCs w:val="22"/>
        </w:rPr>
      </w:pPr>
      <w:hyperlink w:anchor="_Toc454304691" w:history="1">
        <w:r w:rsidR="0005540A" w:rsidRPr="00BD13B3">
          <w:rPr>
            <w:rStyle w:val="Hyperlink"/>
            <w:noProof/>
          </w:rPr>
          <w:t>1.1.</w:t>
        </w:r>
        <w:r w:rsidR="0005540A">
          <w:rPr>
            <w:rFonts w:eastAsiaTheme="minorEastAsia" w:cstheme="minorBidi"/>
            <w:b w:val="0"/>
            <w:bCs w:val="0"/>
            <w:noProof/>
            <w:sz w:val="22"/>
            <w:szCs w:val="22"/>
          </w:rPr>
          <w:tab/>
        </w:r>
        <w:r w:rsidR="0005540A" w:rsidRPr="00BD13B3">
          <w:rPr>
            <w:rStyle w:val="Hyperlink"/>
            <w:noProof/>
          </w:rPr>
          <w:t>Scope of report</w:t>
        </w:r>
        <w:r w:rsidR="0005540A">
          <w:rPr>
            <w:noProof/>
            <w:webHidden/>
          </w:rPr>
          <w:tab/>
        </w:r>
        <w:r w:rsidR="0005540A">
          <w:rPr>
            <w:noProof/>
            <w:webHidden/>
          </w:rPr>
          <w:fldChar w:fldCharType="begin"/>
        </w:r>
        <w:r w:rsidR="0005540A">
          <w:rPr>
            <w:noProof/>
            <w:webHidden/>
          </w:rPr>
          <w:instrText xml:space="preserve"> PAGEREF _Toc454304691 \h </w:instrText>
        </w:r>
        <w:r w:rsidR="0005540A">
          <w:rPr>
            <w:noProof/>
            <w:webHidden/>
          </w:rPr>
        </w:r>
        <w:r w:rsidR="0005540A">
          <w:rPr>
            <w:noProof/>
            <w:webHidden/>
          </w:rPr>
          <w:fldChar w:fldCharType="separate"/>
        </w:r>
        <w:r w:rsidR="000E22F3">
          <w:rPr>
            <w:noProof/>
            <w:webHidden/>
          </w:rPr>
          <w:t>15</w:t>
        </w:r>
        <w:r w:rsidR="0005540A">
          <w:rPr>
            <w:noProof/>
            <w:webHidden/>
          </w:rPr>
          <w:fldChar w:fldCharType="end"/>
        </w:r>
      </w:hyperlink>
    </w:p>
    <w:p w14:paraId="641A19DE" w14:textId="68850D18" w:rsidR="0005540A" w:rsidRDefault="00A87B15">
      <w:pPr>
        <w:pStyle w:val="TOC2"/>
        <w:rPr>
          <w:rFonts w:eastAsiaTheme="minorEastAsia" w:cstheme="minorBidi"/>
          <w:b w:val="0"/>
          <w:bCs w:val="0"/>
          <w:noProof/>
          <w:sz w:val="22"/>
          <w:szCs w:val="22"/>
        </w:rPr>
      </w:pPr>
      <w:hyperlink w:anchor="_Toc454304692" w:history="1">
        <w:r w:rsidR="0005540A" w:rsidRPr="00BD13B3">
          <w:rPr>
            <w:rStyle w:val="Hyperlink"/>
            <w:noProof/>
          </w:rPr>
          <w:t>1.2.</w:t>
        </w:r>
        <w:r w:rsidR="0005540A">
          <w:rPr>
            <w:rFonts w:eastAsiaTheme="minorEastAsia" w:cstheme="minorBidi"/>
            <w:b w:val="0"/>
            <w:bCs w:val="0"/>
            <w:noProof/>
            <w:sz w:val="22"/>
            <w:szCs w:val="22"/>
          </w:rPr>
          <w:tab/>
        </w:r>
        <w:r w:rsidR="0005540A" w:rsidRPr="00BD13B3">
          <w:rPr>
            <w:rStyle w:val="Hyperlink"/>
            <w:noProof/>
          </w:rPr>
          <w:t>Characteristics of the 2013-2014 wet season</w:t>
        </w:r>
        <w:r w:rsidR="0005540A">
          <w:rPr>
            <w:noProof/>
            <w:webHidden/>
          </w:rPr>
          <w:tab/>
        </w:r>
        <w:r w:rsidR="0005540A">
          <w:rPr>
            <w:noProof/>
            <w:webHidden/>
          </w:rPr>
          <w:fldChar w:fldCharType="begin"/>
        </w:r>
        <w:r w:rsidR="0005540A">
          <w:rPr>
            <w:noProof/>
            <w:webHidden/>
          </w:rPr>
          <w:instrText xml:space="preserve"> PAGEREF _Toc454304692 \h </w:instrText>
        </w:r>
        <w:r w:rsidR="0005540A">
          <w:rPr>
            <w:noProof/>
            <w:webHidden/>
          </w:rPr>
        </w:r>
        <w:r w:rsidR="0005540A">
          <w:rPr>
            <w:noProof/>
            <w:webHidden/>
          </w:rPr>
          <w:fldChar w:fldCharType="separate"/>
        </w:r>
        <w:r w:rsidR="000E22F3">
          <w:rPr>
            <w:noProof/>
            <w:webHidden/>
          </w:rPr>
          <w:t>15</w:t>
        </w:r>
        <w:r w:rsidR="0005540A">
          <w:rPr>
            <w:noProof/>
            <w:webHidden/>
          </w:rPr>
          <w:fldChar w:fldCharType="end"/>
        </w:r>
      </w:hyperlink>
    </w:p>
    <w:p w14:paraId="585F3FC6" w14:textId="619BC1A6" w:rsidR="0005540A" w:rsidRDefault="00A87B15">
      <w:pPr>
        <w:pStyle w:val="TOC2"/>
        <w:rPr>
          <w:rFonts w:eastAsiaTheme="minorEastAsia" w:cstheme="minorBidi"/>
          <w:b w:val="0"/>
          <w:bCs w:val="0"/>
          <w:noProof/>
          <w:sz w:val="22"/>
          <w:szCs w:val="22"/>
        </w:rPr>
      </w:pPr>
      <w:hyperlink w:anchor="_Toc454304693" w:history="1">
        <w:r w:rsidR="0005540A" w:rsidRPr="00BD13B3">
          <w:rPr>
            <w:rStyle w:val="Hyperlink"/>
            <w:noProof/>
          </w:rPr>
          <w:t>1.3.</w:t>
        </w:r>
        <w:r w:rsidR="0005540A">
          <w:rPr>
            <w:rFonts w:eastAsiaTheme="minorEastAsia" w:cstheme="minorBidi"/>
            <w:b w:val="0"/>
            <w:bCs w:val="0"/>
            <w:noProof/>
            <w:sz w:val="22"/>
            <w:szCs w:val="22"/>
          </w:rPr>
          <w:tab/>
        </w:r>
        <w:r w:rsidR="0005540A" w:rsidRPr="00BD13B3">
          <w:rPr>
            <w:rStyle w:val="Hyperlink"/>
            <w:i/>
            <w:noProof/>
          </w:rPr>
          <w:t>In</w:t>
        </w:r>
        <w:r w:rsidR="0005540A" w:rsidRPr="00BD13B3">
          <w:rPr>
            <w:rStyle w:val="Hyperlink"/>
            <w:noProof/>
          </w:rPr>
          <w:t>-Situ Water Quality</w:t>
        </w:r>
        <w:r w:rsidR="0005540A">
          <w:rPr>
            <w:noProof/>
            <w:webHidden/>
          </w:rPr>
          <w:tab/>
        </w:r>
        <w:r w:rsidR="0005540A">
          <w:rPr>
            <w:noProof/>
            <w:webHidden/>
          </w:rPr>
          <w:fldChar w:fldCharType="begin"/>
        </w:r>
        <w:r w:rsidR="0005540A">
          <w:rPr>
            <w:noProof/>
            <w:webHidden/>
          </w:rPr>
          <w:instrText xml:space="preserve"> PAGEREF _Toc454304693 \h </w:instrText>
        </w:r>
        <w:r w:rsidR="0005540A">
          <w:rPr>
            <w:noProof/>
            <w:webHidden/>
          </w:rPr>
        </w:r>
        <w:r w:rsidR="0005540A">
          <w:rPr>
            <w:noProof/>
            <w:webHidden/>
          </w:rPr>
          <w:fldChar w:fldCharType="separate"/>
        </w:r>
        <w:r w:rsidR="000E22F3">
          <w:rPr>
            <w:noProof/>
            <w:webHidden/>
          </w:rPr>
          <w:t>15</w:t>
        </w:r>
        <w:r w:rsidR="0005540A">
          <w:rPr>
            <w:noProof/>
            <w:webHidden/>
          </w:rPr>
          <w:fldChar w:fldCharType="end"/>
        </w:r>
      </w:hyperlink>
    </w:p>
    <w:p w14:paraId="591E7EDF" w14:textId="367CFAD0" w:rsidR="0005540A" w:rsidRDefault="00A87B15">
      <w:pPr>
        <w:pStyle w:val="TOC2"/>
        <w:rPr>
          <w:rFonts w:eastAsiaTheme="minorEastAsia" w:cstheme="minorBidi"/>
          <w:b w:val="0"/>
          <w:bCs w:val="0"/>
          <w:noProof/>
          <w:sz w:val="22"/>
          <w:szCs w:val="22"/>
        </w:rPr>
      </w:pPr>
      <w:hyperlink w:anchor="_Toc454304694" w:history="1">
        <w:r w:rsidR="0005540A" w:rsidRPr="00BD13B3">
          <w:rPr>
            <w:rStyle w:val="Hyperlink"/>
            <w:noProof/>
          </w:rPr>
          <w:t>1.4.</w:t>
        </w:r>
        <w:r w:rsidR="0005540A">
          <w:rPr>
            <w:rFonts w:eastAsiaTheme="minorEastAsia" w:cstheme="minorBidi"/>
            <w:b w:val="0"/>
            <w:bCs w:val="0"/>
            <w:noProof/>
            <w:sz w:val="22"/>
            <w:szCs w:val="22"/>
          </w:rPr>
          <w:tab/>
        </w:r>
        <w:r w:rsidR="0005540A" w:rsidRPr="00BD13B3">
          <w:rPr>
            <w:rStyle w:val="Hyperlink"/>
            <w:noProof/>
          </w:rPr>
          <w:t>Mapping of river plumes</w:t>
        </w:r>
        <w:r w:rsidR="0005540A">
          <w:rPr>
            <w:noProof/>
            <w:webHidden/>
          </w:rPr>
          <w:tab/>
        </w:r>
        <w:r w:rsidR="0005540A">
          <w:rPr>
            <w:noProof/>
            <w:webHidden/>
          </w:rPr>
          <w:fldChar w:fldCharType="begin"/>
        </w:r>
        <w:r w:rsidR="0005540A">
          <w:rPr>
            <w:noProof/>
            <w:webHidden/>
          </w:rPr>
          <w:instrText xml:space="preserve"> PAGEREF _Toc454304694 \h </w:instrText>
        </w:r>
        <w:r w:rsidR="0005540A">
          <w:rPr>
            <w:noProof/>
            <w:webHidden/>
          </w:rPr>
        </w:r>
        <w:r w:rsidR="0005540A">
          <w:rPr>
            <w:noProof/>
            <w:webHidden/>
          </w:rPr>
          <w:fldChar w:fldCharType="separate"/>
        </w:r>
        <w:r w:rsidR="000E22F3">
          <w:rPr>
            <w:noProof/>
            <w:webHidden/>
          </w:rPr>
          <w:t>18</w:t>
        </w:r>
        <w:r w:rsidR="0005540A">
          <w:rPr>
            <w:noProof/>
            <w:webHidden/>
          </w:rPr>
          <w:fldChar w:fldCharType="end"/>
        </w:r>
      </w:hyperlink>
    </w:p>
    <w:p w14:paraId="01F61917" w14:textId="15F1D770" w:rsidR="0005540A" w:rsidRDefault="00A87B15">
      <w:pPr>
        <w:pStyle w:val="TOC2"/>
        <w:rPr>
          <w:rFonts w:eastAsiaTheme="minorEastAsia" w:cstheme="minorBidi"/>
          <w:b w:val="0"/>
          <w:bCs w:val="0"/>
          <w:noProof/>
          <w:sz w:val="22"/>
          <w:szCs w:val="22"/>
        </w:rPr>
      </w:pPr>
      <w:hyperlink w:anchor="_Toc454304695" w:history="1">
        <w:r w:rsidR="0005540A" w:rsidRPr="00BD13B3">
          <w:rPr>
            <w:rStyle w:val="Hyperlink"/>
            <w:noProof/>
          </w:rPr>
          <w:t>1.5.</w:t>
        </w:r>
        <w:r w:rsidR="0005540A">
          <w:rPr>
            <w:rFonts w:eastAsiaTheme="minorEastAsia" w:cstheme="minorBidi"/>
            <w:b w:val="0"/>
            <w:bCs w:val="0"/>
            <w:noProof/>
            <w:sz w:val="22"/>
            <w:szCs w:val="22"/>
          </w:rPr>
          <w:tab/>
        </w:r>
        <w:r w:rsidR="0005540A" w:rsidRPr="00BD13B3">
          <w:rPr>
            <w:rStyle w:val="Hyperlink"/>
            <w:noProof/>
          </w:rPr>
          <w:t>Future outputs for representing river plume influence</w:t>
        </w:r>
        <w:r w:rsidR="0005540A">
          <w:rPr>
            <w:noProof/>
            <w:webHidden/>
          </w:rPr>
          <w:tab/>
        </w:r>
        <w:r w:rsidR="0005540A">
          <w:rPr>
            <w:noProof/>
            <w:webHidden/>
          </w:rPr>
          <w:fldChar w:fldCharType="begin"/>
        </w:r>
        <w:r w:rsidR="0005540A">
          <w:rPr>
            <w:noProof/>
            <w:webHidden/>
          </w:rPr>
          <w:instrText xml:space="preserve"> PAGEREF _Toc454304695 \h </w:instrText>
        </w:r>
        <w:r w:rsidR="0005540A">
          <w:rPr>
            <w:noProof/>
            <w:webHidden/>
          </w:rPr>
        </w:r>
        <w:r w:rsidR="0005540A">
          <w:rPr>
            <w:noProof/>
            <w:webHidden/>
          </w:rPr>
          <w:fldChar w:fldCharType="separate"/>
        </w:r>
        <w:r w:rsidR="000E22F3">
          <w:rPr>
            <w:noProof/>
            <w:webHidden/>
          </w:rPr>
          <w:t>22</w:t>
        </w:r>
        <w:r w:rsidR="0005540A">
          <w:rPr>
            <w:noProof/>
            <w:webHidden/>
          </w:rPr>
          <w:fldChar w:fldCharType="end"/>
        </w:r>
      </w:hyperlink>
    </w:p>
    <w:p w14:paraId="592D464B" w14:textId="0585EFA8" w:rsidR="0005540A" w:rsidRDefault="00A87B15">
      <w:pPr>
        <w:pStyle w:val="TOC1"/>
        <w:rPr>
          <w:rFonts w:asciiTheme="minorHAnsi" w:eastAsiaTheme="minorEastAsia" w:hAnsiTheme="minorHAnsi" w:cstheme="minorBidi"/>
          <w:b w:val="0"/>
          <w:bCs w:val="0"/>
          <w:caps w:val="0"/>
          <w:noProof/>
          <w:sz w:val="22"/>
          <w:szCs w:val="22"/>
        </w:rPr>
      </w:pPr>
      <w:hyperlink w:anchor="_Toc454304696" w:history="1">
        <w:r w:rsidR="0005540A" w:rsidRPr="00BD13B3">
          <w:rPr>
            <w:rStyle w:val="Hyperlink"/>
            <w:noProof/>
          </w:rPr>
          <w:t>2.</w:t>
        </w:r>
        <w:r w:rsidR="0005540A">
          <w:rPr>
            <w:rFonts w:asciiTheme="minorHAnsi" w:eastAsiaTheme="minorEastAsia" w:hAnsiTheme="minorHAnsi" w:cstheme="minorBidi"/>
            <w:b w:val="0"/>
            <w:bCs w:val="0"/>
            <w:caps w:val="0"/>
            <w:noProof/>
            <w:sz w:val="22"/>
            <w:szCs w:val="22"/>
          </w:rPr>
          <w:tab/>
        </w:r>
        <w:r w:rsidR="0005540A" w:rsidRPr="00BD13B3">
          <w:rPr>
            <w:rStyle w:val="Hyperlink"/>
            <w:noProof/>
          </w:rPr>
          <w:t>Introduction</w:t>
        </w:r>
        <w:r w:rsidR="0005540A">
          <w:rPr>
            <w:noProof/>
            <w:webHidden/>
          </w:rPr>
          <w:tab/>
        </w:r>
        <w:r w:rsidR="0005540A">
          <w:rPr>
            <w:noProof/>
            <w:webHidden/>
          </w:rPr>
          <w:fldChar w:fldCharType="begin"/>
        </w:r>
        <w:r w:rsidR="0005540A">
          <w:rPr>
            <w:noProof/>
            <w:webHidden/>
          </w:rPr>
          <w:instrText xml:space="preserve"> PAGEREF _Toc454304696 \h </w:instrText>
        </w:r>
        <w:r w:rsidR="0005540A">
          <w:rPr>
            <w:noProof/>
            <w:webHidden/>
          </w:rPr>
        </w:r>
        <w:r w:rsidR="0005540A">
          <w:rPr>
            <w:noProof/>
            <w:webHidden/>
          </w:rPr>
          <w:fldChar w:fldCharType="separate"/>
        </w:r>
        <w:r w:rsidR="000E22F3">
          <w:rPr>
            <w:noProof/>
            <w:webHidden/>
          </w:rPr>
          <w:t>24</w:t>
        </w:r>
        <w:r w:rsidR="0005540A">
          <w:rPr>
            <w:noProof/>
            <w:webHidden/>
          </w:rPr>
          <w:fldChar w:fldCharType="end"/>
        </w:r>
      </w:hyperlink>
    </w:p>
    <w:p w14:paraId="38EE9B44" w14:textId="206ACC24" w:rsidR="0005540A" w:rsidRDefault="00A87B15">
      <w:pPr>
        <w:pStyle w:val="TOC2"/>
        <w:rPr>
          <w:rFonts w:eastAsiaTheme="minorEastAsia" w:cstheme="minorBidi"/>
          <w:b w:val="0"/>
          <w:bCs w:val="0"/>
          <w:noProof/>
          <w:sz w:val="22"/>
          <w:szCs w:val="22"/>
        </w:rPr>
      </w:pPr>
      <w:hyperlink w:anchor="_Toc454304697" w:history="1">
        <w:r w:rsidR="0005540A" w:rsidRPr="00BD13B3">
          <w:rPr>
            <w:rStyle w:val="Hyperlink"/>
            <w:noProof/>
          </w:rPr>
          <w:t>2.1.</w:t>
        </w:r>
        <w:r w:rsidR="0005540A">
          <w:rPr>
            <w:rFonts w:eastAsiaTheme="minorEastAsia" w:cstheme="minorBidi"/>
            <w:b w:val="0"/>
            <w:bCs w:val="0"/>
            <w:noProof/>
            <w:sz w:val="22"/>
            <w:szCs w:val="22"/>
          </w:rPr>
          <w:tab/>
        </w:r>
        <w:r w:rsidR="0005540A" w:rsidRPr="00BD13B3">
          <w:rPr>
            <w:rStyle w:val="Hyperlink"/>
            <w:noProof/>
          </w:rPr>
          <w:t>Marine Monitoring Program</w:t>
        </w:r>
        <w:r w:rsidR="0005540A">
          <w:rPr>
            <w:noProof/>
            <w:webHidden/>
          </w:rPr>
          <w:tab/>
        </w:r>
        <w:r w:rsidR="0005540A">
          <w:rPr>
            <w:noProof/>
            <w:webHidden/>
          </w:rPr>
          <w:fldChar w:fldCharType="begin"/>
        </w:r>
        <w:r w:rsidR="0005540A">
          <w:rPr>
            <w:noProof/>
            <w:webHidden/>
          </w:rPr>
          <w:instrText xml:space="preserve"> PAGEREF _Toc454304697 \h </w:instrText>
        </w:r>
        <w:r w:rsidR="0005540A">
          <w:rPr>
            <w:noProof/>
            <w:webHidden/>
          </w:rPr>
        </w:r>
        <w:r w:rsidR="0005540A">
          <w:rPr>
            <w:noProof/>
            <w:webHidden/>
          </w:rPr>
          <w:fldChar w:fldCharType="separate"/>
        </w:r>
        <w:r w:rsidR="000E22F3">
          <w:rPr>
            <w:noProof/>
            <w:webHidden/>
          </w:rPr>
          <w:t>24</w:t>
        </w:r>
        <w:r w:rsidR="0005540A">
          <w:rPr>
            <w:noProof/>
            <w:webHidden/>
          </w:rPr>
          <w:fldChar w:fldCharType="end"/>
        </w:r>
      </w:hyperlink>
    </w:p>
    <w:p w14:paraId="34C75F63" w14:textId="23DFD90C" w:rsidR="0005540A" w:rsidRDefault="00A87B15">
      <w:pPr>
        <w:pStyle w:val="TOC2"/>
        <w:rPr>
          <w:rFonts w:eastAsiaTheme="minorEastAsia" w:cstheme="minorBidi"/>
          <w:b w:val="0"/>
          <w:bCs w:val="0"/>
          <w:noProof/>
          <w:sz w:val="22"/>
          <w:szCs w:val="22"/>
        </w:rPr>
      </w:pPr>
      <w:hyperlink w:anchor="_Toc454304698" w:history="1">
        <w:r w:rsidR="0005540A" w:rsidRPr="00BD13B3">
          <w:rPr>
            <w:rStyle w:val="Hyperlink"/>
            <w:noProof/>
          </w:rPr>
          <w:t>2.2.</w:t>
        </w:r>
        <w:r w:rsidR="0005540A">
          <w:rPr>
            <w:rFonts w:eastAsiaTheme="minorEastAsia" w:cstheme="minorBidi"/>
            <w:b w:val="0"/>
            <w:bCs w:val="0"/>
            <w:noProof/>
            <w:sz w:val="22"/>
            <w:szCs w:val="22"/>
          </w:rPr>
          <w:tab/>
        </w:r>
        <w:r w:rsidR="0005540A" w:rsidRPr="00BD13B3">
          <w:rPr>
            <w:rStyle w:val="Hyperlink"/>
            <w:i/>
            <w:noProof/>
          </w:rPr>
          <w:t>In-situ</w:t>
        </w:r>
        <w:r w:rsidR="0005540A" w:rsidRPr="00BD13B3">
          <w:rPr>
            <w:rStyle w:val="Hyperlink"/>
            <w:noProof/>
          </w:rPr>
          <w:t xml:space="preserve"> Water Quality monitoring</w:t>
        </w:r>
        <w:r w:rsidR="0005540A">
          <w:rPr>
            <w:noProof/>
            <w:webHidden/>
          </w:rPr>
          <w:tab/>
        </w:r>
        <w:r w:rsidR="0005540A">
          <w:rPr>
            <w:noProof/>
            <w:webHidden/>
          </w:rPr>
          <w:fldChar w:fldCharType="begin"/>
        </w:r>
        <w:r w:rsidR="0005540A">
          <w:rPr>
            <w:noProof/>
            <w:webHidden/>
          </w:rPr>
          <w:instrText xml:space="preserve"> PAGEREF _Toc454304698 \h </w:instrText>
        </w:r>
        <w:r w:rsidR="0005540A">
          <w:rPr>
            <w:noProof/>
            <w:webHidden/>
          </w:rPr>
        </w:r>
        <w:r w:rsidR="0005540A">
          <w:rPr>
            <w:noProof/>
            <w:webHidden/>
          </w:rPr>
          <w:fldChar w:fldCharType="separate"/>
        </w:r>
        <w:r w:rsidR="000E22F3">
          <w:rPr>
            <w:noProof/>
            <w:webHidden/>
          </w:rPr>
          <w:t>26</w:t>
        </w:r>
        <w:r w:rsidR="0005540A">
          <w:rPr>
            <w:noProof/>
            <w:webHidden/>
          </w:rPr>
          <w:fldChar w:fldCharType="end"/>
        </w:r>
      </w:hyperlink>
    </w:p>
    <w:p w14:paraId="5FA33114" w14:textId="707CEB25" w:rsidR="0005540A" w:rsidRDefault="00A87B15">
      <w:pPr>
        <w:pStyle w:val="TOC2"/>
        <w:rPr>
          <w:rFonts w:eastAsiaTheme="minorEastAsia" w:cstheme="minorBidi"/>
          <w:b w:val="0"/>
          <w:bCs w:val="0"/>
          <w:noProof/>
          <w:sz w:val="22"/>
          <w:szCs w:val="22"/>
        </w:rPr>
      </w:pPr>
      <w:hyperlink w:anchor="_Toc454304699" w:history="1">
        <w:r w:rsidR="0005540A" w:rsidRPr="00BD13B3">
          <w:rPr>
            <w:rStyle w:val="Hyperlink"/>
            <w:noProof/>
          </w:rPr>
          <w:t>2.3.</w:t>
        </w:r>
        <w:r w:rsidR="0005540A">
          <w:rPr>
            <w:rFonts w:eastAsiaTheme="minorEastAsia" w:cstheme="minorBidi"/>
            <w:b w:val="0"/>
            <w:bCs w:val="0"/>
            <w:noProof/>
            <w:sz w:val="22"/>
            <w:szCs w:val="22"/>
          </w:rPr>
          <w:tab/>
        </w:r>
        <w:r w:rsidR="0005540A" w:rsidRPr="00BD13B3">
          <w:rPr>
            <w:rStyle w:val="Hyperlink"/>
            <w:noProof/>
          </w:rPr>
          <w:t>Mapping of river plumes</w:t>
        </w:r>
        <w:r w:rsidR="0005540A">
          <w:rPr>
            <w:noProof/>
            <w:webHidden/>
          </w:rPr>
          <w:tab/>
        </w:r>
        <w:r w:rsidR="0005540A">
          <w:rPr>
            <w:noProof/>
            <w:webHidden/>
          </w:rPr>
          <w:fldChar w:fldCharType="begin"/>
        </w:r>
        <w:r w:rsidR="0005540A">
          <w:rPr>
            <w:noProof/>
            <w:webHidden/>
          </w:rPr>
          <w:instrText xml:space="preserve"> PAGEREF _Toc454304699 \h </w:instrText>
        </w:r>
        <w:r w:rsidR="0005540A">
          <w:rPr>
            <w:noProof/>
            <w:webHidden/>
          </w:rPr>
        </w:r>
        <w:r w:rsidR="0005540A">
          <w:rPr>
            <w:noProof/>
            <w:webHidden/>
          </w:rPr>
          <w:fldChar w:fldCharType="separate"/>
        </w:r>
        <w:r w:rsidR="000E22F3">
          <w:rPr>
            <w:noProof/>
            <w:webHidden/>
          </w:rPr>
          <w:t>27</w:t>
        </w:r>
        <w:r w:rsidR="0005540A">
          <w:rPr>
            <w:noProof/>
            <w:webHidden/>
          </w:rPr>
          <w:fldChar w:fldCharType="end"/>
        </w:r>
      </w:hyperlink>
    </w:p>
    <w:p w14:paraId="129EBD7C" w14:textId="11B01259" w:rsidR="0005540A" w:rsidRDefault="00A87B15">
      <w:pPr>
        <w:pStyle w:val="TOC1"/>
        <w:rPr>
          <w:rFonts w:asciiTheme="minorHAnsi" w:eastAsiaTheme="minorEastAsia" w:hAnsiTheme="minorHAnsi" w:cstheme="minorBidi"/>
          <w:b w:val="0"/>
          <w:bCs w:val="0"/>
          <w:caps w:val="0"/>
          <w:noProof/>
          <w:sz w:val="22"/>
          <w:szCs w:val="22"/>
        </w:rPr>
      </w:pPr>
      <w:hyperlink w:anchor="_Toc454304700" w:history="1">
        <w:r w:rsidR="0005540A" w:rsidRPr="00BD13B3">
          <w:rPr>
            <w:rStyle w:val="Hyperlink"/>
            <w:noProof/>
          </w:rPr>
          <w:t>3.</w:t>
        </w:r>
        <w:r w:rsidR="0005540A">
          <w:rPr>
            <w:rFonts w:asciiTheme="minorHAnsi" w:eastAsiaTheme="minorEastAsia" w:hAnsiTheme="minorHAnsi" w:cstheme="minorBidi"/>
            <w:b w:val="0"/>
            <w:bCs w:val="0"/>
            <w:caps w:val="0"/>
            <w:noProof/>
            <w:sz w:val="22"/>
            <w:szCs w:val="22"/>
          </w:rPr>
          <w:tab/>
        </w:r>
        <w:r w:rsidR="0005540A" w:rsidRPr="00BD13B3">
          <w:rPr>
            <w:rStyle w:val="Hyperlink"/>
            <w:noProof/>
          </w:rPr>
          <w:t>Characteristics of the 2013-2014 wet season</w:t>
        </w:r>
        <w:r w:rsidR="0005540A">
          <w:rPr>
            <w:noProof/>
            <w:webHidden/>
          </w:rPr>
          <w:tab/>
        </w:r>
        <w:r w:rsidR="0005540A">
          <w:rPr>
            <w:noProof/>
            <w:webHidden/>
          </w:rPr>
          <w:fldChar w:fldCharType="begin"/>
        </w:r>
        <w:r w:rsidR="0005540A">
          <w:rPr>
            <w:noProof/>
            <w:webHidden/>
          </w:rPr>
          <w:instrText xml:space="preserve"> PAGEREF _Toc454304700 \h </w:instrText>
        </w:r>
        <w:r w:rsidR="0005540A">
          <w:rPr>
            <w:noProof/>
            <w:webHidden/>
          </w:rPr>
        </w:r>
        <w:r w:rsidR="0005540A">
          <w:rPr>
            <w:noProof/>
            <w:webHidden/>
          </w:rPr>
          <w:fldChar w:fldCharType="separate"/>
        </w:r>
        <w:r w:rsidR="000E22F3">
          <w:rPr>
            <w:noProof/>
            <w:webHidden/>
          </w:rPr>
          <w:t>28</w:t>
        </w:r>
        <w:r w:rsidR="0005540A">
          <w:rPr>
            <w:noProof/>
            <w:webHidden/>
          </w:rPr>
          <w:fldChar w:fldCharType="end"/>
        </w:r>
      </w:hyperlink>
    </w:p>
    <w:p w14:paraId="6ED80321" w14:textId="1FB5DB6B" w:rsidR="0005540A" w:rsidRDefault="00A87B15">
      <w:pPr>
        <w:pStyle w:val="TOC2"/>
        <w:rPr>
          <w:rFonts w:eastAsiaTheme="minorEastAsia" w:cstheme="minorBidi"/>
          <w:b w:val="0"/>
          <w:bCs w:val="0"/>
          <w:noProof/>
          <w:sz w:val="22"/>
          <w:szCs w:val="22"/>
        </w:rPr>
      </w:pPr>
      <w:hyperlink w:anchor="_Toc454304701" w:history="1">
        <w:r w:rsidR="0005540A" w:rsidRPr="00BD13B3">
          <w:rPr>
            <w:rStyle w:val="Hyperlink"/>
            <w:noProof/>
          </w:rPr>
          <w:t>3.1.</w:t>
        </w:r>
        <w:r w:rsidR="0005540A">
          <w:rPr>
            <w:rFonts w:eastAsiaTheme="minorEastAsia" w:cstheme="minorBidi"/>
            <w:b w:val="0"/>
            <w:bCs w:val="0"/>
            <w:noProof/>
            <w:sz w:val="22"/>
            <w:szCs w:val="22"/>
          </w:rPr>
          <w:tab/>
        </w:r>
        <w:r w:rsidR="0005540A" w:rsidRPr="00BD13B3">
          <w:rPr>
            <w:rStyle w:val="Hyperlink"/>
            <w:noProof/>
          </w:rPr>
          <w:t>Wet Season conditions</w:t>
        </w:r>
        <w:r w:rsidR="0005540A">
          <w:rPr>
            <w:noProof/>
            <w:webHidden/>
          </w:rPr>
          <w:tab/>
        </w:r>
        <w:r w:rsidR="0005540A">
          <w:rPr>
            <w:noProof/>
            <w:webHidden/>
          </w:rPr>
          <w:fldChar w:fldCharType="begin"/>
        </w:r>
        <w:r w:rsidR="0005540A">
          <w:rPr>
            <w:noProof/>
            <w:webHidden/>
          </w:rPr>
          <w:instrText xml:space="preserve"> PAGEREF _Toc454304701 \h </w:instrText>
        </w:r>
        <w:r w:rsidR="0005540A">
          <w:rPr>
            <w:noProof/>
            <w:webHidden/>
          </w:rPr>
        </w:r>
        <w:r w:rsidR="0005540A">
          <w:rPr>
            <w:noProof/>
            <w:webHidden/>
          </w:rPr>
          <w:fldChar w:fldCharType="separate"/>
        </w:r>
        <w:r w:rsidR="000E22F3">
          <w:rPr>
            <w:noProof/>
            <w:webHidden/>
          </w:rPr>
          <w:t>28</w:t>
        </w:r>
        <w:r w:rsidR="0005540A">
          <w:rPr>
            <w:noProof/>
            <w:webHidden/>
          </w:rPr>
          <w:fldChar w:fldCharType="end"/>
        </w:r>
      </w:hyperlink>
    </w:p>
    <w:p w14:paraId="6FFCF4F5" w14:textId="459CCA7F" w:rsidR="0005540A" w:rsidRDefault="00A87B15">
      <w:pPr>
        <w:pStyle w:val="TOC2"/>
        <w:rPr>
          <w:rFonts w:eastAsiaTheme="minorEastAsia" w:cstheme="minorBidi"/>
          <w:b w:val="0"/>
          <w:bCs w:val="0"/>
          <w:noProof/>
          <w:sz w:val="22"/>
          <w:szCs w:val="22"/>
        </w:rPr>
      </w:pPr>
      <w:hyperlink w:anchor="_Toc454304702" w:history="1">
        <w:r w:rsidR="0005540A" w:rsidRPr="00BD13B3">
          <w:rPr>
            <w:rStyle w:val="Hyperlink"/>
            <w:noProof/>
          </w:rPr>
          <w:t>3.2.</w:t>
        </w:r>
        <w:r w:rsidR="0005540A">
          <w:rPr>
            <w:rFonts w:eastAsiaTheme="minorEastAsia" w:cstheme="minorBidi"/>
            <w:b w:val="0"/>
            <w:bCs w:val="0"/>
            <w:noProof/>
            <w:sz w:val="22"/>
            <w:szCs w:val="22"/>
          </w:rPr>
          <w:tab/>
        </w:r>
        <w:r w:rsidR="0005540A" w:rsidRPr="00BD13B3">
          <w:rPr>
            <w:rStyle w:val="Hyperlink"/>
            <w:noProof/>
          </w:rPr>
          <w:t>Extent of river plumes, 2013-2014 wet season</w:t>
        </w:r>
        <w:r w:rsidR="0005540A">
          <w:rPr>
            <w:noProof/>
            <w:webHidden/>
          </w:rPr>
          <w:tab/>
        </w:r>
        <w:r w:rsidR="0005540A">
          <w:rPr>
            <w:noProof/>
            <w:webHidden/>
          </w:rPr>
          <w:fldChar w:fldCharType="begin"/>
        </w:r>
        <w:r w:rsidR="0005540A">
          <w:rPr>
            <w:noProof/>
            <w:webHidden/>
          </w:rPr>
          <w:instrText xml:space="preserve"> PAGEREF _Toc454304702 \h </w:instrText>
        </w:r>
        <w:r w:rsidR="0005540A">
          <w:rPr>
            <w:noProof/>
            <w:webHidden/>
          </w:rPr>
        </w:r>
        <w:r w:rsidR="0005540A">
          <w:rPr>
            <w:noProof/>
            <w:webHidden/>
          </w:rPr>
          <w:fldChar w:fldCharType="separate"/>
        </w:r>
        <w:r w:rsidR="000E22F3">
          <w:rPr>
            <w:noProof/>
            <w:webHidden/>
          </w:rPr>
          <w:t>30</w:t>
        </w:r>
        <w:r w:rsidR="0005540A">
          <w:rPr>
            <w:noProof/>
            <w:webHidden/>
          </w:rPr>
          <w:fldChar w:fldCharType="end"/>
        </w:r>
      </w:hyperlink>
    </w:p>
    <w:p w14:paraId="564E5177" w14:textId="4FC5C6DD" w:rsidR="0005540A" w:rsidRDefault="00A87B15">
      <w:pPr>
        <w:pStyle w:val="TOC2"/>
        <w:rPr>
          <w:rFonts w:eastAsiaTheme="minorEastAsia" w:cstheme="minorBidi"/>
          <w:b w:val="0"/>
          <w:bCs w:val="0"/>
          <w:noProof/>
          <w:sz w:val="22"/>
          <w:szCs w:val="22"/>
        </w:rPr>
      </w:pPr>
      <w:hyperlink w:anchor="_Toc454304703" w:history="1">
        <w:r w:rsidR="0005540A" w:rsidRPr="00BD13B3">
          <w:rPr>
            <w:rStyle w:val="Hyperlink"/>
            <w:noProof/>
            <w:lang w:val="en-US"/>
          </w:rPr>
          <w:t>3.2.1.</w:t>
        </w:r>
        <w:r w:rsidR="0005540A">
          <w:rPr>
            <w:rFonts w:eastAsiaTheme="minorEastAsia" w:cstheme="minorBidi"/>
            <w:b w:val="0"/>
            <w:bCs w:val="0"/>
            <w:noProof/>
            <w:sz w:val="22"/>
            <w:szCs w:val="22"/>
          </w:rPr>
          <w:tab/>
        </w:r>
        <w:r w:rsidR="0005540A" w:rsidRPr="00BD13B3">
          <w:rPr>
            <w:rStyle w:val="Hyperlink"/>
            <w:noProof/>
            <w:lang w:val="en-US"/>
          </w:rPr>
          <w:t>Tropical cyclone Ita</w:t>
        </w:r>
        <w:r w:rsidR="0005540A">
          <w:rPr>
            <w:noProof/>
            <w:webHidden/>
          </w:rPr>
          <w:tab/>
        </w:r>
        <w:r w:rsidR="0005540A">
          <w:rPr>
            <w:noProof/>
            <w:webHidden/>
          </w:rPr>
          <w:fldChar w:fldCharType="begin"/>
        </w:r>
        <w:r w:rsidR="0005540A">
          <w:rPr>
            <w:noProof/>
            <w:webHidden/>
          </w:rPr>
          <w:instrText xml:space="preserve"> PAGEREF _Toc454304703 \h </w:instrText>
        </w:r>
        <w:r w:rsidR="0005540A">
          <w:rPr>
            <w:noProof/>
            <w:webHidden/>
          </w:rPr>
        </w:r>
        <w:r w:rsidR="0005540A">
          <w:rPr>
            <w:noProof/>
            <w:webHidden/>
          </w:rPr>
          <w:fldChar w:fldCharType="separate"/>
        </w:r>
        <w:r w:rsidR="000E22F3">
          <w:rPr>
            <w:noProof/>
            <w:webHidden/>
          </w:rPr>
          <w:t>31</w:t>
        </w:r>
        <w:r w:rsidR="0005540A">
          <w:rPr>
            <w:noProof/>
            <w:webHidden/>
          </w:rPr>
          <w:fldChar w:fldCharType="end"/>
        </w:r>
      </w:hyperlink>
    </w:p>
    <w:p w14:paraId="159822D1" w14:textId="2DAF03ED" w:rsidR="0005540A" w:rsidRDefault="00A87B15">
      <w:pPr>
        <w:pStyle w:val="TOC1"/>
        <w:rPr>
          <w:rFonts w:asciiTheme="minorHAnsi" w:eastAsiaTheme="minorEastAsia" w:hAnsiTheme="minorHAnsi" w:cstheme="minorBidi"/>
          <w:b w:val="0"/>
          <w:bCs w:val="0"/>
          <w:caps w:val="0"/>
          <w:noProof/>
          <w:sz w:val="22"/>
          <w:szCs w:val="22"/>
        </w:rPr>
      </w:pPr>
      <w:hyperlink w:anchor="_Toc454304704" w:history="1">
        <w:r w:rsidR="0005540A" w:rsidRPr="00BD13B3">
          <w:rPr>
            <w:rStyle w:val="Hyperlink"/>
            <w:noProof/>
          </w:rPr>
          <w:t>4.</w:t>
        </w:r>
        <w:r w:rsidR="0005540A">
          <w:rPr>
            <w:rFonts w:asciiTheme="minorHAnsi" w:eastAsiaTheme="minorEastAsia" w:hAnsiTheme="minorHAnsi" w:cstheme="minorBidi"/>
            <w:b w:val="0"/>
            <w:bCs w:val="0"/>
            <w:caps w:val="0"/>
            <w:noProof/>
            <w:sz w:val="22"/>
            <w:szCs w:val="22"/>
          </w:rPr>
          <w:tab/>
        </w:r>
        <w:r w:rsidR="0005540A" w:rsidRPr="00BD13B3">
          <w:rPr>
            <w:rStyle w:val="Hyperlink"/>
            <w:i/>
            <w:noProof/>
          </w:rPr>
          <w:t>In-situ</w:t>
        </w:r>
        <w:r w:rsidR="0005540A" w:rsidRPr="00BD13B3">
          <w:rPr>
            <w:rStyle w:val="Hyperlink"/>
            <w:noProof/>
          </w:rPr>
          <w:t xml:space="preserve"> Water Quality</w:t>
        </w:r>
        <w:r w:rsidR="0005540A">
          <w:rPr>
            <w:noProof/>
            <w:webHidden/>
          </w:rPr>
          <w:tab/>
        </w:r>
        <w:r w:rsidR="0005540A">
          <w:rPr>
            <w:noProof/>
            <w:webHidden/>
          </w:rPr>
          <w:fldChar w:fldCharType="begin"/>
        </w:r>
        <w:r w:rsidR="0005540A">
          <w:rPr>
            <w:noProof/>
            <w:webHidden/>
          </w:rPr>
          <w:instrText xml:space="preserve"> PAGEREF _Toc454304704 \h </w:instrText>
        </w:r>
        <w:r w:rsidR="0005540A">
          <w:rPr>
            <w:noProof/>
            <w:webHidden/>
          </w:rPr>
        </w:r>
        <w:r w:rsidR="0005540A">
          <w:rPr>
            <w:noProof/>
            <w:webHidden/>
          </w:rPr>
          <w:fldChar w:fldCharType="separate"/>
        </w:r>
        <w:r w:rsidR="000E22F3">
          <w:rPr>
            <w:noProof/>
            <w:webHidden/>
          </w:rPr>
          <w:t>35</w:t>
        </w:r>
        <w:r w:rsidR="0005540A">
          <w:rPr>
            <w:noProof/>
            <w:webHidden/>
          </w:rPr>
          <w:fldChar w:fldCharType="end"/>
        </w:r>
      </w:hyperlink>
    </w:p>
    <w:p w14:paraId="087C6493" w14:textId="796D75A6" w:rsidR="0005540A" w:rsidRDefault="00A87B15">
      <w:pPr>
        <w:pStyle w:val="TOC2"/>
        <w:rPr>
          <w:rFonts w:eastAsiaTheme="minorEastAsia" w:cstheme="minorBidi"/>
          <w:b w:val="0"/>
          <w:bCs w:val="0"/>
          <w:noProof/>
          <w:sz w:val="22"/>
          <w:szCs w:val="22"/>
        </w:rPr>
      </w:pPr>
      <w:hyperlink w:anchor="_Toc454304705" w:history="1">
        <w:r w:rsidR="0005540A" w:rsidRPr="00BD13B3">
          <w:rPr>
            <w:rStyle w:val="Hyperlink"/>
            <w:noProof/>
          </w:rPr>
          <w:t>4.1.</w:t>
        </w:r>
        <w:r w:rsidR="0005540A">
          <w:rPr>
            <w:rFonts w:eastAsiaTheme="minorEastAsia" w:cstheme="minorBidi"/>
            <w:b w:val="0"/>
            <w:bCs w:val="0"/>
            <w:noProof/>
            <w:sz w:val="22"/>
            <w:szCs w:val="22"/>
          </w:rPr>
          <w:tab/>
        </w:r>
        <w:r w:rsidR="0005540A" w:rsidRPr="00BD13B3">
          <w:rPr>
            <w:rStyle w:val="Hyperlink"/>
            <w:noProof/>
          </w:rPr>
          <w:t>Sampling design, 2013-2014</w:t>
        </w:r>
        <w:r w:rsidR="0005540A">
          <w:rPr>
            <w:noProof/>
            <w:webHidden/>
          </w:rPr>
          <w:tab/>
        </w:r>
        <w:r w:rsidR="0005540A">
          <w:rPr>
            <w:noProof/>
            <w:webHidden/>
          </w:rPr>
          <w:fldChar w:fldCharType="begin"/>
        </w:r>
        <w:r w:rsidR="0005540A">
          <w:rPr>
            <w:noProof/>
            <w:webHidden/>
          </w:rPr>
          <w:instrText xml:space="preserve"> PAGEREF _Toc454304705 \h </w:instrText>
        </w:r>
        <w:r w:rsidR="0005540A">
          <w:rPr>
            <w:noProof/>
            <w:webHidden/>
          </w:rPr>
        </w:r>
        <w:r w:rsidR="0005540A">
          <w:rPr>
            <w:noProof/>
            <w:webHidden/>
          </w:rPr>
          <w:fldChar w:fldCharType="separate"/>
        </w:r>
        <w:r w:rsidR="000E22F3">
          <w:rPr>
            <w:noProof/>
            <w:webHidden/>
          </w:rPr>
          <w:t>35</w:t>
        </w:r>
        <w:r w:rsidR="0005540A">
          <w:rPr>
            <w:noProof/>
            <w:webHidden/>
          </w:rPr>
          <w:fldChar w:fldCharType="end"/>
        </w:r>
      </w:hyperlink>
    </w:p>
    <w:p w14:paraId="272B1B2B" w14:textId="0A23B694" w:rsidR="0005540A" w:rsidRDefault="00A87B15">
      <w:pPr>
        <w:pStyle w:val="TOC2"/>
        <w:rPr>
          <w:rFonts w:eastAsiaTheme="minorEastAsia" w:cstheme="minorBidi"/>
          <w:b w:val="0"/>
          <w:bCs w:val="0"/>
          <w:noProof/>
          <w:sz w:val="22"/>
          <w:szCs w:val="22"/>
        </w:rPr>
      </w:pPr>
      <w:hyperlink w:anchor="_Toc454304706" w:history="1">
        <w:r w:rsidR="0005540A" w:rsidRPr="00BD13B3">
          <w:rPr>
            <w:rStyle w:val="Hyperlink"/>
            <w:noProof/>
          </w:rPr>
          <w:t>4.2.</w:t>
        </w:r>
        <w:r w:rsidR="0005540A">
          <w:rPr>
            <w:rFonts w:eastAsiaTheme="minorEastAsia" w:cstheme="minorBidi"/>
            <w:b w:val="0"/>
            <w:bCs w:val="0"/>
            <w:noProof/>
            <w:sz w:val="22"/>
            <w:szCs w:val="22"/>
          </w:rPr>
          <w:tab/>
        </w:r>
        <w:r w:rsidR="0005540A" w:rsidRPr="00BD13B3">
          <w:rPr>
            <w:rStyle w:val="Hyperlink"/>
            <w:noProof/>
          </w:rPr>
          <w:t>Methods</w:t>
        </w:r>
        <w:r w:rsidR="0005540A">
          <w:rPr>
            <w:noProof/>
            <w:webHidden/>
          </w:rPr>
          <w:tab/>
        </w:r>
        <w:r w:rsidR="0005540A">
          <w:rPr>
            <w:noProof/>
            <w:webHidden/>
          </w:rPr>
          <w:fldChar w:fldCharType="begin"/>
        </w:r>
        <w:r w:rsidR="0005540A">
          <w:rPr>
            <w:noProof/>
            <w:webHidden/>
          </w:rPr>
          <w:instrText xml:space="preserve"> PAGEREF _Toc454304706 \h </w:instrText>
        </w:r>
        <w:r w:rsidR="0005540A">
          <w:rPr>
            <w:noProof/>
            <w:webHidden/>
          </w:rPr>
        </w:r>
        <w:r w:rsidR="0005540A">
          <w:rPr>
            <w:noProof/>
            <w:webHidden/>
          </w:rPr>
          <w:fldChar w:fldCharType="separate"/>
        </w:r>
        <w:r w:rsidR="000E22F3">
          <w:rPr>
            <w:noProof/>
            <w:webHidden/>
          </w:rPr>
          <w:t>38</w:t>
        </w:r>
        <w:r w:rsidR="0005540A">
          <w:rPr>
            <w:noProof/>
            <w:webHidden/>
          </w:rPr>
          <w:fldChar w:fldCharType="end"/>
        </w:r>
      </w:hyperlink>
    </w:p>
    <w:p w14:paraId="3BBE0A34" w14:textId="41E5FB51" w:rsidR="0005540A" w:rsidRDefault="00A87B15">
      <w:pPr>
        <w:pStyle w:val="TOC2"/>
        <w:rPr>
          <w:rFonts w:eastAsiaTheme="minorEastAsia" w:cstheme="minorBidi"/>
          <w:b w:val="0"/>
          <w:bCs w:val="0"/>
          <w:noProof/>
          <w:sz w:val="22"/>
          <w:szCs w:val="22"/>
        </w:rPr>
      </w:pPr>
      <w:hyperlink w:anchor="_Toc454304707" w:history="1">
        <w:r w:rsidR="0005540A" w:rsidRPr="00BD13B3">
          <w:rPr>
            <w:rStyle w:val="Hyperlink"/>
            <w:noProof/>
          </w:rPr>
          <w:t>4.2.1.</w:t>
        </w:r>
        <w:r w:rsidR="0005540A">
          <w:rPr>
            <w:rFonts w:eastAsiaTheme="minorEastAsia" w:cstheme="minorBidi"/>
            <w:b w:val="0"/>
            <w:bCs w:val="0"/>
            <w:noProof/>
            <w:sz w:val="22"/>
            <w:szCs w:val="22"/>
          </w:rPr>
          <w:tab/>
        </w:r>
        <w:r w:rsidR="0005540A" w:rsidRPr="00BD13B3">
          <w:rPr>
            <w:rStyle w:val="Hyperlink"/>
            <w:noProof/>
          </w:rPr>
          <w:t>Water sampling, 2013-2014</w:t>
        </w:r>
        <w:r w:rsidR="0005540A">
          <w:rPr>
            <w:noProof/>
            <w:webHidden/>
          </w:rPr>
          <w:tab/>
        </w:r>
        <w:r w:rsidR="0005540A">
          <w:rPr>
            <w:noProof/>
            <w:webHidden/>
          </w:rPr>
          <w:fldChar w:fldCharType="begin"/>
        </w:r>
        <w:r w:rsidR="0005540A">
          <w:rPr>
            <w:noProof/>
            <w:webHidden/>
          </w:rPr>
          <w:instrText xml:space="preserve"> PAGEREF _Toc454304707 \h </w:instrText>
        </w:r>
        <w:r w:rsidR="0005540A">
          <w:rPr>
            <w:noProof/>
            <w:webHidden/>
          </w:rPr>
        </w:r>
        <w:r w:rsidR="0005540A">
          <w:rPr>
            <w:noProof/>
            <w:webHidden/>
          </w:rPr>
          <w:fldChar w:fldCharType="separate"/>
        </w:r>
        <w:r w:rsidR="000E22F3">
          <w:rPr>
            <w:noProof/>
            <w:webHidden/>
          </w:rPr>
          <w:t>38</w:t>
        </w:r>
        <w:r w:rsidR="0005540A">
          <w:rPr>
            <w:noProof/>
            <w:webHidden/>
          </w:rPr>
          <w:fldChar w:fldCharType="end"/>
        </w:r>
      </w:hyperlink>
    </w:p>
    <w:p w14:paraId="049A2E9B" w14:textId="74410DE4" w:rsidR="0005540A" w:rsidRDefault="00A87B15">
      <w:pPr>
        <w:pStyle w:val="TOC2"/>
        <w:rPr>
          <w:rFonts w:eastAsiaTheme="minorEastAsia" w:cstheme="minorBidi"/>
          <w:b w:val="0"/>
          <w:bCs w:val="0"/>
          <w:noProof/>
          <w:sz w:val="22"/>
          <w:szCs w:val="22"/>
        </w:rPr>
      </w:pPr>
      <w:hyperlink w:anchor="_Toc454304708" w:history="1">
        <w:r w:rsidR="0005540A" w:rsidRPr="00BD13B3">
          <w:rPr>
            <w:rStyle w:val="Hyperlink"/>
            <w:noProof/>
          </w:rPr>
          <w:t>4.2.2.</w:t>
        </w:r>
        <w:r w:rsidR="0005540A">
          <w:rPr>
            <w:rFonts w:eastAsiaTheme="minorEastAsia" w:cstheme="minorBidi"/>
            <w:b w:val="0"/>
            <w:bCs w:val="0"/>
            <w:noProof/>
            <w:sz w:val="22"/>
            <w:szCs w:val="22"/>
          </w:rPr>
          <w:tab/>
        </w:r>
        <w:r w:rsidR="0005540A" w:rsidRPr="00BD13B3">
          <w:rPr>
            <w:rStyle w:val="Hyperlink"/>
            <w:noProof/>
          </w:rPr>
          <w:t>Data analysis - Spatial</w:t>
        </w:r>
        <w:r w:rsidR="0005540A">
          <w:rPr>
            <w:noProof/>
            <w:webHidden/>
          </w:rPr>
          <w:tab/>
        </w:r>
        <w:r w:rsidR="0005540A">
          <w:rPr>
            <w:noProof/>
            <w:webHidden/>
          </w:rPr>
          <w:fldChar w:fldCharType="begin"/>
        </w:r>
        <w:r w:rsidR="0005540A">
          <w:rPr>
            <w:noProof/>
            <w:webHidden/>
          </w:rPr>
          <w:instrText xml:space="preserve"> PAGEREF _Toc454304708 \h </w:instrText>
        </w:r>
        <w:r w:rsidR="0005540A">
          <w:rPr>
            <w:noProof/>
            <w:webHidden/>
          </w:rPr>
        </w:r>
        <w:r w:rsidR="0005540A">
          <w:rPr>
            <w:noProof/>
            <w:webHidden/>
          </w:rPr>
          <w:fldChar w:fldCharType="separate"/>
        </w:r>
        <w:r w:rsidR="000E22F3">
          <w:rPr>
            <w:noProof/>
            <w:webHidden/>
          </w:rPr>
          <w:t>39</w:t>
        </w:r>
        <w:r w:rsidR="0005540A">
          <w:rPr>
            <w:noProof/>
            <w:webHidden/>
          </w:rPr>
          <w:fldChar w:fldCharType="end"/>
        </w:r>
      </w:hyperlink>
    </w:p>
    <w:p w14:paraId="29FAAF40" w14:textId="7B8CA0AB" w:rsidR="0005540A" w:rsidRDefault="00A87B15">
      <w:pPr>
        <w:pStyle w:val="TOC2"/>
        <w:rPr>
          <w:rFonts w:eastAsiaTheme="minorEastAsia" w:cstheme="minorBidi"/>
          <w:b w:val="0"/>
          <w:bCs w:val="0"/>
          <w:noProof/>
          <w:sz w:val="22"/>
          <w:szCs w:val="22"/>
        </w:rPr>
      </w:pPr>
      <w:hyperlink w:anchor="_Toc454304709" w:history="1">
        <w:r w:rsidR="0005540A" w:rsidRPr="00BD13B3">
          <w:rPr>
            <w:rStyle w:val="Hyperlink"/>
            <w:noProof/>
          </w:rPr>
          <w:t>4.2.3.</w:t>
        </w:r>
        <w:r w:rsidR="0005540A">
          <w:rPr>
            <w:rFonts w:eastAsiaTheme="minorEastAsia" w:cstheme="minorBidi"/>
            <w:b w:val="0"/>
            <w:bCs w:val="0"/>
            <w:noProof/>
            <w:sz w:val="22"/>
            <w:szCs w:val="22"/>
          </w:rPr>
          <w:tab/>
        </w:r>
        <w:r w:rsidR="0005540A" w:rsidRPr="00BD13B3">
          <w:rPr>
            <w:rStyle w:val="Hyperlink"/>
            <w:noProof/>
          </w:rPr>
          <w:t>Data analysis – Temporal</w:t>
        </w:r>
        <w:r w:rsidR="0005540A">
          <w:rPr>
            <w:noProof/>
            <w:webHidden/>
          </w:rPr>
          <w:tab/>
        </w:r>
        <w:r w:rsidR="0005540A">
          <w:rPr>
            <w:noProof/>
            <w:webHidden/>
          </w:rPr>
          <w:fldChar w:fldCharType="begin"/>
        </w:r>
        <w:r w:rsidR="0005540A">
          <w:rPr>
            <w:noProof/>
            <w:webHidden/>
          </w:rPr>
          <w:instrText xml:space="preserve"> PAGEREF _Toc454304709 \h </w:instrText>
        </w:r>
        <w:r w:rsidR="0005540A">
          <w:rPr>
            <w:noProof/>
            <w:webHidden/>
          </w:rPr>
        </w:r>
        <w:r w:rsidR="0005540A">
          <w:rPr>
            <w:noProof/>
            <w:webHidden/>
          </w:rPr>
          <w:fldChar w:fldCharType="separate"/>
        </w:r>
        <w:r w:rsidR="000E22F3">
          <w:rPr>
            <w:noProof/>
            <w:webHidden/>
          </w:rPr>
          <w:t>39</w:t>
        </w:r>
        <w:r w:rsidR="0005540A">
          <w:rPr>
            <w:noProof/>
            <w:webHidden/>
          </w:rPr>
          <w:fldChar w:fldCharType="end"/>
        </w:r>
      </w:hyperlink>
    </w:p>
    <w:p w14:paraId="1121F3E8" w14:textId="6673CD05" w:rsidR="0005540A" w:rsidRDefault="00A87B15">
      <w:pPr>
        <w:pStyle w:val="TOC2"/>
        <w:rPr>
          <w:rFonts w:eastAsiaTheme="minorEastAsia" w:cstheme="minorBidi"/>
          <w:b w:val="0"/>
          <w:bCs w:val="0"/>
          <w:noProof/>
          <w:sz w:val="22"/>
          <w:szCs w:val="22"/>
        </w:rPr>
      </w:pPr>
      <w:hyperlink w:anchor="_Toc454304710" w:history="1">
        <w:r w:rsidR="0005540A" w:rsidRPr="00BD13B3">
          <w:rPr>
            <w:rStyle w:val="Hyperlink"/>
            <w:noProof/>
          </w:rPr>
          <w:t>4.2.4.</w:t>
        </w:r>
        <w:r w:rsidR="0005540A">
          <w:rPr>
            <w:rFonts w:eastAsiaTheme="minorEastAsia" w:cstheme="minorBidi"/>
            <w:b w:val="0"/>
            <w:bCs w:val="0"/>
            <w:noProof/>
            <w:sz w:val="22"/>
            <w:szCs w:val="22"/>
          </w:rPr>
          <w:tab/>
        </w:r>
        <w:r w:rsidR="0005540A" w:rsidRPr="00BD13B3">
          <w:rPr>
            <w:rStyle w:val="Hyperlink"/>
            <w:noProof/>
          </w:rPr>
          <w:t>Data analysis – Load dispersion maps</w:t>
        </w:r>
        <w:r w:rsidR="0005540A">
          <w:rPr>
            <w:noProof/>
            <w:webHidden/>
          </w:rPr>
          <w:tab/>
        </w:r>
        <w:r w:rsidR="0005540A">
          <w:rPr>
            <w:noProof/>
            <w:webHidden/>
          </w:rPr>
          <w:fldChar w:fldCharType="begin"/>
        </w:r>
        <w:r w:rsidR="0005540A">
          <w:rPr>
            <w:noProof/>
            <w:webHidden/>
          </w:rPr>
          <w:instrText xml:space="preserve"> PAGEREF _Toc454304710 \h </w:instrText>
        </w:r>
        <w:r w:rsidR="0005540A">
          <w:rPr>
            <w:noProof/>
            <w:webHidden/>
          </w:rPr>
        </w:r>
        <w:r w:rsidR="0005540A">
          <w:rPr>
            <w:noProof/>
            <w:webHidden/>
          </w:rPr>
          <w:fldChar w:fldCharType="separate"/>
        </w:r>
        <w:r w:rsidR="000E22F3">
          <w:rPr>
            <w:noProof/>
            <w:webHidden/>
          </w:rPr>
          <w:t>40</w:t>
        </w:r>
        <w:r w:rsidR="0005540A">
          <w:rPr>
            <w:noProof/>
            <w:webHidden/>
          </w:rPr>
          <w:fldChar w:fldCharType="end"/>
        </w:r>
      </w:hyperlink>
    </w:p>
    <w:p w14:paraId="5E96D3F6" w14:textId="586A4DAC" w:rsidR="0005540A" w:rsidRDefault="00A87B15">
      <w:pPr>
        <w:pStyle w:val="TOC2"/>
        <w:rPr>
          <w:rFonts w:eastAsiaTheme="minorEastAsia" w:cstheme="minorBidi"/>
          <w:b w:val="0"/>
          <w:bCs w:val="0"/>
          <w:noProof/>
          <w:sz w:val="22"/>
          <w:szCs w:val="22"/>
        </w:rPr>
      </w:pPr>
      <w:hyperlink w:anchor="_Toc454304711" w:history="1">
        <w:r w:rsidR="0005540A" w:rsidRPr="00BD13B3">
          <w:rPr>
            <w:rStyle w:val="Hyperlink"/>
            <w:noProof/>
          </w:rPr>
          <w:t>4.3.</w:t>
        </w:r>
        <w:r w:rsidR="0005540A">
          <w:rPr>
            <w:rFonts w:eastAsiaTheme="minorEastAsia" w:cstheme="minorBidi"/>
            <w:b w:val="0"/>
            <w:bCs w:val="0"/>
            <w:noProof/>
            <w:sz w:val="22"/>
            <w:szCs w:val="22"/>
          </w:rPr>
          <w:tab/>
        </w:r>
        <w:r w:rsidR="0005540A" w:rsidRPr="00BD13B3">
          <w:rPr>
            <w:rStyle w:val="Hyperlink"/>
            <w:noProof/>
          </w:rPr>
          <w:t>Results</w:t>
        </w:r>
        <w:r w:rsidR="0005540A">
          <w:rPr>
            <w:noProof/>
            <w:webHidden/>
          </w:rPr>
          <w:tab/>
        </w:r>
        <w:r w:rsidR="0005540A">
          <w:rPr>
            <w:noProof/>
            <w:webHidden/>
          </w:rPr>
          <w:fldChar w:fldCharType="begin"/>
        </w:r>
        <w:r w:rsidR="0005540A">
          <w:rPr>
            <w:noProof/>
            <w:webHidden/>
          </w:rPr>
          <w:instrText xml:space="preserve"> PAGEREF _Toc454304711 \h </w:instrText>
        </w:r>
        <w:r w:rsidR="0005540A">
          <w:rPr>
            <w:noProof/>
            <w:webHidden/>
          </w:rPr>
        </w:r>
        <w:r w:rsidR="0005540A">
          <w:rPr>
            <w:noProof/>
            <w:webHidden/>
          </w:rPr>
          <w:fldChar w:fldCharType="separate"/>
        </w:r>
        <w:r w:rsidR="000E22F3">
          <w:rPr>
            <w:noProof/>
            <w:webHidden/>
          </w:rPr>
          <w:t>43</w:t>
        </w:r>
        <w:r w:rsidR="0005540A">
          <w:rPr>
            <w:noProof/>
            <w:webHidden/>
          </w:rPr>
          <w:fldChar w:fldCharType="end"/>
        </w:r>
      </w:hyperlink>
    </w:p>
    <w:p w14:paraId="5B4E658C" w14:textId="10475343" w:rsidR="0005540A" w:rsidRDefault="00A87B15">
      <w:pPr>
        <w:pStyle w:val="TOC2"/>
        <w:rPr>
          <w:rFonts w:eastAsiaTheme="minorEastAsia" w:cstheme="minorBidi"/>
          <w:b w:val="0"/>
          <w:bCs w:val="0"/>
          <w:noProof/>
          <w:sz w:val="22"/>
          <w:szCs w:val="22"/>
        </w:rPr>
      </w:pPr>
      <w:hyperlink w:anchor="_Toc454304712" w:history="1">
        <w:r w:rsidR="0005540A" w:rsidRPr="00BD13B3">
          <w:rPr>
            <w:rStyle w:val="Hyperlink"/>
            <w:noProof/>
          </w:rPr>
          <w:t>4.3.1.</w:t>
        </w:r>
        <w:r w:rsidR="0005540A">
          <w:rPr>
            <w:rFonts w:eastAsiaTheme="minorEastAsia" w:cstheme="minorBidi"/>
            <w:b w:val="0"/>
            <w:bCs w:val="0"/>
            <w:noProof/>
            <w:sz w:val="22"/>
            <w:szCs w:val="22"/>
          </w:rPr>
          <w:tab/>
        </w:r>
        <w:r w:rsidR="0005540A" w:rsidRPr="00BD13B3">
          <w:rPr>
            <w:rStyle w:val="Hyperlink"/>
            <w:noProof/>
          </w:rPr>
          <w:t>Data analysis - Spatial</w:t>
        </w:r>
        <w:r w:rsidR="0005540A">
          <w:rPr>
            <w:noProof/>
            <w:webHidden/>
          </w:rPr>
          <w:tab/>
        </w:r>
        <w:r w:rsidR="0005540A">
          <w:rPr>
            <w:noProof/>
            <w:webHidden/>
          </w:rPr>
          <w:fldChar w:fldCharType="begin"/>
        </w:r>
        <w:r w:rsidR="0005540A">
          <w:rPr>
            <w:noProof/>
            <w:webHidden/>
          </w:rPr>
          <w:instrText xml:space="preserve"> PAGEREF _Toc454304712 \h </w:instrText>
        </w:r>
        <w:r w:rsidR="0005540A">
          <w:rPr>
            <w:noProof/>
            <w:webHidden/>
          </w:rPr>
        </w:r>
        <w:r w:rsidR="0005540A">
          <w:rPr>
            <w:noProof/>
            <w:webHidden/>
          </w:rPr>
          <w:fldChar w:fldCharType="separate"/>
        </w:r>
        <w:r w:rsidR="000E22F3">
          <w:rPr>
            <w:noProof/>
            <w:webHidden/>
          </w:rPr>
          <w:t>43</w:t>
        </w:r>
        <w:r w:rsidR="0005540A">
          <w:rPr>
            <w:noProof/>
            <w:webHidden/>
          </w:rPr>
          <w:fldChar w:fldCharType="end"/>
        </w:r>
      </w:hyperlink>
    </w:p>
    <w:p w14:paraId="699A9C40" w14:textId="3256457C" w:rsidR="0005540A" w:rsidRDefault="00A87B15">
      <w:pPr>
        <w:pStyle w:val="TOC2"/>
        <w:rPr>
          <w:rFonts w:eastAsiaTheme="minorEastAsia" w:cstheme="minorBidi"/>
          <w:b w:val="0"/>
          <w:bCs w:val="0"/>
          <w:noProof/>
          <w:sz w:val="22"/>
          <w:szCs w:val="22"/>
        </w:rPr>
      </w:pPr>
      <w:hyperlink w:anchor="_Toc454304713" w:history="1">
        <w:r w:rsidR="0005540A" w:rsidRPr="00BD13B3">
          <w:rPr>
            <w:rStyle w:val="Hyperlink"/>
            <w:noProof/>
          </w:rPr>
          <w:t>4.3.2.</w:t>
        </w:r>
        <w:r w:rsidR="0005540A">
          <w:rPr>
            <w:rFonts w:eastAsiaTheme="minorEastAsia" w:cstheme="minorBidi"/>
            <w:b w:val="0"/>
            <w:bCs w:val="0"/>
            <w:noProof/>
            <w:sz w:val="22"/>
            <w:szCs w:val="22"/>
          </w:rPr>
          <w:tab/>
        </w:r>
        <w:r w:rsidR="0005540A" w:rsidRPr="00BD13B3">
          <w:rPr>
            <w:rStyle w:val="Hyperlink"/>
            <w:noProof/>
          </w:rPr>
          <w:t>Data analysis – Temporal</w:t>
        </w:r>
        <w:r w:rsidR="0005540A">
          <w:rPr>
            <w:noProof/>
            <w:webHidden/>
          </w:rPr>
          <w:tab/>
        </w:r>
        <w:r w:rsidR="0005540A">
          <w:rPr>
            <w:noProof/>
            <w:webHidden/>
          </w:rPr>
          <w:fldChar w:fldCharType="begin"/>
        </w:r>
        <w:r w:rsidR="0005540A">
          <w:rPr>
            <w:noProof/>
            <w:webHidden/>
          </w:rPr>
          <w:instrText xml:space="preserve"> PAGEREF _Toc454304713 \h </w:instrText>
        </w:r>
        <w:r w:rsidR="0005540A">
          <w:rPr>
            <w:noProof/>
            <w:webHidden/>
          </w:rPr>
        </w:r>
        <w:r w:rsidR="0005540A">
          <w:rPr>
            <w:noProof/>
            <w:webHidden/>
          </w:rPr>
          <w:fldChar w:fldCharType="separate"/>
        </w:r>
        <w:r w:rsidR="000E22F3">
          <w:rPr>
            <w:noProof/>
            <w:webHidden/>
          </w:rPr>
          <w:t>53</w:t>
        </w:r>
        <w:r w:rsidR="0005540A">
          <w:rPr>
            <w:noProof/>
            <w:webHidden/>
          </w:rPr>
          <w:fldChar w:fldCharType="end"/>
        </w:r>
      </w:hyperlink>
    </w:p>
    <w:p w14:paraId="6B692EC5" w14:textId="50493855" w:rsidR="0005540A" w:rsidRDefault="00A87B15">
      <w:pPr>
        <w:pStyle w:val="TOC2"/>
        <w:rPr>
          <w:rFonts w:eastAsiaTheme="minorEastAsia" w:cstheme="minorBidi"/>
          <w:b w:val="0"/>
          <w:bCs w:val="0"/>
          <w:noProof/>
          <w:sz w:val="22"/>
          <w:szCs w:val="22"/>
        </w:rPr>
      </w:pPr>
      <w:hyperlink w:anchor="_Toc454304714" w:history="1">
        <w:r w:rsidR="0005540A" w:rsidRPr="00BD13B3">
          <w:rPr>
            <w:rStyle w:val="Hyperlink"/>
            <w:noProof/>
          </w:rPr>
          <w:t>4.3.3.</w:t>
        </w:r>
        <w:r w:rsidR="0005540A">
          <w:rPr>
            <w:rFonts w:eastAsiaTheme="minorEastAsia" w:cstheme="minorBidi"/>
            <w:b w:val="0"/>
            <w:bCs w:val="0"/>
            <w:noProof/>
            <w:sz w:val="22"/>
            <w:szCs w:val="22"/>
          </w:rPr>
          <w:tab/>
        </w:r>
        <w:r w:rsidR="0005540A" w:rsidRPr="00BD13B3">
          <w:rPr>
            <w:rStyle w:val="Hyperlink"/>
            <w:noProof/>
          </w:rPr>
          <w:t>Data analysis – Load dispersion maps, DIN</w:t>
        </w:r>
        <w:r w:rsidR="0005540A">
          <w:rPr>
            <w:noProof/>
            <w:webHidden/>
          </w:rPr>
          <w:tab/>
        </w:r>
        <w:r w:rsidR="0005540A">
          <w:rPr>
            <w:noProof/>
            <w:webHidden/>
          </w:rPr>
          <w:fldChar w:fldCharType="begin"/>
        </w:r>
        <w:r w:rsidR="0005540A">
          <w:rPr>
            <w:noProof/>
            <w:webHidden/>
          </w:rPr>
          <w:instrText xml:space="preserve"> PAGEREF _Toc454304714 \h </w:instrText>
        </w:r>
        <w:r w:rsidR="0005540A">
          <w:rPr>
            <w:noProof/>
            <w:webHidden/>
          </w:rPr>
        </w:r>
        <w:r w:rsidR="0005540A">
          <w:rPr>
            <w:noProof/>
            <w:webHidden/>
          </w:rPr>
          <w:fldChar w:fldCharType="separate"/>
        </w:r>
        <w:r w:rsidR="000E22F3">
          <w:rPr>
            <w:noProof/>
            <w:webHidden/>
          </w:rPr>
          <w:t>60</w:t>
        </w:r>
        <w:r w:rsidR="0005540A">
          <w:rPr>
            <w:noProof/>
            <w:webHidden/>
          </w:rPr>
          <w:fldChar w:fldCharType="end"/>
        </w:r>
      </w:hyperlink>
    </w:p>
    <w:p w14:paraId="3D342E82" w14:textId="202F432C" w:rsidR="0005540A" w:rsidRDefault="00A87B15">
      <w:pPr>
        <w:pStyle w:val="TOC2"/>
        <w:rPr>
          <w:rFonts w:eastAsiaTheme="minorEastAsia" w:cstheme="minorBidi"/>
          <w:b w:val="0"/>
          <w:bCs w:val="0"/>
          <w:noProof/>
          <w:sz w:val="22"/>
          <w:szCs w:val="22"/>
        </w:rPr>
      </w:pPr>
      <w:hyperlink w:anchor="_Toc454304715" w:history="1">
        <w:r w:rsidR="0005540A" w:rsidRPr="00BD13B3">
          <w:rPr>
            <w:rStyle w:val="Hyperlink"/>
            <w:noProof/>
          </w:rPr>
          <w:t>4.3.4.</w:t>
        </w:r>
        <w:r w:rsidR="0005540A">
          <w:rPr>
            <w:rFonts w:eastAsiaTheme="minorEastAsia" w:cstheme="minorBidi"/>
            <w:b w:val="0"/>
            <w:bCs w:val="0"/>
            <w:noProof/>
            <w:sz w:val="22"/>
            <w:szCs w:val="22"/>
          </w:rPr>
          <w:tab/>
        </w:r>
        <w:r w:rsidR="0005540A" w:rsidRPr="00BD13B3">
          <w:rPr>
            <w:rStyle w:val="Hyperlink"/>
            <w:noProof/>
          </w:rPr>
          <w:t>Data analysis – Load dispersion maps, TSS</w:t>
        </w:r>
        <w:r w:rsidR="0005540A">
          <w:rPr>
            <w:noProof/>
            <w:webHidden/>
          </w:rPr>
          <w:tab/>
        </w:r>
        <w:r w:rsidR="0005540A">
          <w:rPr>
            <w:noProof/>
            <w:webHidden/>
          </w:rPr>
          <w:fldChar w:fldCharType="begin"/>
        </w:r>
        <w:r w:rsidR="0005540A">
          <w:rPr>
            <w:noProof/>
            <w:webHidden/>
          </w:rPr>
          <w:instrText xml:space="preserve"> PAGEREF _Toc454304715 \h </w:instrText>
        </w:r>
        <w:r w:rsidR="0005540A">
          <w:rPr>
            <w:noProof/>
            <w:webHidden/>
          </w:rPr>
        </w:r>
        <w:r w:rsidR="0005540A">
          <w:rPr>
            <w:noProof/>
            <w:webHidden/>
          </w:rPr>
          <w:fldChar w:fldCharType="separate"/>
        </w:r>
        <w:r w:rsidR="000E22F3">
          <w:rPr>
            <w:noProof/>
            <w:webHidden/>
          </w:rPr>
          <w:t>63</w:t>
        </w:r>
        <w:r w:rsidR="0005540A">
          <w:rPr>
            <w:noProof/>
            <w:webHidden/>
          </w:rPr>
          <w:fldChar w:fldCharType="end"/>
        </w:r>
      </w:hyperlink>
    </w:p>
    <w:p w14:paraId="15E8FD48" w14:textId="799823B4" w:rsidR="0005540A" w:rsidRDefault="00A87B15">
      <w:pPr>
        <w:pStyle w:val="TOC1"/>
        <w:rPr>
          <w:rFonts w:asciiTheme="minorHAnsi" w:eastAsiaTheme="minorEastAsia" w:hAnsiTheme="minorHAnsi" w:cstheme="minorBidi"/>
          <w:b w:val="0"/>
          <w:bCs w:val="0"/>
          <w:caps w:val="0"/>
          <w:noProof/>
          <w:sz w:val="22"/>
          <w:szCs w:val="22"/>
        </w:rPr>
      </w:pPr>
      <w:hyperlink w:anchor="_Toc454304716" w:history="1">
        <w:r w:rsidR="0005540A" w:rsidRPr="00BD13B3">
          <w:rPr>
            <w:rStyle w:val="Hyperlink"/>
            <w:i/>
            <w:noProof/>
          </w:rPr>
          <w:t>5.</w:t>
        </w:r>
        <w:r w:rsidR="0005540A">
          <w:rPr>
            <w:rFonts w:asciiTheme="minorHAnsi" w:eastAsiaTheme="minorEastAsia" w:hAnsiTheme="minorHAnsi" w:cstheme="minorBidi"/>
            <w:b w:val="0"/>
            <w:bCs w:val="0"/>
            <w:caps w:val="0"/>
            <w:noProof/>
            <w:sz w:val="22"/>
            <w:szCs w:val="22"/>
          </w:rPr>
          <w:tab/>
        </w:r>
        <w:r w:rsidR="0005540A" w:rsidRPr="00BD13B3">
          <w:rPr>
            <w:rStyle w:val="Hyperlink"/>
            <w:i/>
            <w:noProof/>
          </w:rPr>
          <w:t>Mapping of river plumes</w:t>
        </w:r>
        <w:r w:rsidR="0005540A">
          <w:rPr>
            <w:noProof/>
            <w:webHidden/>
          </w:rPr>
          <w:tab/>
        </w:r>
        <w:r w:rsidR="0005540A">
          <w:rPr>
            <w:noProof/>
            <w:webHidden/>
          </w:rPr>
          <w:fldChar w:fldCharType="begin"/>
        </w:r>
        <w:r w:rsidR="0005540A">
          <w:rPr>
            <w:noProof/>
            <w:webHidden/>
          </w:rPr>
          <w:instrText xml:space="preserve"> PAGEREF _Toc454304716 \h </w:instrText>
        </w:r>
        <w:r w:rsidR="0005540A">
          <w:rPr>
            <w:noProof/>
            <w:webHidden/>
          </w:rPr>
        </w:r>
        <w:r w:rsidR="0005540A">
          <w:rPr>
            <w:noProof/>
            <w:webHidden/>
          </w:rPr>
          <w:fldChar w:fldCharType="separate"/>
        </w:r>
        <w:r w:rsidR="000E22F3">
          <w:rPr>
            <w:noProof/>
            <w:webHidden/>
          </w:rPr>
          <w:t>66</w:t>
        </w:r>
        <w:r w:rsidR="0005540A">
          <w:rPr>
            <w:noProof/>
            <w:webHidden/>
          </w:rPr>
          <w:fldChar w:fldCharType="end"/>
        </w:r>
      </w:hyperlink>
    </w:p>
    <w:p w14:paraId="264974A5" w14:textId="4BB36DF4" w:rsidR="0005540A" w:rsidRDefault="00A87B15">
      <w:pPr>
        <w:pStyle w:val="TOC2"/>
        <w:rPr>
          <w:rFonts w:eastAsiaTheme="minorEastAsia" w:cstheme="minorBidi"/>
          <w:b w:val="0"/>
          <w:bCs w:val="0"/>
          <w:noProof/>
          <w:sz w:val="22"/>
          <w:szCs w:val="22"/>
        </w:rPr>
      </w:pPr>
      <w:hyperlink w:anchor="_Toc454304717" w:history="1">
        <w:r w:rsidR="0005540A" w:rsidRPr="00BD13B3">
          <w:rPr>
            <w:rStyle w:val="Hyperlink"/>
            <w:noProof/>
          </w:rPr>
          <w:t>5.1.</w:t>
        </w:r>
        <w:r w:rsidR="0005540A">
          <w:rPr>
            <w:rFonts w:eastAsiaTheme="minorEastAsia" w:cstheme="minorBidi"/>
            <w:b w:val="0"/>
            <w:bCs w:val="0"/>
            <w:noProof/>
            <w:sz w:val="22"/>
            <w:szCs w:val="22"/>
          </w:rPr>
          <w:tab/>
        </w:r>
        <w:r w:rsidR="0005540A" w:rsidRPr="00BD13B3">
          <w:rPr>
            <w:rStyle w:val="Hyperlink"/>
            <w:noProof/>
          </w:rPr>
          <w:t>Methodology</w:t>
        </w:r>
        <w:r w:rsidR="0005540A">
          <w:rPr>
            <w:noProof/>
            <w:webHidden/>
          </w:rPr>
          <w:tab/>
        </w:r>
        <w:r w:rsidR="0005540A">
          <w:rPr>
            <w:noProof/>
            <w:webHidden/>
          </w:rPr>
          <w:fldChar w:fldCharType="begin"/>
        </w:r>
        <w:r w:rsidR="0005540A">
          <w:rPr>
            <w:noProof/>
            <w:webHidden/>
          </w:rPr>
          <w:instrText xml:space="preserve"> PAGEREF _Toc454304717 \h </w:instrText>
        </w:r>
        <w:r w:rsidR="0005540A">
          <w:rPr>
            <w:noProof/>
            <w:webHidden/>
          </w:rPr>
        </w:r>
        <w:r w:rsidR="0005540A">
          <w:rPr>
            <w:noProof/>
            <w:webHidden/>
          </w:rPr>
          <w:fldChar w:fldCharType="separate"/>
        </w:r>
        <w:r w:rsidR="000E22F3">
          <w:rPr>
            <w:noProof/>
            <w:webHidden/>
          </w:rPr>
          <w:t>66</w:t>
        </w:r>
        <w:r w:rsidR="0005540A">
          <w:rPr>
            <w:noProof/>
            <w:webHidden/>
          </w:rPr>
          <w:fldChar w:fldCharType="end"/>
        </w:r>
      </w:hyperlink>
    </w:p>
    <w:p w14:paraId="6B0CAE56" w14:textId="0B8A3E79" w:rsidR="0005540A" w:rsidRDefault="00A87B15">
      <w:pPr>
        <w:pStyle w:val="TOC2"/>
        <w:rPr>
          <w:rFonts w:eastAsiaTheme="minorEastAsia" w:cstheme="minorBidi"/>
          <w:b w:val="0"/>
          <w:bCs w:val="0"/>
          <w:noProof/>
          <w:sz w:val="22"/>
          <w:szCs w:val="22"/>
        </w:rPr>
      </w:pPr>
      <w:hyperlink w:anchor="_Toc454304718" w:history="1">
        <w:r w:rsidR="0005540A" w:rsidRPr="00BD13B3">
          <w:rPr>
            <w:rStyle w:val="Hyperlink"/>
            <w:noProof/>
          </w:rPr>
          <w:t>5.1.1.</w:t>
        </w:r>
        <w:r w:rsidR="0005540A">
          <w:rPr>
            <w:rFonts w:eastAsiaTheme="minorEastAsia" w:cstheme="minorBidi"/>
            <w:b w:val="0"/>
            <w:bCs w:val="0"/>
            <w:noProof/>
            <w:sz w:val="22"/>
            <w:szCs w:val="22"/>
          </w:rPr>
          <w:tab/>
        </w:r>
        <w:r w:rsidR="0005540A" w:rsidRPr="00BD13B3">
          <w:rPr>
            <w:rStyle w:val="Hyperlink"/>
            <w:noProof/>
          </w:rPr>
          <w:t>Introduction to remote sensing products</w:t>
        </w:r>
        <w:r w:rsidR="0005540A">
          <w:rPr>
            <w:noProof/>
            <w:webHidden/>
          </w:rPr>
          <w:tab/>
        </w:r>
        <w:r w:rsidR="0005540A">
          <w:rPr>
            <w:noProof/>
            <w:webHidden/>
          </w:rPr>
          <w:fldChar w:fldCharType="begin"/>
        </w:r>
        <w:r w:rsidR="0005540A">
          <w:rPr>
            <w:noProof/>
            <w:webHidden/>
          </w:rPr>
          <w:instrText xml:space="preserve"> PAGEREF _Toc454304718 \h </w:instrText>
        </w:r>
        <w:r w:rsidR="0005540A">
          <w:rPr>
            <w:noProof/>
            <w:webHidden/>
          </w:rPr>
        </w:r>
        <w:r w:rsidR="0005540A">
          <w:rPr>
            <w:noProof/>
            <w:webHidden/>
          </w:rPr>
          <w:fldChar w:fldCharType="separate"/>
        </w:r>
        <w:r w:rsidR="000E22F3">
          <w:rPr>
            <w:noProof/>
            <w:webHidden/>
          </w:rPr>
          <w:t>66</w:t>
        </w:r>
        <w:r w:rsidR="0005540A">
          <w:rPr>
            <w:noProof/>
            <w:webHidden/>
          </w:rPr>
          <w:fldChar w:fldCharType="end"/>
        </w:r>
      </w:hyperlink>
    </w:p>
    <w:p w14:paraId="6089159F" w14:textId="69A729D9" w:rsidR="0005540A" w:rsidRDefault="00A87B15">
      <w:pPr>
        <w:pStyle w:val="TOC2"/>
        <w:rPr>
          <w:rFonts w:eastAsiaTheme="minorEastAsia" w:cstheme="minorBidi"/>
          <w:b w:val="0"/>
          <w:bCs w:val="0"/>
          <w:noProof/>
          <w:sz w:val="22"/>
          <w:szCs w:val="22"/>
        </w:rPr>
      </w:pPr>
      <w:hyperlink w:anchor="_Toc454304719" w:history="1">
        <w:r w:rsidR="0005540A" w:rsidRPr="00BD13B3">
          <w:rPr>
            <w:rStyle w:val="Hyperlink"/>
            <w:noProof/>
          </w:rPr>
          <w:t>5.1.2.</w:t>
        </w:r>
        <w:r w:rsidR="0005540A">
          <w:rPr>
            <w:rFonts w:eastAsiaTheme="minorEastAsia" w:cstheme="minorBidi"/>
            <w:b w:val="0"/>
            <w:bCs w:val="0"/>
            <w:noProof/>
            <w:sz w:val="22"/>
            <w:szCs w:val="22"/>
          </w:rPr>
          <w:tab/>
        </w:r>
        <w:r w:rsidR="0005540A" w:rsidRPr="00BD13B3">
          <w:rPr>
            <w:rStyle w:val="Hyperlink"/>
            <w:noProof/>
          </w:rPr>
          <w:t>GBR river plume and plume water type maps</w:t>
        </w:r>
        <w:r w:rsidR="0005540A">
          <w:rPr>
            <w:noProof/>
            <w:webHidden/>
          </w:rPr>
          <w:tab/>
        </w:r>
        <w:r w:rsidR="0005540A">
          <w:rPr>
            <w:noProof/>
            <w:webHidden/>
          </w:rPr>
          <w:fldChar w:fldCharType="begin"/>
        </w:r>
        <w:r w:rsidR="0005540A">
          <w:rPr>
            <w:noProof/>
            <w:webHidden/>
          </w:rPr>
          <w:instrText xml:space="preserve"> PAGEREF _Toc454304719 \h </w:instrText>
        </w:r>
        <w:r w:rsidR="0005540A">
          <w:rPr>
            <w:noProof/>
            <w:webHidden/>
          </w:rPr>
        </w:r>
        <w:r w:rsidR="0005540A">
          <w:rPr>
            <w:noProof/>
            <w:webHidden/>
          </w:rPr>
          <w:fldChar w:fldCharType="separate"/>
        </w:r>
        <w:r w:rsidR="000E22F3">
          <w:rPr>
            <w:noProof/>
            <w:webHidden/>
          </w:rPr>
          <w:t>67</w:t>
        </w:r>
        <w:r w:rsidR="0005540A">
          <w:rPr>
            <w:noProof/>
            <w:webHidden/>
          </w:rPr>
          <w:fldChar w:fldCharType="end"/>
        </w:r>
      </w:hyperlink>
    </w:p>
    <w:p w14:paraId="060F62AF" w14:textId="2F052206" w:rsidR="0005540A" w:rsidRDefault="00A87B15">
      <w:pPr>
        <w:pStyle w:val="TOC2"/>
        <w:rPr>
          <w:rFonts w:eastAsiaTheme="minorEastAsia" w:cstheme="minorBidi"/>
          <w:b w:val="0"/>
          <w:bCs w:val="0"/>
          <w:noProof/>
          <w:sz w:val="22"/>
          <w:szCs w:val="22"/>
        </w:rPr>
      </w:pPr>
      <w:hyperlink w:anchor="_Toc454304720" w:history="1">
        <w:r w:rsidR="0005540A" w:rsidRPr="00BD13B3">
          <w:rPr>
            <w:rStyle w:val="Hyperlink"/>
            <w:noProof/>
          </w:rPr>
          <w:t>5.1.3.</w:t>
        </w:r>
        <w:r w:rsidR="0005540A">
          <w:rPr>
            <w:rFonts w:eastAsiaTheme="minorEastAsia" w:cstheme="minorBidi"/>
            <w:b w:val="0"/>
            <w:bCs w:val="0"/>
            <w:noProof/>
            <w:sz w:val="22"/>
            <w:szCs w:val="22"/>
          </w:rPr>
          <w:tab/>
        </w:r>
        <w:r w:rsidR="0005540A" w:rsidRPr="00BD13B3">
          <w:rPr>
            <w:rStyle w:val="Hyperlink"/>
            <w:noProof/>
          </w:rPr>
          <w:t>“Potential risk” maps</w:t>
        </w:r>
        <w:r w:rsidR="0005540A">
          <w:rPr>
            <w:noProof/>
            <w:webHidden/>
          </w:rPr>
          <w:tab/>
        </w:r>
        <w:r w:rsidR="0005540A">
          <w:rPr>
            <w:noProof/>
            <w:webHidden/>
          </w:rPr>
          <w:fldChar w:fldCharType="begin"/>
        </w:r>
        <w:r w:rsidR="0005540A">
          <w:rPr>
            <w:noProof/>
            <w:webHidden/>
          </w:rPr>
          <w:instrText xml:space="preserve"> PAGEREF _Toc454304720 \h </w:instrText>
        </w:r>
        <w:r w:rsidR="0005540A">
          <w:rPr>
            <w:noProof/>
            <w:webHidden/>
          </w:rPr>
        </w:r>
        <w:r w:rsidR="0005540A">
          <w:rPr>
            <w:noProof/>
            <w:webHidden/>
          </w:rPr>
          <w:fldChar w:fldCharType="separate"/>
        </w:r>
        <w:r w:rsidR="000E22F3">
          <w:rPr>
            <w:noProof/>
            <w:webHidden/>
          </w:rPr>
          <w:t>70</w:t>
        </w:r>
        <w:r w:rsidR="0005540A">
          <w:rPr>
            <w:noProof/>
            <w:webHidden/>
          </w:rPr>
          <w:fldChar w:fldCharType="end"/>
        </w:r>
      </w:hyperlink>
    </w:p>
    <w:p w14:paraId="174998F6" w14:textId="09CB44BB" w:rsidR="0005540A" w:rsidRDefault="00A87B15">
      <w:pPr>
        <w:pStyle w:val="TOC2"/>
        <w:rPr>
          <w:rFonts w:eastAsiaTheme="minorEastAsia" w:cstheme="minorBidi"/>
          <w:b w:val="0"/>
          <w:bCs w:val="0"/>
          <w:noProof/>
          <w:sz w:val="22"/>
          <w:szCs w:val="22"/>
        </w:rPr>
      </w:pPr>
      <w:hyperlink w:anchor="_Toc454304721" w:history="1">
        <w:r w:rsidR="0005540A" w:rsidRPr="00BD13B3">
          <w:rPr>
            <w:rStyle w:val="Hyperlink"/>
            <w:noProof/>
          </w:rPr>
          <w:t>5.1.4.</w:t>
        </w:r>
        <w:r w:rsidR="0005540A">
          <w:rPr>
            <w:rFonts w:eastAsiaTheme="minorEastAsia" w:cstheme="minorBidi"/>
            <w:b w:val="0"/>
            <w:bCs w:val="0"/>
            <w:noProof/>
            <w:sz w:val="22"/>
            <w:szCs w:val="22"/>
          </w:rPr>
          <w:tab/>
        </w:r>
        <w:r w:rsidR="0005540A" w:rsidRPr="00BD13B3">
          <w:rPr>
            <w:rStyle w:val="Hyperlink"/>
            <w:noProof/>
          </w:rPr>
          <w:t>Exposure of GBR ecosystems to river plumes</w:t>
        </w:r>
        <w:r w:rsidR="0005540A">
          <w:rPr>
            <w:noProof/>
            <w:webHidden/>
          </w:rPr>
          <w:tab/>
        </w:r>
        <w:r w:rsidR="0005540A">
          <w:rPr>
            <w:noProof/>
            <w:webHidden/>
          </w:rPr>
          <w:fldChar w:fldCharType="begin"/>
        </w:r>
        <w:r w:rsidR="0005540A">
          <w:rPr>
            <w:noProof/>
            <w:webHidden/>
          </w:rPr>
          <w:instrText xml:space="preserve"> PAGEREF _Toc454304721 \h </w:instrText>
        </w:r>
        <w:r w:rsidR="0005540A">
          <w:rPr>
            <w:noProof/>
            <w:webHidden/>
          </w:rPr>
        </w:r>
        <w:r w:rsidR="0005540A">
          <w:rPr>
            <w:noProof/>
            <w:webHidden/>
          </w:rPr>
          <w:fldChar w:fldCharType="separate"/>
        </w:r>
        <w:r w:rsidR="000E22F3">
          <w:rPr>
            <w:noProof/>
            <w:webHidden/>
          </w:rPr>
          <w:t>74</w:t>
        </w:r>
        <w:r w:rsidR="0005540A">
          <w:rPr>
            <w:noProof/>
            <w:webHidden/>
          </w:rPr>
          <w:fldChar w:fldCharType="end"/>
        </w:r>
      </w:hyperlink>
    </w:p>
    <w:p w14:paraId="7D7DD07B" w14:textId="7FDA0174" w:rsidR="0005540A" w:rsidRDefault="00A87B15">
      <w:pPr>
        <w:pStyle w:val="TOC2"/>
        <w:rPr>
          <w:rFonts w:eastAsiaTheme="minorEastAsia" w:cstheme="minorBidi"/>
          <w:b w:val="0"/>
          <w:bCs w:val="0"/>
          <w:noProof/>
          <w:sz w:val="22"/>
          <w:szCs w:val="22"/>
        </w:rPr>
      </w:pPr>
      <w:hyperlink w:anchor="_Toc454304722" w:history="1">
        <w:r w:rsidR="0005540A" w:rsidRPr="00BD13B3">
          <w:rPr>
            <w:rStyle w:val="Hyperlink"/>
            <w:noProof/>
          </w:rPr>
          <w:t>5.2.</w:t>
        </w:r>
        <w:r w:rsidR="0005540A">
          <w:rPr>
            <w:rFonts w:eastAsiaTheme="minorEastAsia" w:cstheme="minorBidi"/>
            <w:b w:val="0"/>
            <w:bCs w:val="0"/>
            <w:noProof/>
            <w:sz w:val="22"/>
            <w:szCs w:val="22"/>
          </w:rPr>
          <w:tab/>
        </w:r>
        <w:r w:rsidR="0005540A" w:rsidRPr="00BD13B3">
          <w:rPr>
            <w:rStyle w:val="Hyperlink"/>
            <w:noProof/>
          </w:rPr>
          <w:t>Results</w:t>
        </w:r>
        <w:r w:rsidR="0005540A">
          <w:rPr>
            <w:noProof/>
            <w:webHidden/>
          </w:rPr>
          <w:tab/>
        </w:r>
        <w:r w:rsidR="0005540A">
          <w:rPr>
            <w:noProof/>
            <w:webHidden/>
          </w:rPr>
          <w:fldChar w:fldCharType="begin"/>
        </w:r>
        <w:r w:rsidR="0005540A">
          <w:rPr>
            <w:noProof/>
            <w:webHidden/>
          </w:rPr>
          <w:instrText xml:space="preserve"> PAGEREF _Toc454304722 \h </w:instrText>
        </w:r>
        <w:r w:rsidR="0005540A">
          <w:rPr>
            <w:noProof/>
            <w:webHidden/>
          </w:rPr>
        </w:r>
        <w:r w:rsidR="0005540A">
          <w:rPr>
            <w:noProof/>
            <w:webHidden/>
          </w:rPr>
          <w:fldChar w:fldCharType="separate"/>
        </w:r>
        <w:r w:rsidR="000E22F3">
          <w:rPr>
            <w:noProof/>
            <w:webHidden/>
          </w:rPr>
          <w:t>76</w:t>
        </w:r>
        <w:r w:rsidR="0005540A">
          <w:rPr>
            <w:noProof/>
            <w:webHidden/>
          </w:rPr>
          <w:fldChar w:fldCharType="end"/>
        </w:r>
      </w:hyperlink>
    </w:p>
    <w:p w14:paraId="5EB40AF3" w14:textId="0C43DCF6" w:rsidR="0005540A" w:rsidRDefault="00A87B15">
      <w:pPr>
        <w:pStyle w:val="TOC2"/>
        <w:rPr>
          <w:rFonts w:eastAsiaTheme="minorEastAsia" w:cstheme="minorBidi"/>
          <w:b w:val="0"/>
          <w:bCs w:val="0"/>
          <w:noProof/>
          <w:sz w:val="22"/>
          <w:szCs w:val="22"/>
        </w:rPr>
      </w:pPr>
      <w:hyperlink w:anchor="_Toc454304723" w:history="1">
        <w:r w:rsidR="0005540A" w:rsidRPr="00BD13B3">
          <w:rPr>
            <w:rStyle w:val="Hyperlink"/>
            <w:noProof/>
          </w:rPr>
          <w:t>5.2.1.</w:t>
        </w:r>
        <w:r w:rsidR="0005540A">
          <w:rPr>
            <w:rFonts w:eastAsiaTheme="minorEastAsia" w:cstheme="minorBidi"/>
            <w:b w:val="0"/>
            <w:bCs w:val="0"/>
            <w:noProof/>
            <w:sz w:val="22"/>
            <w:szCs w:val="22"/>
          </w:rPr>
          <w:tab/>
        </w:r>
        <w:r w:rsidR="0005540A" w:rsidRPr="00BD13B3">
          <w:rPr>
            <w:rStyle w:val="Hyperlink"/>
            <w:noProof/>
          </w:rPr>
          <w:t>Plume frequency maps, 2013-2014</w:t>
        </w:r>
        <w:r w:rsidR="0005540A">
          <w:rPr>
            <w:noProof/>
            <w:webHidden/>
          </w:rPr>
          <w:tab/>
        </w:r>
        <w:r w:rsidR="0005540A">
          <w:rPr>
            <w:noProof/>
            <w:webHidden/>
          </w:rPr>
          <w:fldChar w:fldCharType="begin"/>
        </w:r>
        <w:r w:rsidR="0005540A">
          <w:rPr>
            <w:noProof/>
            <w:webHidden/>
          </w:rPr>
          <w:instrText xml:space="preserve"> PAGEREF _Toc454304723 \h </w:instrText>
        </w:r>
        <w:r w:rsidR="0005540A">
          <w:rPr>
            <w:noProof/>
            <w:webHidden/>
          </w:rPr>
        </w:r>
        <w:r w:rsidR="0005540A">
          <w:rPr>
            <w:noProof/>
            <w:webHidden/>
          </w:rPr>
          <w:fldChar w:fldCharType="separate"/>
        </w:r>
        <w:r w:rsidR="000E22F3">
          <w:rPr>
            <w:noProof/>
            <w:webHidden/>
          </w:rPr>
          <w:t>76</w:t>
        </w:r>
        <w:r w:rsidR="0005540A">
          <w:rPr>
            <w:noProof/>
            <w:webHidden/>
          </w:rPr>
          <w:fldChar w:fldCharType="end"/>
        </w:r>
      </w:hyperlink>
    </w:p>
    <w:p w14:paraId="3C14E751" w14:textId="34ACEE60" w:rsidR="0005540A" w:rsidRDefault="00A87B15">
      <w:pPr>
        <w:pStyle w:val="TOC2"/>
        <w:rPr>
          <w:rFonts w:eastAsiaTheme="minorEastAsia" w:cstheme="minorBidi"/>
          <w:b w:val="0"/>
          <w:bCs w:val="0"/>
          <w:noProof/>
          <w:sz w:val="22"/>
          <w:szCs w:val="22"/>
        </w:rPr>
      </w:pPr>
      <w:hyperlink w:anchor="_Toc454304724" w:history="1">
        <w:r w:rsidR="0005540A" w:rsidRPr="00BD13B3">
          <w:rPr>
            <w:rStyle w:val="Hyperlink"/>
            <w:noProof/>
          </w:rPr>
          <w:t>5.2.2.</w:t>
        </w:r>
        <w:r w:rsidR="0005540A">
          <w:rPr>
            <w:rFonts w:eastAsiaTheme="minorEastAsia" w:cstheme="minorBidi"/>
            <w:b w:val="0"/>
            <w:bCs w:val="0"/>
            <w:noProof/>
            <w:sz w:val="22"/>
            <w:szCs w:val="22"/>
          </w:rPr>
          <w:tab/>
        </w:r>
        <w:r w:rsidR="0005540A" w:rsidRPr="00BD13B3">
          <w:rPr>
            <w:rStyle w:val="Hyperlink"/>
            <w:noProof/>
          </w:rPr>
          <w:t>Water quality concentrations in river plumes</w:t>
        </w:r>
        <w:r w:rsidR="0005540A">
          <w:rPr>
            <w:noProof/>
            <w:webHidden/>
          </w:rPr>
          <w:tab/>
        </w:r>
        <w:r w:rsidR="0005540A">
          <w:rPr>
            <w:noProof/>
            <w:webHidden/>
          </w:rPr>
          <w:fldChar w:fldCharType="begin"/>
        </w:r>
        <w:r w:rsidR="0005540A">
          <w:rPr>
            <w:noProof/>
            <w:webHidden/>
          </w:rPr>
          <w:instrText xml:space="preserve"> PAGEREF _Toc454304724 \h </w:instrText>
        </w:r>
        <w:r w:rsidR="0005540A">
          <w:rPr>
            <w:noProof/>
            <w:webHidden/>
          </w:rPr>
        </w:r>
        <w:r w:rsidR="0005540A">
          <w:rPr>
            <w:noProof/>
            <w:webHidden/>
          </w:rPr>
          <w:fldChar w:fldCharType="separate"/>
        </w:r>
        <w:r w:rsidR="000E22F3">
          <w:rPr>
            <w:noProof/>
            <w:webHidden/>
          </w:rPr>
          <w:t>81</w:t>
        </w:r>
        <w:r w:rsidR="0005540A">
          <w:rPr>
            <w:noProof/>
            <w:webHidden/>
          </w:rPr>
          <w:fldChar w:fldCharType="end"/>
        </w:r>
      </w:hyperlink>
    </w:p>
    <w:p w14:paraId="08FADC81" w14:textId="19383F3B" w:rsidR="0005540A" w:rsidRDefault="00A87B15">
      <w:pPr>
        <w:pStyle w:val="TOC2"/>
        <w:rPr>
          <w:rFonts w:eastAsiaTheme="minorEastAsia" w:cstheme="minorBidi"/>
          <w:b w:val="0"/>
          <w:bCs w:val="0"/>
          <w:noProof/>
          <w:sz w:val="22"/>
          <w:szCs w:val="22"/>
        </w:rPr>
      </w:pPr>
      <w:hyperlink w:anchor="_Toc454304725" w:history="1">
        <w:r w:rsidR="0005540A" w:rsidRPr="00BD13B3">
          <w:rPr>
            <w:rStyle w:val="Hyperlink"/>
            <w:noProof/>
          </w:rPr>
          <w:t>5.2.3.</w:t>
        </w:r>
        <w:r w:rsidR="0005540A">
          <w:rPr>
            <w:rFonts w:eastAsiaTheme="minorEastAsia" w:cstheme="minorBidi"/>
            <w:b w:val="0"/>
            <w:bCs w:val="0"/>
            <w:noProof/>
            <w:sz w:val="22"/>
            <w:szCs w:val="22"/>
          </w:rPr>
          <w:tab/>
        </w:r>
        <w:r w:rsidR="0005540A" w:rsidRPr="00BD13B3">
          <w:rPr>
            <w:rStyle w:val="Hyperlink"/>
            <w:noProof/>
          </w:rPr>
          <w:t>Potential river plume risk maps, 2013-2014</w:t>
        </w:r>
        <w:r w:rsidR="0005540A">
          <w:rPr>
            <w:noProof/>
            <w:webHidden/>
          </w:rPr>
          <w:tab/>
        </w:r>
        <w:r w:rsidR="0005540A">
          <w:rPr>
            <w:noProof/>
            <w:webHidden/>
          </w:rPr>
          <w:fldChar w:fldCharType="begin"/>
        </w:r>
        <w:r w:rsidR="0005540A">
          <w:rPr>
            <w:noProof/>
            <w:webHidden/>
          </w:rPr>
          <w:instrText xml:space="preserve"> PAGEREF _Toc454304725 \h </w:instrText>
        </w:r>
        <w:r w:rsidR="0005540A">
          <w:rPr>
            <w:noProof/>
            <w:webHidden/>
          </w:rPr>
        </w:r>
        <w:r w:rsidR="0005540A">
          <w:rPr>
            <w:noProof/>
            <w:webHidden/>
          </w:rPr>
          <w:fldChar w:fldCharType="separate"/>
        </w:r>
        <w:r w:rsidR="000E22F3">
          <w:rPr>
            <w:noProof/>
            <w:webHidden/>
          </w:rPr>
          <w:t>82</w:t>
        </w:r>
        <w:r w:rsidR="0005540A">
          <w:rPr>
            <w:noProof/>
            <w:webHidden/>
          </w:rPr>
          <w:fldChar w:fldCharType="end"/>
        </w:r>
      </w:hyperlink>
    </w:p>
    <w:p w14:paraId="1AE9FEAF" w14:textId="7C7B4F29" w:rsidR="0005540A" w:rsidRDefault="00A87B15">
      <w:pPr>
        <w:pStyle w:val="TOC2"/>
        <w:rPr>
          <w:rFonts w:eastAsiaTheme="minorEastAsia" w:cstheme="minorBidi"/>
          <w:b w:val="0"/>
          <w:bCs w:val="0"/>
          <w:noProof/>
          <w:sz w:val="22"/>
          <w:szCs w:val="22"/>
        </w:rPr>
      </w:pPr>
      <w:hyperlink w:anchor="_Toc454304726" w:history="1">
        <w:r w:rsidR="0005540A" w:rsidRPr="00BD13B3">
          <w:rPr>
            <w:rStyle w:val="Hyperlink"/>
            <w:noProof/>
          </w:rPr>
          <w:t>5.2.4.</w:t>
        </w:r>
        <w:r w:rsidR="0005540A">
          <w:rPr>
            <w:rFonts w:eastAsiaTheme="minorEastAsia" w:cstheme="minorBidi"/>
            <w:b w:val="0"/>
            <w:bCs w:val="0"/>
            <w:noProof/>
            <w:sz w:val="22"/>
            <w:szCs w:val="22"/>
          </w:rPr>
          <w:tab/>
        </w:r>
        <w:r w:rsidR="0005540A" w:rsidRPr="00BD13B3">
          <w:rPr>
            <w:rStyle w:val="Hyperlink"/>
            <w:noProof/>
          </w:rPr>
          <w:t>Mapping of potential risk from river plume exposure in 2013-2014</w:t>
        </w:r>
        <w:r w:rsidR="0005540A">
          <w:rPr>
            <w:noProof/>
            <w:webHidden/>
          </w:rPr>
          <w:tab/>
        </w:r>
        <w:r w:rsidR="0005540A">
          <w:rPr>
            <w:noProof/>
            <w:webHidden/>
          </w:rPr>
          <w:fldChar w:fldCharType="begin"/>
        </w:r>
        <w:r w:rsidR="0005540A">
          <w:rPr>
            <w:noProof/>
            <w:webHidden/>
          </w:rPr>
          <w:instrText xml:space="preserve"> PAGEREF _Toc454304726 \h </w:instrText>
        </w:r>
        <w:r w:rsidR="0005540A">
          <w:rPr>
            <w:noProof/>
            <w:webHidden/>
          </w:rPr>
        </w:r>
        <w:r w:rsidR="0005540A">
          <w:rPr>
            <w:noProof/>
            <w:webHidden/>
          </w:rPr>
          <w:fldChar w:fldCharType="separate"/>
        </w:r>
        <w:r w:rsidR="000E22F3">
          <w:rPr>
            <w:noProof/>
            <w:webHidden/>
          </w:rPr>
          <w:t>85</w:t>
        </w:r>
        <w:r w:rsidR="0005540A">
          <w:rPr>
            <w:noProof/>
            <w:webHidden/>
          </w:rPr>
          <w:fldChar w:fldCharType="end"/>
        </w:r>
      </w:hyperlink>
    </w:p>
    <w:p w14:paraId="1DDC2D6F" w14:textId="015ED4F9" w:rsidR="0005540A" w:rsidRDefault="00A87B15">
      <w:pPr>
        <w:pStyle w:val="TOC2"/>
        <w:rPr>
          <w:rFonts w:eastAsiaTheme="minorEastAsia" w:cstheme="minorBidi"/>
          <w:b w:val="0"/>
          <w:bCs w:val="0"/>
          <w:noProof/>
          <w:sz w:val="22"/>
          <w:szCs w:val="22"/>
        </w:rPr>
      </w:pPr>
      <w:hyperlink w:anchor="_Toc454304727" w:history="1">
        <w:r w:rsidR="0005540A" w:rsidRPr="00BD13B3">
          <w:rPr>
            <w:rStyle w:val="Hyperlink"/>
            <w:noProof/>
          </w:rPr>
          <w:t>5.2.4.1.</w:t>
        </w:r>
        <w:r w:rsidR="0005540A">
          <w:rPr>
            <w:rFonts w:eastAsiaTheme="minorEastAsia" w:cstheme="minorBidi"/>
            <w:b w:val="0"/>
            <w:bCs w:val="0"/>
            <w:noProof/>
            <w:sz w:val="22"/>
            <w:szCs w:val="22"/>
          </w:rPr>
          <w:tab/>
        </w:r>
        <w:r w:rsidR="0005540A" w:rsidRPr="00BD13B3">
          <w:rPr>
            <w:rStyle w:val="Hyperlink"/>
            <w:noProof/>
          </w:rPr>
          <w:t>Coral reefs</w:t>
        </w:r>
        <w:r w:rsidR="0005540A">
          <w:rPr>
            <w:noProof/>
            <w:webHidden/>
          </w:rPr>
          <w:tab/>
        </w:r>
        <w:r w:rsidR="0005540A">
          <w:rPr>
            <w:noProof/>
            <w:webHidden/>
          </w:rPr>
          <w:fldChar w:fldCharType="begin"/>
        </w:r>
        <w:r w:rsidR="0005540A">
          <w:rPr>
            <w:noProof/>
            <w:webHidden/>
          </w:rPr>
          <w:instrText xml:space="preserve"> PAGEREF _Toc454304727 \h </w:instrText>
        </w:r>
        <w:r w:rsidR="0005540A">
          <w:rPr>
            <w:noProof/>
            <w:webHidden/>
          </w:rPr>
        </w:r>
        <w:r w:rsidR="0005540A">
          <w:rPr>
            <w:noProof/>
            <w:webHidden/>
          </w:rPr>
          <w:fldChar w:fldCharType="separate"/>
        </w:r>
        <w:r w:rsidR="000E22F3">
          <w:rPr>
            <w:noProof/>
            <w:webHidden/>
          </w:rPr>
          <w:t>85</w:t>
        </w:r>
        <w:r w:rsidR="0005540A">
          <w:rPr>
            <w:noProof/>
            <w:webHidden/>
          </w:rPr>
          <w:fldChar w:fldCharType="end"/>
        </w:r>
      </w:hyperlink>
    </w:p>
    <w:p w14:paraId="22C7B519" w14:textId="2833EB1D" w:rsidR="0005540A" w:rsidRDefault="00A87B15">
      <w:pPr>
        <w:pStyle w:val="TOC2"/>
        <w:rPr>
          <w:rFonts w:eastAsiaTheme="minorEastAsia" w:cstheme="minorBidi"/>
          <w:b w:val="0"/>
          <w:bCs w:val="0"/>
          <w:noProof/>
          <w:sz w:val="22"/>
          <w:szCs w:val="22"/>
        </w:rPr>
      </w:pPr>
      <w:hyperlink w:anchor="_Toc454304728" w:history="1">
        <w:r w:rsidR="0005540A" w:rsidRPr="00BD13B3">
          <w:rPr>
            <w:rStyle w:val="Hyperlink"/>
            <w:noProof/>
          </w:rPr>
          <w:t>5.2.4.2.</w:t>
        </w:r>
        <w:r w:rsidR="0005540A">
          <w:rPr>
            <w:rFonts w:eastAsiaTheme="minorEastAsia" w:cstheme="minorBidi"/>
            <w:b w:val="0"/>
            <w:bCs w:val="0"/>
            <w:noProof/>
            <w:sz w:val="22"/>
            <w:szCs w:val="22"/>
          </w:rPr>
          <w:tab/>
        </w:r>
        <w:r w:rsidR="0005540A" w:rsidRPr="00BD13B3">
          <w:rPr>
            <w:rStyle w:val="Hyperlink"/>
            <w:noProof/>
          </w:rPr>
          <w:t>Coastal seagrasses</w:t>
        </w:r>
        <w:r w:rsidR="0005540A">
          <w:rPr>
            <w:noProof/>
            <w:webHidden/>
          </w:rPr>
          <w:tab/>
        </w:r>
        <w:r w:rsidR="0005540A">
          <w:rPr>
            <w:noProof/>
            <w:webHidden/>
          </w:rPr>
          <w:fldChar w:fldCharType="begin"/>
        </w:r>
        <w:r w:rsidR="0005540A">
          <w:rPr>
            <w:noProof/>
            <w:webHidden/>
          </w:rPr>
          <w:instrText xml:space="preserve"> PAGEREF _Toc454304728 \h </w:instrText>
        </w:r>
        <w:r w:rsidR="0005540A">
          <w:rPr>
            <w:noProof/>
            <w:webHidden/>
          </w:rPr>
        </w:r>
        <w:r w:rsidR="0005540A">
          <w:rPr>
            <w:noProof/>
            <w:webHidden/>
          </w:rPr>
          <w:fldChar w:fldCharType="separate"/>
        </w:r>
        <w:r w:rsidR="000E22F3">
          <w:rPr>
            <w:noProof/>
            <w:webHidden/>
          </w:rPr>
          <w:t>85</w:t>
        </w:r>
        <w:r w:rsidR="0005540A">
          <w:rPr>
            <w:noProof/>
            <w:webHidden/>
          </w:rPr>
          <w:fldChar w:fldCharType="end"/>
        </w:r>
      </w:hyperlink>
    </w:p>
    <w:p w14:paraId="627B3548" w14:textId="376398FC" w:rsidR="0005540A" w:rsidRDefault="00A87B15">
      <w:pPr>
        <w:pStyle w:val="TOC2"/>
        <w:rPr>
          <w:rFonts w:eastAsiaTheme="minorEastAsia" w:cstheme="minorBidi"/>
          <w:b w:val="0"/>
          <w:bCs w:val="0"/>
          <w:noProof/>
          <w:sz w:val="22"/>
          <w:szCs w:val="22"/>
        </w:rPr>
      </w:pPr>
      <w:hyperlink w:anchor="_Toc454304729" w:history="1">
        <w:r w:rsidR="0005540A" w:rsidRPr="00BD13B3">
          <w:rPr>
            <w:rStyle w:val="Hyperlink"/>
            <w:noProof/>
          </w:rPr>
          <w:t>5.2.4.3.</w:t>
        </w:r>
        <w:r w:rsidR="0005540A">
          <w:rPr>
            <w:rFonts w:eastAsiaTheme="minorEastAsia" w:cstheme="minorBidi"/>
            <w:b w:val="0"/>
            <w:bCs w:val="0"/>
            <w:noProof/>
            <w:sz w:val="22"/>
            <w:szCs w:val="22"/>
          </w:rPr>
          <w:tab/>
        </w:r>
        <w:r w:rsidR="0005540A" w:rsidRPr="00BD13B3">
          <w:rPr>
            <w:rStyle w:val="Hyperlink"/>
            <w:noProof/>
          </w:rPr>
          <w:t>Offshore seagrasses</w:t>
        </w:r>
        <w:r w:rsidR="0005540A">
          <w:rPr>
            <w:noProof/>
            <w:webHidden/>
          </w:rPr>
          <w:tab/>
        </w:r>
        <w:r w:rsidR="0005540A">
          <w:rPr>
            <w:noProof/>
            <w:webHidden/>
          </w:rPr>
          <w:fldChar w:fldCharType="begin"/>
        </w:r>
        <w:r w:rsidR="0005540A">
          <w:rPr>
            <w:noProof/>
            <w:webHidden/>
          </w:rPr>
          <w:instrText xml:space="preserve"> PAGEREF _Toc454304729 \h </w:instrText>
        </w:r>
        <w:r w:rsidR="0005540A">
          <w:rPr>
            <w:noProof/>
            <w:webHidden/>
          </w:rPr>
        </w:r>
        <w:r w:rsidR="0005540A">
          <w:rPr>
            <w:noProof/>
            <w:webHidden/>
          </w:rPr>
          <w:fldChar w:fldCharType="separate"/>
        </w:r>
        <w:r w:rsidR="000E22F3">
          <w:rPr>
            <w:noProof/>
            <w:webHidden/>
          </w:rPr>
          <w:t>87</w:t>
        </w:r>
        <w:r w:rsidR="0005540A">
          <w:rPr>
            <w:noProof/>
            <w:webHidden/>
          </w:rPr>
          <w:fldChar w:fldCharType="end"/>
        </w:r>
      </w:hyperlink>
    </w:p>
    <w:p w14:paraId="2BB7E3A6" w14:textId="6A4E5E9F" w:rsidR="0005540A" w:rsidRDefault="00A87B15">
      <w:pPr>
        <w:pStyle w:val="TOC2"/>
        <w:rPr>
          <w:rFonts w:eastAsiaTheme="minorEastAsia" w:cstheme="minorBidi"/>
          <w:b w:val="0"/>
          <w:bCs w:val="0"/>
          <w:noProof/>
          <w:sz w:val="22"/>
          <w:szCs w:val="22"/>
        </w:rPr>
      </w:pPr>
      <w:hyperlink w:anchor="_Toc454304730" w:history="1">
        <w:r w:rsidR="0005540A" w:rsidRPr="00BD13B3">
          <w:rPr>
            <w:rStyle w:val="Hyperlink"/>
            <w:noProof/>
          </w:rPr>
          <w:t>5.2.4.4.</w:t>
        </w:r>
        <w:r w:rsidR="0005540A">
          <w:rPr>
            <w:rFonts w:eastAsiaTheme="minorEastAsia" w:cstheme="minorBidi"/>
            <w:b w:val="0"/>
            <w:bCs w:val="0"/>
            <w:noProof/>
            <w:sz w:val="22"/>
            <w:szCs w:val="22"/>
          </w:rPr>
          <w:tab/>
        </w:r>
        <w:r w:rsidR="0005540A" w:rsidRPr="00BD13B3">
          <w:rPr>
            <w:rStyle w:val="Hyperlink"/>
            <w:noProof/>
          </w:rPr>
          <w:t>Total seagrasses</w:t>
        </w:r>
        <w:r w:rsidR="0005540A">
          <w:rPr>
            <w:noProof/>
            <w:webHidden/>
          </w:rPr>
          <w:tab/>
        </w:r>
        <w:r w:rsidR="0005540A">
          <w:rPr>
            <w:noProof/>
            <w:webHidden/>
          </w:rPr>
          <w:fldChar w:fldCharType="begin"/>
        </w:r>
        <w:r w:rsidR="0005540A">
          <w:rPr>
            <w:noProof/>
            <w:webHidden/>
          </w:rPr>
          <w:instrText xml:space="preserve"> PAGEREF _Toc454304730 \h </w:instrText>
        </w:r>
        <w:r w:rsidR="0005540A">
          <w:rPr>
            <w:noProof/>
            <w:webHidden/>
          </w:rPr>
        </w:r>
        <w:r w:rsidR="0005540A">
          <w:rPr>
            <w:noProof/>
            <w:webHidden/>
          </w:rPr>
          <w:fldChar w:fldCharType="separate"/>
        </w:r>
        <w:r w:rsidR="000E22F3">
          <w:rPr>
            <w:noProof/>
            <w:webHidden/>
          </w:rPr>
          <w:t>87</w:t>
        </w:r>
        <w:r w:rsidR="0005540A">
          <w:rPr>
            <w:noProof/>
            <w:webHidden/>
          </w:rPr>
          <w:fldChar w:fldCharType="end"/>
        </w:r>
      </w:hyperlink>
    </w:p>
    <w:p w14:paraId="48A51EA3" w14:textId="5F829311" w:rsidR="0005540A" w:rsidRDefault="00A87B15">
      <w:pPr>
        <w:pStyle w:val="TOC2"/>
        <w:rPr>
          <w:rFonts w:eastAsiaTheme="minorEastAsia" w:cstheme="minorBidi"/>
          <w:b w:val="0"/>
          <w:bCs w:val="0"/>
          <w:noProof/>
          <w:sz w:val="22"/>
          <w:szCs w:val="22"/>
        </w:rPr>
      </w:pPr>
      <w:hyperlink w:anchor="_Toc454304731" w:history="1">
        <w:r w:rsidR="0005540A" w:rsidRPr="00BD13B3">
          <w:rPr>
            <w:rStyle w:val="Hyperlink"/>
            <w:noProof/>
          </w:rPr>
          <w:t>5.2.5.</w:t>
        </w:r>
        <w:r w:rsidR="0005540A">
          <w:rPr>
            <w:rFonts w:eastAsiaTheme="minorEastAsia" w:cstheme="minorBidi"/>
            <w:b w:val="0"/>
            <w:bCs w:val="0"/>
            <w:noProof/>
            <w:sz w:val="22"/>
            <w:szCs w:val="22"/>
          </w:rPr>
          <w:tab/>
        </w:r>
        <w:r w:rsidR="0005540A" w:rsidRPr="00BD13B3">
          <w:rPr>
            <w:rStyle w:val="Hyperlink"/>
            <w:noProof/>
          </w:rPr>
          <w:t>Potential river plume risk maps, 2007 to 2014</w:t>
        </w:r>
        <w:r w:rsidR="0005540A">
          <w:rPr>
            <w:noProof/>
            <w:webHidden/>
          </w:rPr>
          <w:tab/>
        </w:r>
        <w:r w:rsidR="0005540A">
          <w:rPr>
            <w:noProof/>
            <w:webHidden/>
          </w:rPr>
          <w:fldChar w:fldCharType="begin"/>
        </w:r>
        <w:r w:rsidR="0005540A">
          <w:rPr>
            <w:noProof/>
            <w:webHidden/>
          </w:rPr>
          <w:instrText xml:space="preserve"> PAGEREF _Toc454304731 \h </w:instrText>
        </w:r>
        <w:r w:rsidR="0005540A">
          <w:rPr>
            <w:noProof/>
            <w:webHidden/>
          </w:rPr>
        </w:r>
        <w:r w:rsidR="0005540A">
          <w:rPr>
            <w:noProof/>
            <w:webHidden/>
          </w:rPr>
          <w:fldChar w:fldCharType="separate"/>
        </w:r>
        <w:r w:rsidR="000E22F3">
          <w:rPr>
            <w:noProof/>
            <w:webHidden/>
          </w:rPr>
          <w:t>88</w:t>
        </w:r>
        <w:r w:rsidR="0005540A">
          <w:rPr>
            <w:noProof/>
            <w:webHidden/>
          </w:rPr>
          <w:fldChar w:fldCharType="end"/>
        </w:r>
      </w:hyperlink>
    </w:p>
    <w:p w14:paraId="01952A10" w14:textId="49D8C3FF" w:rsidR="0005540A" w:rsidRDefault="00A87B15">
      <w:pPr>
        <w:pStyle w:val="TOC1"/>
        <w:rPr>
          <w:rFonts w:asciiTheme="minorHAnsi" w:eastAsiaTheme="minorEastAsia" w:hAnsiTheme="minorHAnsi" w:cstheme="minorBidi"/>
          <w:b w:val="0"/>
          <w:bCs w:val="0"/>
          <w:caps w:val="0"/>
          <w:noProof/>
          <w:sz w:val="22"/>
          <w:szCs w:val="22"/>
        </w:rPr>
      </w:pPr>
      <w:hyperlink w:anchor="_Toc454304732" w:history="1">
        <w:r w:rsidR="0005540A" w:rsidRPr="00BD13B3">
          <w:rPr>
            <w:rStyle w:val="Hyperlink"/>
            <w:i/>
            <w:noProof/>
          </w:rPr>
          <w:t>6.</w:t>
        </w:r>
        <w:r w:rsidR="0005540A">
          <w:rPr>
            <w:rFonts w:asciiTheme="minorHAnsi" w:eastAsiaTheme="minorEastAsia" w:hAnsiTheme="minorHAnsi" w:cstheme="minorBidi"/>
            <w:b w:val="0"/>
            <w:bCs w:val="0"/>
            <w:caps w:val="0"/>
            <w:noProof/>
            <w:sz w:val="22"/>
            <w:szCs w:val="22"/>
          </w:rPr>
          <w:tab/>
        </w:r>
        <w:r w:rsidR="0005540A" w:rsidRPr="00BD13B3">
          <w:rPr>
            <w:rStyle w:val="Hyperlink"/>
            <w:i/>
            <w:noProof/>
          </w:rPr>
          <w:t>Discussion and conclusions</w:t>
        </w:r>
        <w:r w:rsidR="0005540A">
          <w:rPr>
            <w:noProof/>
            <w:webHidden/>
          </w:rPr>
          <w:tab/>
        </w:r>
        <w:r w:rsidR="0005540A">
          <w:rPr>
            <w:noProof/>
            <w:webHidden/>
          </w:rPr>
          <w:fldChar w:fldCharType="begin"/>
        </w:r>
        <w:r w:rsidR="0005540A">
          <w:rPr>
            <w:noProof/>
            <w:webHidden/>
          </w:rPr>
          <w:instrText xml:space="preserve"> PAGEREF _Toc454304732 \h </w:instrText>
        </w:r>
        <w:r w:rsidR="0005540A">
          <w:rPr>
            <w:noProof/>
            <w:webHidden/>
          </w:rPr>
        </w:r>
        <w:r w:rsidR="0005540A">
          <w:rPr>
            <w:noProof/>
            <w:webHidden/>
          </w:rPr>
          <w:fldChar w:fldCharType="separate"/>
        </w:r>
        <w:r w:rsidR="000E22F3">
          <w:rPr>
            <w:noProof/>
            <w:webHidden/>
          </w:rPr>
          <w:t>93</w:t>
        </w:r>
        <w:r w:rsidR="0005540A">
          <w:rPr>
            <w:noProof/>
            <w:webHidden/>
          </w:rPr>
          <w:fldChar w:fldCharType="end"/>
        </w:r>
      </w:hyperlink>
    </w:p>
    <w:p w14:paraId="527B48EE" w14:textId="1084ACE2" w:rsidR="0005540A" w:rsidRDefault="00A87B15">
      <w:pPr>
        <w:pStyle w:val="TOC2"/>
        <w:rPr>
          <w:rFonts w:eastAsiaTheme="minorEastAsia" w:cstheme="minorBidi"/>
          <w:b w:val="0"/>
          <w:bCs w:val="0"/>
          <w:noProof/>
          <w:sz w:val="22"/>
          <w:szCs w:val="22"/>
        </w:rPr>
      </w:pPr>
      <w:hyperlink w:anchor="_Toc454304733" w:history="1">
        <w:r w:rsidR="0005540A" w:rsidRPr="00BD13B3">
          <w:rPr>
            <w:rStyle w:val="Hyperlink"/>
            <w:noProof/>
          </w:rPr>
          <w:t>6.1.</w:t>
        </w:r>
        <w:r w:rsidR="0005540A">
          <w:rPr>
            <w:rFonts w:eastAsiaTheme="minorEastAsia" w:cstheme="minorBidi"/>
            <w:b w:val="0"/>
            <w:bCs w:val="0"/>
            <w:noProof/>
            <w:sz w:val="22"/>
            <w:szCs w:val="22"/>
          </w:rPr>
          <w:tab/>
        </w:r>
        <w:r w:rsidR="0005540A" w:rsidRPr="00BD13B3">
          <w:rPr>
            <w:rStyle w:val="Hyperlink"/>
            <w:noProof/>
          </w:rPr>
          <w:t>The 2013-2014 wet season</w:t>
        </w:r>
        <w:r w:rsidR="0005540A">
          <w:rPr>
            <w:noProof/>
            <w:webHidden/>
          </w:rPr>
          <w:tab/>
        </w:r>
        <w:r w:rsidR="0005540A">
          <w:rPr>
            <w:noProof/>
            <w:webHidden/>
          </w:rPr>
          <w:fldChar w:fldCharType="begin"/>
        </w:r>
        <w:r w:rsidR="0005540A">
          <w:rPr>
            <w:noProof/>
            <w:webHidden/>
          </w:rPr>
          <w:instrText xml:space="preserve"> PAGEREF _Toc454304733 \h </w:instrText>
        </w:r>
        <w:r w:rsidR="0005540A">
          <w:rPr>
            <w:noProof/>
            <w:webHidden/>
          </w:rPr>
        </w:r>
        <w:r w:rsidR="0005540A">
          <w:rPr>
            <w:noProof/>
            <w:webHidden/>
          </w:rPr>
          <w:fldChar w:fldCharType="separate"/>
        </w:r>
        <w:r w:rsidR="000E22F3">
          <w:rPr>
            <w:noProof/>
            <w:webHidden/>
          </w:rPr>
          <w:t>93</w:t>
        </w:r>
        <w:r w:rsidR="0005540A">
          <w:rPr>
            <w:noProof/>
            <w:webHidden/>
          </w:rPr>
          <w:fldChar w:fldCharType="end"/>
        </w:r>
      </w:hyperlink>
    </w:p>
    <w:p w14:paraId="5EA9B73D" w14:textId="26D6F49E" w:rsidR="0005540A" w:rsidRDefault="00A87B15">
      <w:pPr>
        <w:pStyle w:val="TOC2"/>
        <w:rPr>
          <w:rFonts w:eastAsiaTheme="minorEastAsia" w:cstheme="minorBidi"/>
          <w:b w:val="0"/>
          <w:bCs w:val="0"/>
          <w:noProof/>
          <w:sz w:val="22"/>
          <w:szCs w:val="22"/>
        </w:rPr>
      </w:pPr>
      <w:hyperlink w:anchor="_Toc454304734" w:history="1">
        <w:r w:rsidR="0005540A" w:rsidRPr="00BD13B3">
          <w:rPr>
            <w:rStyle w:val="Hyperlink"/>
            <w:noProof/>
          </w:rPr>
          <w:t>6.2.</w:t>
        </w:r>
        <w:r w:rsidR="0005540A">
          <w:rPr>
            <w:rFonts w:eastAsiaTheme="minorEastAsia" w:cstheme="minorBidi"/>
            <w:b w:val="0"/>
            <w:bCs w:val="0"/>
            <w:noProof/>
            <w:sz w:val="22"/>
            <w:szCs w:val="22"/>
          </w:rPr>
          <w:tab/>
        </w:r>
        <w:r w:rsidR="0005540A" w:rsidRPr="00BD13B3">
          <w:rPr>
            <w:rStyle w:val="Hyperlink"/>
            <w:noProof/>
          </w:rPr>
          <w:t>Towards the production of river plume risk maps for the GBR ecosystems</w:t>
        </w:r>
        <w:r w:rsidR="0005540A">
          <w:rPr>
            <w:noProof/>
            <w:webHidden/>
          </w:rPr>
          <w:tab/>
        </w:r>
        <w:r w:rsidR="0005540A">
          <w:rPr>
            <w:noProof/>
            <w:webHidden/>
          </w:rPr>
          <w:fldChar w:fldCharType="begin"/>
        </w:r>
        <w:r w:rsidR="0005540A">
          <w:rPr>
            <w:noProof/>
            <w:webHidden/>
          </w:rPr>
          <w:instrText xml:space="preserve"> PAGEREF _Toc454304734 \h </w:instrText>
        </w:r>
        <w:r w:rsidR="0005540A">
          <w:rPr>
            <w:noProof/>
            <w:webHidden/>
          </w:rPr>
        </w:r>
        <w:r w:rsidR="0005540A">
          <w:rPr>
            <w:noProof/>
            <w:webHidden/>
          </w:rPr>
          <w:fldChar w:fldCharType="separate"/>
        </w:r>
        <w:r w:rsidR="000E22F3">
          <w:rPr>
            <w:noProof/>
            <w:webHidden/>
          </w:rPr>
          <w:t>94</w:t>
        </w:r>
        <w:r w:rsidR="0005540A">
          <w:rPr>
            <w:noProof/>
            <w:webHidden/>
          </w:rPr>
          <w:fldChar w:fldCharType="end"/>
        </w:r>
      </w:hyperlink>
    </w:p>
    <w:p w14:paraId="2FE7903A" w14:textId="1BE4E7A9" w:rsidR="0005540A" w:rsidRDefault="00A87B15">
      <w:pPr>
        <w:pStyle w:val="TOC2"/>
        <w:rPr>
          <w:rFonts w:eastAsiaTheme="minorEastAsia" w:cstheme="minorBidi"/>
          <w:b w:val="0"/>
          <w:bCs w:val="0"/>
          <w:noProof/>
          <w:sz w:val="22"/>
          <w:szCs w:val="22"/>
        </w:rPr>
      </w:pPr>
      <w:hyperlink w:anchor="_Toc454304735" w:history="1">
        <w:r w:rsidR="0005540A" w:rsidRPr="00BD13B3">
          <w:rPr>
            <w:rStyle w:val="Hyperlink"/>
            <w:noProof/>
          </w:rPr>
          <w:t>6.3.</w:t>
        </w:r>
        <w:r w:rsidR="0005540A">
          <w:rPr>
            <w:rFonts w:eastAsiaTheme="minorEastAsia" w:cstheme="minorBidi"/>
            <w:b w:val="0"/>
            <w:bCs w:val="0"/>
            <w:noProof/>
            <w:sz w:val="22"/>
            <w:szCs w:val="22"/>
          </w:rPr>
          <w:tab/>
        </w:r>
        <w:r w:rsidR="0005540A" w:rsidRPr="00BD13B3">
          <w:rPr>
            <w:rStyle w:val="Hyperlink"/>
            <w:noProof/>
          </w:rPr>
          <w:t>Inter-annual and averaged (8-year) trends in the GBR</w:t>
        </w:r>
        <w:r w:rsidR="0005540A">
          <w:rPr>
            <w:noProof/>
            <w:webHidden/>
          </w:rPr>
          <w:tab/>
        </w:r>
        <w:r w:rsidR="0005540A">
          <w:rPr>
            <w:noProof/>
            <w:webHidden/>
          </w:rPr>
          <w:fldChar w:fldCharType="begin"/>
        </w:r>
        <w:r w:rsidR="0005540A">
          <w:rPr>
            <w:noProof/>
            <w:webHidden/>
          </w:rPr>
          <w:instrText xml:space="preserve"> PAGEREF _Toc454304735 \h </w:instrText>
        </w:r>
        <w:r w:rsidR="0005540A">
          <w:rPr>
            <w:noProof/>
            <w:webHidden/>
          </w:rPr>
        </w:r>
        <w:r w:rsidR="0005540A">
          <w:rPr>
            <w:noProof/>
            <w:webHidden/>
          </w:rPr>
          <w:fldChar w:fldCharType="separate"/>
        </w:r>
        <w:r w:rsidR="000E22F3">
          <w:rPr>
            <w:noProof/>
            <w:webHidden/>
          </w:rPr>
          <w:t>95</w:t>
        </w:r>
        <w:r w:rsidR="0005540A">
          <w:rPr>
            <w:noProof/>
            <w:webHidden/>
          </w:rPr>
          <w:fldChar w:fldCharType="end"/>
        </w:r>
      </w:hyperlink>
    </w:p>
    <w:p w14:paraId="6194DE94" w14:textId="5C549C1A" w:rsidR="0005540A" w:rsidRDefault="00A87B15">
      <w:pPr>
        <w:pStyle w:val="TOC1"/>
        <w:rPr>
          <w:rFonts w:asciiTheme="minorHAnsi" w:eastAsiaTheme="minorEastAsia" w:hAnsiTheme="minorHAnsi" w:cstheme="minorBidi"/>
          <w:b w:val="0"/>
          <w:bCs w:val="0"/>
          <w:caps w:val="0"/>
          <w:noProof/>
          <w:sz w:val="22"/>
          <w:szCs w:val="22"/>
        </w:rPr>
      </w:pPr>
      <w:hyperlink w:anchor="_Toc454304736" w:history="1">
        <w:r w:rsidR="0005540A" w:rsidRPr="00BD13B3">
          <w:rPr>
            <w:rStyle w:val="Hyperlink"/>
            <w:i/>
            <w:noProof/>
          </w:rPr>
          <w:t>7.</w:t>
        </w:r>
        <w:r w:rsidR="0005540A">
          <w:rPr>
            <w:rFonts w:asciiTheme="minorHAnsi" w:eastAsiaTheme="minorEastAsia" w:hAnsiTheme="minorHAnsi" w:cstheme="minorBidi"/>
            <w:b w:val="0"/>
            <w:bCs w:val="0"/>
            <w:caps w:val="0"/>
            <w:noProof/>
            <w:sz w:val="22"/>
            <w:szCs w:val="22"/>
          </w:rPr>
          <w:tab/>
        </w:r>
        <w:r w:rsidR="0005540A" w:rsidRPr="00BD13B3">
          <w:rPr>
            <w:rStyle w:val="Hyperlink"/>
            <w:i/>
            <w:noProof/>
          </w:rPr>
          <w:t>Future developments</w:t>
        </w:r>
        <w:r w:rsidR="0005540A">
          <w:rPr>
            <w:noProof/>
            <w:webHidden/>
          </w:rPr>
          <w:tab/>
        </w:r>
        <w:r w:rsidR="0005540A">
          <w:rPr>
            <w:noProof/>
            <w:webHidden/>
          </w:rPr>
          <w:fldChar w:fldCharType="begin"/>
        </w:r>
        <w:r w:rsidR="0005540A">
          <w:rPr>
            <w:noProof/>
            <w:webHidden/>
          </w:rPr>
          <w:instrText xml:space="preserve"> PAGEREF _Toc454304736 \h </w:instrText>
        </w:r>
        <w:r w:rsidR="0005540A">
          <w:rPr>
            <w:noProof/>
            <w:webHidden/>
          </w:rPr>
        </w:r>
        <w:r w:rsidR="0005540A">
          <w:rPr>
            <w:noProof/>
            <w:webHidden/>
          </w:rPr>
          <w:fldChar w:fldCharType="separate"/>
        </w:r>
        <w:r w:rsidR="000E22F3">
          <w:rPr>
            <w:noProof/>
            <w:webHidden/>
          </w:rPr>
          <w:t>96</w:t>
        </w:r>
        <w:r w:rsidR="0005540A">
          <w:rPr>
            <w:noProof/>
            <w:webHidden/>
          </w:rPr>
          <w:fldChar w:fldCharType="end"/>
        </w:r>
      </w:hyperlink>
    </w:p>
    <w:p w14:paraId="272BC7FB" w14:textId="4A35123F" w:rsidR="0005540A" w:rsidRDefault="00A87B15">
      <w:pPr>
        <w:pStyle w:val="TOC1"/>
        <w:rPr>
          <w:rFonts w:asciiTheme="minorHAnsi" w:eastAsiaTheme="minorEastAsia" w:hAnsiTheme="minorHAnsi" w:cstheme="minorBidi"/>
          <w:b w:val="0"/>
          <w:bCs w:val="0"/>
          <w:caps w:val="0"/>
          <w:noProof/>
          <w:sz w:val="22"/>
          <w:szCs w:val="22"/>
        </w:rPr>
      </w:pPr>
      <w:hyperlink w:anchor="_Toc454304737" w:history="1">
        <w:r w:rsidR="0005540A" w:rsidRPr="00BD13B3">
          <w:rPr>
            <w:rStyle w:val="Hyperlink"/>
            <w:i/>
            <w:noProof/>
          </w:rPr>
          <w:t>8.</w:t>
        </w:r>
        <w:r w:rsidR="0005540A">
          <w:rPr>
            <w:rFonts w:asciiTheme="minorHAnsi" w:eastAsiaTheme="minorEastAsia" w:hAnsiTheme="minorHAnsi" w:cstheme="minorBidi"/>
            <w:b w:val="0"/>
            <w:bCs w:val="0"/>
            <w:caps w:val="0"/>
            <w:noProof/>
            <w:sz w:val="22"/>
            <w:szCs w:val="22"/>
          </w:rPr>
          <w:tab/>
        </w:r>
        <w:r w:rsidR="0005540A" w:rsidRPr="00BD13B3">
          <w:rPr>
            <w:rStyle w:val="Hyperlink"/>
            <w:i/>
            <w:noProof/>
          </w:rPr>
          <w:t>References</w:t>
        </w:r>
        <w:r w:rsidR="0005540A">
          <w:rPr>
            <w:noProof/>
            <w:webHidden/>
          </w:rPr>
          <w:tab/>
        </w:r>
        <w:r w:rsidR="0005540A">
          <w:rPr>
            <w:noProof/>
            <w:webHidden/>
          </w:rPr>
          <w:fldChar w:fldCharType="begin"/>
        </w:r>
        <w:r w:rsidR="0005540A">
          <w:rPr>
            <w:noProof/>
            <w:webHidden/>
          </w:rPr>
          <w:instrText xml:space="preserve"> PAGEREF _Toc454304737 \h </w:instrText>
        </w:r>
        <w:r w:rsidR="0005540A">
          <w:rPr>
            <w:noProof/>
            <w:webHidden/>
          </w:rPr>
        </w:r>
        <w:r w:rsidR="0005540A">
          <w:rPr>
            <w:noProof/>
            <w:webHidden/>
          </w:rPr>
          <w:fldChar w:fldCharType="separate"/>
        </w:r>
        <w:r w:rsidR="000E22F3">
          <w:rPr>
            <w:noProof/>
            <w:webHidden/>
          </w:rPr>
          <w:t>98</w:t>
        </w:r>
        <w:r w:rsidR="0005540A">
          <w:rPr>
            <w:noProof/>
            <w:webHidden/>
          </w:rPr>
          <w:fldChar w:fldCharType="end"/>
        </w:r>
      </w:hyperlink>
    </w:p>
    <w:p w14:paraId="02180EB3" w14:textId="51744F99" w:rsidR="002D1F86" w:rsidRDefault="001C068B" w:rsidP="007557A2">
      <w:pPr>
        <w:pStyle w:val="Heading1"/>
      </w:pPr>
      <w:r>
        <w:rPr>
          <w:rFonts w:asciiTheme="majorHAnsi" w:hAnsiTheme="majorHAnsi"/>
          <w:sz w:val="24"/>
          <w:szCs w:val="20"/>
        </w:rPr>
        <w:lastRenderedPageBreak/>
        <w:fldChar w:fldCharType="end"/>
      </w:r>
      <w:bookmarkStart w:id="3" w:name="_Toc454304685"/>
      <w:r w:rsidR="007557A2">
        <w:t>L</w:t>
      </w:r>
      <w:r w:rsidR="002D1F86">
        <w:t>IST OF FIGURES</w:t>
      </w:r>
      <w:bookmarkEnd w:id="3"/>
    </w:p>
    <w:p w14:paraId="2860542A" w14:textId="363404AF" w:rsidR="00634360" w:rsidRDefault="005935D5">
      <w:pPr>
        <w:pStyle w:val="TableofFigures"/>
        <w:tabs>
          <w:tab w:val="right" w:leader="dot" w:pos="9563"/>
        </w:tabs>
        <w:rPr>
          <w:rFonts w:eastAsiaTheme="minorEastAsia" w:cstheme="minorBidi"/>
          <w:noProof/>
        </w:rPr>
      </w:pPr>
      <w:r>
        <w:rPr>
          <w:b/>
          <w:sz w:val="28"/>
          <w:szCs w:val="28"/>
        </w:rPr>
        <w:fldChar w:fldCharType="begin"/>
      </w:r>
      <w:r w:rsidR="002D1F86">
        <w:rPr>
          <w:b/>
          <w:sz w:val="28"/>
          <w:szCs w:val="28"/>
        </w:rPr>
        <w:instrText xml:space="preserve"> TOC \h \z \c "Figure" </w:instrText>
      </w:r>
      <w:r>
        <w:rPr>
          <w:b/>
          <w:sz w:val="28"/>
          <w:szCs w:val="28"/>
        </w:rPr>
        <w:fldChar w:fldCharType="separate"/>
      </w:r>
      <w:hyperlink w:anchor="_Toc454303897" w:history="1">
        <w:r w:rsidR="00634360" w:rsidRPr="003C29BB">
          <w:rPr>
            <w:rStyle w:val="Hyperlink"/>
            <w:noProof/>
          </w:rPr>
          <w:t>Figure 1</w:t>
        </w:r>
        <w:r w:rsidR="00634360" w:rsidRPr="003C29BB">
          <w:rPr>
            <w:rStyle w:val="Hyperlink"/>
            <w:noProof/>
          </w:rPr>
          <w:noBreakHyphen/>
          <w:t>1: Total suspended solids (TSS) in ton/km</w:t>
        </w:r>
        <w:r w:rsidR="00634360" w:rsidRPr="003C29BB">
          <w:rPr>
            <w:rStyle w:val="Hyperlink"/>
            <w:noProof/>
            <w:vertAlign w:val="superscript"/>
          </w:rPr>
          <w:t>2</w:t>
        </w:r>
        <w:r w:rsidR="00634360" w:rsidRPr="003C29BB">
          <w:rPr>
            <w:rStyle w:val="Hyperlink"/>
            <w:noProof/>
          </w:rPr>
          <w:t xml:space="preserve"> over the GBR lagoon due to the passage of ex-TC Ita. Contour line indicates TSS equals to 50 ton/km</w:t>
        </w:r>
        <w:r w:rsidR="00634360" w:rsidRPr="003C29BB">
          <w:rPr>
            <w:rStyle w:val="Hyperlink"/>
            <w:noProof/>
            <w:vertAlign w:val="superscript"/>
          </w:rPr>
          <w:t>2</w:t>
        </w:r>
        <w:r w:rsidR="00634360" w:rsidRPr="003C29BB">
          <w:rPr>
            <w:rStyle w:val="Hyperlink"/>
            <w:noProof/>
          </w:rPr>
          <w:t xml:space="preserve"> (as a point of reference only).</w:t>
        </w:r>
        <w:r w:rsidR="00634360">
          <w:rPr>
            <w:noProof/>
            <w:webHidden/>
          </w:rPr>
          <w:tab/>
        </w:r>
        <w:r w:rsidR="00634360">
          <w:rPr>
            <w:noProof/>
            <w:webHidden/>
          </w:rPr>
          <w:fldChar w:fldCharType="begin"/>
        </w:r>
        <w:r w:rsidR="00634360">
          <w:rPr>
            <w:noProof/>
            <w:webHidden/>
          </w:rPr>
          <w:instrText xml:space="preserve"> PAGEREF _Toc454303897 \h </w:instrText>
        </w:r>
        <w:r w:rsidR="00634360">
          <w:rPr>
            <w:noProof/>
            <w:webHidden/>
          </w:rPr>
        </w:r>
        <w:r w:rsidR="00634360">
          <w:rPr>
            <w:noProof/>
            <w:webHidden/>
          </w:rPr>
          <w:fldChar w:fldCharType="separate"/>
        </w:r>
        <w:r w:rsidR="000E22F3">
          <w:rPr>
            <w:noProof/>
            <w:webHidden/>
          </w:rPr>
          <w:t>17</w:t>
        </w:r>
        <w:r w:rsidR="00634360">
          <w:rPr>
            <w:noProof/>
            <w:webHidden/>
          </w:rPr>
          <w:fldChar w:fldCharType="end"/>
        </w:r>
      </w:hyperlink>
    </w:p>
    <w:p w14:paraId="12899339" w14:textId="369B42CD" w:rsidR="00634360" w:rsidRDefault="00A87B15">
      <w:pPr>
        <w:pStyle w:val="TableofFigures"/>
        <w:tabs>
          <w:tab w:val="right" w:leader="dot" w:pos="9563"/>
        </w:tabs>
        <w:rPr>
          <w:rFonts w:eastAsiaTheme="minorEastAsia" w:cstheme="minorBidi"/>
          <w:noProof/>
        </w:rPr>
      </w:pPr>
      <w:hyperlink w:anchor="_Toc454303898" w:history="1">
        <w:r w:rsidR="00634360" w:rsidRPr="003C29BB">
          <w:rPr>
            <w:rStyle w:val="Hyperlink"/>
            <w:noProof/>
          </w:rPr>
          <w:t>Figure 1</w:t>
        </w:r>
        <w:r w:rsidR="00634360" w:rsidRPr="003C29BB">
          <w:rPr>
            <w:rStyle w:val="Hyperlink"/>
            <w:noProof/>
          </w:rPr>
          <w:noBreakHyphen/>
          <w:t>2: Risk matrix in function of the magnitude and the likelihood of the river plume risk. Risk categories (I, II, III, IV, V); modified from Petus et al. (2014b).</w:t>
        </w:r>
        <w:r w:rsidR="00634360">
          <w:rPr>
            <w:noProof/>
            <w:webHidden/>
          </w:rPr>
          <w:tab/>
        </w:r>
        <w:r w:rsidR="00634360">
          <w:rPr>
            <w:noProof/>
            <w:webHidden/>
          </w:rPr>
          <w:fldChar w:fldCharType="begin"/>
        </w:r>
        <w:r w:rsidR="00634360">
          <w:rPr>
            <w:noProof/>
            <w:webHidden/>
          </w:rPr>
          <w:instrText xml:space="preserve"> PAGEREF _Toc454303898 \h </w:instrText>
        </w:r>
        <w:r w:rsidR="00634360">
          <w:rPr>
            <w:noProof/>
            <w:webHidden/>
          </w:rPr>
        </w:r>
        <w:r w:rsidR="00634360">
          <w:rPr>
            <w:noProof/>
            <w:webHidden/>
          </w:rPr>
          <w:fldChar w:fldCharType="separate"/>
        </w:r>
        <w:r w:rsidR="000E22F3">
          <w:rPr>
            <w:noProof/>
            <w:webHidden/>
          </w:rPr>
          <w:t>20</w:t>
        </w:r>
        <w:r w:rsidR="00634360">
          <w:rPr>
            <w:noProof/>
            <w:webHidden/>
          </w:rPr>
          <w:fldChar w:fldCharType="end"/>
        </w:r>
      </w:hyperlink>
    </w:p>
    <w:p w14:paraId="42E19B84" w14:textId="2F33EAFF" w:rsidR="00634360" w:rsidRDefault="00A87B15">
      <w:pPr>
        <w:pStyle w:val="TableofFigures"/>
        <w:tabs>
          <w:tab w:val="right" w:leader="dot" w:pos="9563"/>
        </w:tabs>
        <w:rPr>
          <w:rFonts w:eastAsiaTheme="minorEastAsia" w:cstheme="minorBidi"/>
          <w:noProof/>
        </w:rPr>
      </w:pPr>
      <w:hyperlink w:anchor="_Toc454303899" w:history="1">
        <w:r w:rsidR="00634360" w:rsidRPr="003C29BB">
          <w:rPr>
            <w:rStyle w:val="Hyperlink"/>
            <w:noProof/>
          </w:rPr>
          <w:t>Figure 2</w:t>
        </w:r>
        <w:r w:rsidR="00634360" w:rsidRPr="003C29BB">
          <w:rPr>
            <w:rStyle w:val="Hyperlink"/>
            <w:noProof/>
          </w:rPr>
          <w:noBreakHyphen/>
          <w:t xml:space="preserve">1: </w:t>
        </w:r>
        <w:r w:rsidR="00634360" w:rsidRPr="003C29BB">
          <w:rPr>
            <w:rStyle w:val="Hyperlink"/>
            <w:rFonts w:eastAsia="Calibri"/>
            <w:noProof/>
          </w:rPr>
          <w:t>The Great Barrier Reef Marine Park (light grey, Queensland, Australia), major marine ecosystems (coral reefs and seagrass beds), Natural Resource Management regions and marine portions (delineated by dark grey lines) of the NRM regions and major rivers.</w:t>
        </w:r>
        <w:r w:rsidR="00634360">
          <w:rPr>
            <w:noProof/>
            <w:webHidden/>
          </w:rPr>
          <w:tab/>
        </w:r>
        <w:r w:rsidR="00634360">
          <w:rPr>
            <w:noProof/>
            <w:webHidden/>
          </w:rPr>
          <w:fldChar w:fldCharType="begin"/>
        </w:r>
        <w:r w:rsidR="00634360">
          <w:rPr>
            <w:noProof/>
            <w:webHidden/>
          </w:rPr>
          <w:instrText xml:space="preserve"> PAGEREF _Toc454303899 \h </w:instrText>
        </w:r>
        <w:r w:rsidR="00634360">
          <w:rPr>
            <w:noProof/>
            <w:webHidden/>
          </w:rPr>
        </w:r>
        <w:r w:rsidR="00634360">
          <w:rPr>
            <w:noProof/>
            <w:webHidden/>
          </w:rPr>
          <w:fldChar w:fldCharType="separate"/>
        </w:r>
        <w:r w:rsidR="000E22F3">
          <w:rPr>
            <w:noProof/>
            <w:webHidden/>
          </w:rPr>
          <w:t>25</w:t>
        </w:r>
        <w:r w:rsidR="00634360">
          <w:rPr>
            <w:noProof/>
            <w:webHidden/>
          </w:rPr>
          <w:fldChar w:fldCharType="end"/>
        </w:r>
      </w:hyperlink>
    </w:p>
    <w:p w14:paraId="6417FE6D" w14:textId="05FBD8C3" w:rsidR="00634360" w:rsidRDefault="00A87B15">
      <w:pPr>
        <w:pStyle w:val="TableofFigures"/>
        <w:tabs>
          <w:tab w:val="right" w:leader="dot" w:pos="9563"/>
        </w:tabs>
        <w:rPr>
          <w:rFonts w:eastAsiaTheme="minorEastAsia" w:cstheme="minorBidi"/>
          <w:noProof/>
        </w:rPr>
      </w:pPr>
      <w:hyperlink w:anchor="_Toc454303900" w:history="1">
        <w:r w:rsidR="00634360" w:rsidRPr="003C29BB">
          <w:rPr>
            <w:rStyle w:val="Hyperlink"/>
            <w:noProof/>
          </w:rPr>
          <w:t>Figure 3</w:t>
        </w:r>
        <w:r w:rsidR="00634360" w:rsidRPr="003C29BB">
          <w:rPr>
            <w:rStyle w:val="Hyperlink"/>
            <w:noProof/>
          </w:rPr>
          <w:noBreakHyphen/>
          <w:t xml:space="preserve">1: Long-term total hydrological year discharge (c.a., Oct-1 to Sep-30) for the main GBR Rivers (Source: DNRM, </w:t>
        </w:r>
        <w:r w:rsidR="00634360" w:rsidRPr="003C29BB">
          <w:rPr>
            <w:rStyle w:val="Hyperlink"/>
            <w:rFonts w:cs="Arial"/>
            <w:noProof/>
          </w:rPr>
          <w:t>http://watermonitoring.dnrm.qld.gov.au/host.htm</w:t>
        </w:r>
        <w:r w:rsidR="00634360" w:rsidRPr="003C29BB">
          <w:rPr>
            <w:rStyle w:val="Hyperlink"/>
            <w:noProof/>
          </w:rPr>
          <w:t>).</w:t>
        </w:r>
        <w:r w:rsidR="00634360">
          <w:rPr>
            <w:noProof/>
            <w:webHidden/>
          </w:rPr>
          <w:tab/>
        </w:r>
        <w:r w:rsidR="00634360">
          <w:rPr>
            <w:noProof/>
            <w:webHidden/>
          </w:rPr>
          <w:fldChar w:fldCharType="begin"/>
        </w:r>
        <w:r w:rsidR="00634360">
          <w:rPr>
            <w:noProof/>
            <w:webHidden/>
          </w:rPr>
          <w:instrText xml:space="preserve"> PAGEREF _Toc454303900 \h </w:instrText>
        </w:r>
        <w:r w:rsidR="00634360">
          <w:rPr>
            <w:noProof/>
            <w:webHidden/>
          </w:rPr>
        </w:r>
        <w:r w:rsidR="00634360">
          <w:rPr>
            <w:noProof/>
            <w:webHidden/>
          </w:rPr>
          <w:fldChar w:fldCharType="separate"/>
        </w:r>
        <w:r w:rsidR="000E22F3">
          <w:rPr>
            <w:noProof/>
            <w:webHidden/>
          </w:rPr>
          <w:t>28</w:t>
        </w:r>
        <w:r w:rsidR="00634360">
          <w:rPr>
            <w:noProof/>
            <w:webHidden/>
          </w:rPr>
          <w:fldChar w:fldCharType="end"/>
        </w:r>
      </w:hyperlink>
    </w:p>
    <w:p w14:paraId="078895E2" w14:textId="7A87D4FE" w:rsidR="00634360" w:rsidRDefault="00A87B15">
      <w:pPr>
        <w:pStyle w:val="TableofFigures"/>
        <w:tabs>
          <w:tab w:val="right" w:leader="dot" w:pos="9563"/>
        </w:tabs>
        <w:rPr>
          <w:rFonts w:eastAsiaTheme="minorEastAsia" w:cstheme="minorBidi"/>
          <w:noProof/>
        </w:rPr>
      </w:pPr>
      <w:hyperlink w:anchor="_Toc454303901" w:history="1">
        <w:r w:rsidR="00634360" w:rsidRPr="003C29BB">
          <w:rPr>
            <w:rStyle w:val="Hyperlink"/>
            <w:noProof/>
          </w:rPr>
          <w:t>Figure 3</w:t>
        </w:r>
        <w:r w:rsidR="00634360" w:rsidRPr="003C29BB">
          <w:rPr>
            <w:rStyle w:val="Hyperlink"/>
            <w:noProof/>
          </w:rPr>
          <w:noBreakHyphen/>
          <w:t>2: a) NASA’s Aqua true colour satellite images of Ex-tropical Cyclone Ita (11 April 2014). NASA image courtesy Jeff Schmaltz, LANCE/EOSDIS MODIS Rapid Response Team at NASA GSFC.  b) Tropical Rainfall Measuring Mission satellite (TRMM) satellite rainfall map covers Tropical Cyclone Ita's track from 1 to 14 April 2014. Highest isolated rainfall was estimated around 400 mm/15.7 inches west of both Ingham and Townsville, Queensland. Ita's locations at 0600 UTC are shown overlaid in white. Image Credit: SSAI/NASA/JAXA, Hal Pierce.</w:t>
        </w:r>
        <w:r w:rsidR="00634360">
          <w:rPr>
            <w:noProof/>
            <w:webHidden/>
          </w:rPr>
          <w:tab/>
        </w:r>
        <w:r w:rsidR="00634360">
          <w:rPr>
            <w:noProof/>
            <w:webHidden/>
          </w:rPr>
          <w:fldChar w:fldCharType="begin"/>
        </w:r>
        <w:r w:rsidR="00634360">
          <w:rPr>
            <w:noProof/>
            <w:webHidden/>
          </w:rPr>
          <w:instrText xml:space="preserve"> PAGEREF _Toc454303901 \h </w:instrText>
        </w:r>
        <w:r w:rsidR="00634360">
          <w:rPr>
            <w:noProof/>
            <w:webHidden/>
          </w:rPr>
        </w:r>
        <w:r w:rsidR="00634360">
          <w:rPr>
            <w:noProof/>
            <w:webHidden/>
          </w:rPr>
          <w:fldChar w:fldCharType="separate"/>
        </w:r>
        <w:r w:rsidR="000E22F3">
          <w:rPr>
            <w:noProof/>
            <w:webHidden/>
          </w:rPr>
          <w:t>31</w:t>
        </w:r>
        <w:r w:rsidR="00634360">
          <w:rPr>
            <w:noProof/>
            <w:webHidden/>
          </w:rPr>
          <w:fldChar w:fldCharType="end"/>
        </w:r>
      </w:hyperlink>
    </w:p>
    <w:p w14:paraId="1DEAC35D" w14:textId="3877A69A" w:rsidR="00634360" w:rsidRDefault="00A87B15">
      <w:pPr>
        <w:pStyle w:val="TableofFigures"/>
        <w:tabs>
          <w:tab w:val="right" w:leader="dot" w:pos="9563"/>
        </w:tabs>
        <w:rPr>
          <w:rFonts w:eastAsiaTheme="minorEastAsia" w:cstheme="minorBidi"/>
          <w:noProof/>
        </w:rPr>
      </w:pPr>
      <w:hyperlink w:anchor="_Toc454303902" w:history="1">
        <w:r w:rsidR="00634360" w:rsidRPr="003C29BB">
          <w:rPr>
            <w:rStyle w:val="Hyperlink"/>
            <w:noProof/>
          </w:rPr>
          <w:t>Figure 3</w:t>
        </w:r>
        <w:r w:rsidR="00634360" w:rsidRPr="003C29BB">
          <w:rPr>
            <w:rStyle w:val="Hyperlink"/>
            <w:noProof/>
          </w:rPr>
          <w:noBreakHyphen/>
          <w:t>3: NASA’s Aqua true colour satellite images of flooded coastal waters following Ex-tropical Cyclone Ita (14 April 2014).</w:t>
        </w:r>
        <w:r w:rsidR="00634360">
          <w:rPr>
            <w:noProof/>
            <w:webHidden/>
          </w:rPr>
          <w:tab/>
        </w:r>
        <w:r w:rsidR="00634360">
          <w:rPr>
            <w:noProof/>
            <w:webHidden/>
          </w:rPr>
          <w:fldChar w:fldCharType="begin"/>
        </w:r>
        <w:r w:rsidR="00634360">
          <w:rPr>
            <w:noProof/>
            <w:webHidden/>
          </w:rPr>
          <w:instrText xml:space="preserve"> PAGEREF _Toc454303902 \h </w:instrText>
        </w:r>
        <w:r w:rsidR="00634360">
          <w:rPr>
            <w:noProof/>
            <w:webHidden/>
          </w:rPr>
        </w:r>
        <w:r w:rsidR="00634360">
          <w:rPr>
            <w:noProof/>
            <w:webHidden/>
          </w:rPr>
          <w:fldChar w:fldCharType="separate"/>
        </w:r>
        <w:r w:rsidR="000E22F3">
          <w:rPr>
            <w:noProof/>
            <w:webHidden/>
          </w:rPr>
          <w:t>32</w:t>
        </w:r>
        <w:r w:rsidR="00634360">
          <w:rPr>
            <w:noProof/>
            <w:webHidden/>
          </w:rPr>
          <w:fldChar w:fldCharType="end"/>
        </w:r>
      </w:hyperlink>
    </w:p>
    <w:p w14:paraId="52558C78" w14:textId="5363AE7D" w:rsidR="00634360" w:rsidRDefault="00A87B15">
      <w:pPr>
        <w:pStyle w:val="TableofFigures"/>
        <w:tabs>
          <w:tab w:val="right" w:leader="dot" w:pos="9563"/>
        </w:tabs>
        <w:rPr>
          <w:rFonts w:eastAsiaTheme="minorEastAsia" w:cstheme="minorBidi"/>
          <w:noProof/>
        </w:rPr>
      </w:pPr>
      <w:hyperlink w:anchor="_Toc454303903" w:history="1">
        <w:r w:rsidR="00634360" w:rsidRPr="003C29BB">
          <w:rPr>
            <w:rStyle w:val="Hyperlink"/>
            <w:noProof/>
          </w:rPr>
          <w:t>Figure 3</w:t>
        </w:r>
        <w:r w:rsidR="00634360" w:rsidRPr="003C29BB">
          <w:rPr>
            <w:rStyle w:val="Hyperlink"/>
            <w:noProof/>
          </w:rPr>
          <w:noBreakHyphen/>
          <w:t>4: Digitised River plumes along the Wet Tropic coastline (Daintree River to Herbert River) in 14 April 2014. Primary (sediment-dominated waters), Secondary (productive waters) and Tertiary (offshore) plume waters are indicated in orange, green and yellow, respectively.</w:t>
        </w:r>
        <w:r w:rsidR="00634360">
          <w:rPr>
            <w:noProof/>
            <w:webHidden/>
          </w:rPr>
          <w:tab/>
        </w:r>
        <w:r w:rsidR="00634360">
          <w:rPr>
            <w:noProof/>
            <w:webHidden/>
          </w:rPr>
          <w:fldChar w:fldCharType="begin"/>
        </w:r>
        <w:r w:rsidR="00634360">
          <w:rPr>
            <w:noProof/>
            <w:webHidden/>
          </w:rPr>
          <w:instrText xml:space="preserve"> PAGEREF _Toc454303903 \h </w:instrText>
        </w:r>
        <w:r w:rsidR="00634360">
          <w:rPr>
            <w:noProof/>
            <w:webHidden/>
          </w:rPr>
        </w:r>
        <w:r w:rsidR="00634360">
          <w:rPr>
            <w:noProof/>
            <w:webHidden/>
          </w:rPr>
          <w:fldChar w:fldCharType="separate"/>
        </w:r>
        <w:r w:rsidR="000E22F3">
          <w:rPr>
            <w:noProof/>
            <w:webHidden/>
          </w:rPr>
          <w:t>33</w:t>
        </w:r>
        <w:r w:rsidR="00634360">
          <w:rPr>
            <w:noProof/>
            <w:webHidden/>
          </w:rPr>
          <w:fldChar w:fldCharType="end"/>
        </w:r>
      </w:hyperlink>
    </w:p>
    <w:p w14:paraId="36FAAE96" w14:textId="0C6F197F" w:rsidR="00634360" w:rsidRDefault="00A87B15">
      <w:pPr>
        <w:pStyle w:val="TableofFigures"/>
        <w:tabs>
          <w:tab w:val="right" w:leader="dot" w:pos="9563"/>
        </w:tabs>
        <w:rPr>
          <w:rFonts w:eastAsiaTheme="minorEastAsia" w:cstheme="minorBidi"/>
          <w:noProof/>
        </w:rPr>
      </w:pPr>
      <w:hyperlink w:anchor="_Toc454303904" w:history="1">
        <w:r w:rsidR="00634360" w:rsidRPr="003C29BB">
          <w:rPr>
            <w:rStyle w:val="Hyperlink"/>
            <w:noProof/>
          </w:rPr>
          <w:t>Figure 3</w:t>
        </w:r>
        <w:r w:rsidR="00634360" w:rsidRPr="003C29BB">
          <w:rPr>
            <w:rStyle w:val="Hyperlink"/>
            <w:noProof/>
          </w:rPr>
          <w:noBreakHyphen/>
          <w:t>5: NASA’s Aqua true colour satellite images of flooded coastal waters in the Tully-Herbert region following Tropical Cyclone Ita (14 and 15 April 2014).</w:t>
        </w:r>
        <w:r w:rsidR="00634360">
          <w:rPr>
            <w:noProof/>
            <w:webHidden/>
          </w:rPr>
          <w:tab/>
        </w:r>
        <w:r w:rsidR="00634360">
          <w:rPr>
            <w:noProof/>
            <w:webHidden/>
          </w:rPr>
          <w:fldChar w:fldCharType="begin"/>
        </w:r>
        <w:r w:rsidR="00634360">
          <w:rPr>
            <w:noProof/>
            <w:webHidden/>
          </w:rPr>
          <w:instrText xml:space="preserve"> PAGEREF _Toc454303904 \h </w:instrText>
        </w:r>
        <w:r w:rsidR="00634360">
          <w:rPr>
            <w:noProof/>
            <w:webHidden/>
          </w:rPr>
        </w:r>
        <w:r w:rsidR="00634360">
          <w:rPr>
            <w:noProof/>
            <w:webHidden/>
          </w:rPr>
          <w:fldChar w:fldCharType="separate"/>
        </w:r>
        <w:r w:rsidR="000E22F3">
          <w:rPr>
            <w:noProof/>
            <w:webHidden/>
          </w:rPr>
          <w:t>33</w:t>
        </w:r>
        <w:r w:rsidR="00634360">
          <w:rPr>
            <w:noProof/>
            <w:webHidden/>
          </w:rPr>
          <w:fldChar w:fldCharType="end"/>
        </w:r>
      </w:hyperlink>
    </w:p>
    <w:p w14:paraId="4A0885E9" w14:textId="1D8CACA5" w:rsidR="00634360" w:rsidRDefault="00A87B15">
      <w:pPr>
        <w:pStyle w:val="TableofFigures"/>
        <w:tabs>
          <w:tab w:val="right" w:leader="dot" w:pos="9563"/>
        </w:tabs>
        <w:rPr>
          <w:rFonts w:eastAsiaTheme="minorEastAsia" w:cstheme="minorBidi"/>
          <w:noProof/>
        </w:rPr>
      </w:pPr>
      <w:hyperlink w:anchor="_Toc454303905" w:history="1">
        <w:r w:rsidR="00634360" w:rsidRPr="003C29BB">
          <w:rPr>
            <w:rStyle w:val="Hyperlink"/>
            <w:noProof/>
          </w:rPr>
          <w:t>Figure 3</w:t>
        </w:r>
        <w:r w:rsidR="00634360" w:rsidRPr="003C29BB">
          <w:rPr>
            <w:rStyle w:val="Hyperlink"/>
            <w:noProof/>
          </w:rPr>
          <w:noBreakHyphen/>
          <w:t>6: NASA’s Aqua true colour satellite images of Queensland coastal waters on 20 April 2014.</w:t>
        </w:r>
        <w:r w:rsidR="00634360">
          <w:rPr>
            <w:noProof/>
            <w:webHidden/>
          </w:rPr>
          <w:tab/>
        </w:r>
        <w:r w:rsidR="00634360">
          <w:rPr>
            <w:noProof/>
            <w:webHidden/>
          </w:rPr>
          <w:fldChar w:fldCharType="begin"/>
        </w:r>
        <w:r w:rsidR="00634360">
          <w:rPr>
            <w:noProof/>
            <w:webHidden/>
          </w:rPr>
          <w:instrText xml:space="preserve"> PAGEREF _Toc454303905 \h </w:instrText>
        </w:r>
        <w:r w:rsidR="00634360">
          <w:rPr>
            <w:noProof/>
            <w:webHidden/>
          </w:rPr>
        </w:r>
        <w:r w:rsidR="00634360">
          <w:rPr>
            <w:noProof/>
            <w:webHidden/>
          </w:rPr>
          <w:fldChar w:fldCharType="separate"/>
        </w:r>
        <w:r w:rsidR="000E22F3">
          <w:rPr>
            <w:noProof/>
            <w:webHidden/>
          </w:rPr>
          <w:t>34</w:t>
        </w:r>
        <w:r w:rsidR="00634360">
          <w:rPr>
            <w:noProof/>
            <w:webHidden/>
          </w:rPr>
          <w:fldChar w:fldCharType="end"/>
        </w:r>
      </w:hyperlink>
    </w:p>
    <w:p w14:paraId="4406182E" w14:textId="6C37F2AA" w:rsidR="00634360" w:rsidRDefault="00A87B15">
      <w:pPr>
        <w:pStyle w:val="TableofFigures"/>
        <w:tabs>
          <w:tab w:val="right" w:leader="dot" w:pos="9563"/>
        </w:tabs>
        <w:rPr>
          <w:rFonts w:eastAsiaTheme="minorEastAsia" w:cstheme="minorBidi"/>
          <w:noProof/>
        </w:rPr>
      </w:pPr>
      <w:hyperlink w:anchor="_Toc454303906" w:history="1">
        <w:r w:rsidR="00634360" w:rsidRPr="003C29BB">
          <w:rPr>
            <w:rStyle w:val="Hyperlink"/>
            <w:noProof/>
          </w:rPr>
          <w:t>Figure 4</w:t>
        </w:r>
        <w:r w:rsidR="00634360" w:rsidRPr="003C29BB">
          <w:rPr>
            <w:rStyle w:val="Hyperlink"/>
            <w:noProof/>
          </w:rPr>
          <w:noBreakHyphen/>
          <w:t>1: Location of the Marine Monitoring Sites sampled in the 2013-2014 wet season under the MMP terrestrial discharge program. Site locations for the three regions (Russell-Mulgrave, Tully and Herbert) are identified by colours (see legend).</w:t>
        </w:r>
        <w:r w:rsidR="00634360">
          <w:rPr>
            <w:noProof/>
            <w:webHidden/>
          </w:rPr>
          <w:tab/>
        </w:r>
        <w:r w:rsidR="00634360">
          <w:rPr>
            <w:noProof/>
            <w:webHidden/>
          </w:rPr>
          <w:fldChar w:fldCharType="begin"/>
        </w:r>
        <w:r w:rsidR="00634360">
          <w:rPr>
            <w:noProof/>
            <w:webHidden/>
          </w:rPr>
          <w:instrText xml:space="preserve"> PAGEREF _Toc454303906 \h </w:instrText>
        </w:r>
        <w:r w:rsidR="00634360">
          <w:rPr>
            <w:noProof/>
            <w:webHidden/>
          </w:rPr>
        </w:r>
        <w:r w:rsidR="00634360">
          <w:rPr>
            <w:noProof/>
            <w:webHidden/>
          </w:rPr>
          <w:fldChar w:fldCharType="separate"/>
        </w:r>
        <w:r w:rsidR="000E22F3">
          <w:rPr>
            <w:noProof/>
            <w:webHidden/>
          </w:rPr>
          <w:t>36</w:t>
        </w:r>
        <w:r w:rsidR="00634360">
          <w:rPr>
            <w:noProof/>
            <w:webHidden/>
          </w:rPr>
          <w:fldChar w:fldCharType="end"/>
        </w:r>
      </w:hyperlink>
    </w:p>
    <w:p w14:paraId="38DA8310" w14:textId="0012190E" w:rsidR="00634360" w:rsidRDefault="00A87B15">
      <w:pPr>
        <w:pStyle w:val="TableofFigures"/>
        <w:tabs>
          <w:tab w:val="right" w:leader="dot" w:pos="9563"/>
        </w:tabs>
        <w:rPr>
          <w:rFonts w:eastAsiaTheme="minorEastAsia" w:cstheme="minorBidi"/>
          <w:noProof/>
        </w:rPr>
      </w:pPr>
      <w:hyperlink w:anchor="_Toc454303907" w:history="1">
        <w:r w:rsidR="00634360" w:rsidRPr="003C29BB">
          <w:rPr>
            <w:rStyle w:val="Hyperlink"/>
            <w:noProof/>
          </w:rPr>
          <w:t>Figure 4</w:t>
        </w:r>
        <w:r w:rsidR="00634360" w:rsidRPr="003C29BB">
          <w:rPr>
            <w:rStyle w:val="Hyperlink"/>
            <w:noProof/>
          </w:rPr>
          <w:noBreakHyphen/>
          <w:t xml:space="preserve">2: Total daily discharge (megalitres/day) for the (a) Normanby, (b) Russell-Mulgrave, (c) Tully and (d) Herbert rivers for the 2013-2014 wet season (Source: DNRM, </w:t>
        </w:r>
        <w:r w:rsidR="00634360" w:rsidRPr="003C29BB">
          <w:rPr>
            <w:rStyle w:val="Hyperlink"/>
            <w:rFonts w:cs="Arial"/>
            <w:noProof/>
          </w:rPr>
          <w:t>http://watermonitoring.dnrm.qld.gov.au/host.htm</w:t>
        </w:r>
        <w:r w:rsidR="00634360" w:rsidRPr="003C29BB">
          <w:rPr>
            <w:rStyle w:val="Hyperlink"/>
            <w:noProof/>
          </w:rPr>
          <w:t>). Dots indicate the sampling dates, and lines indicate the deployment period for the pesticides passive samplers at the Tully River (different colours for each deployment period). Over the second passive sampler deployment (green line), an ‘event’ deployment (blue line, short duration) took place to register the first after highest peak discharge in the wet season.</w:t>
        </w:r>
        <w:r w:rsidR="00634360">
          <w:rPr>
            <w:noProof/>
            <w:webHidden/>
          </w:rPr>
          <w:tab/>
        </w:r>
        <w:r w:rsidR="00634360">
          <w:rPr>
            <w:noProof/>
            <w:webHidden/>
          </w:rPr>
          <w:fldChar w:fldCharType="begin"/>
        </w:r>
        <w:r w:rsidR="00634360">
          <w:rPr>
            <w:noProof/>
            <w:webHidden/>
          </w:rPr>
          <w:instrText xml:space="preserve"> PAGEREF _Toc454303907 \h </w:instrText>
        </w:r>
        <w:r w:rsidR="00634360">
          <w:rPr>
            <w:noProof/>
            <w:webHidden/>
          </w:rPr>
        </w:r>
        <w:r w:rsidR="00634360">
          <w:rPr>
            <w:noProof/>
            <w:webHidden/>
          </w:rPr>
          <w:fldChar w:fldCharType="separate"/>
        </w:r>
        <w:r w:rsidR="000E22F3">
          <w:rPr>
            <w:noProof/>
            <w:webHidden/>
          </w:rPr>
          <w:t>37</w:t>
        </w:r>
        <w:r w:rsidR="00634360">
          <w:rPr>
            <w:noProof/>
            <w:webHidden/>
          </w:rPr>
          <w:fldChar w:fldCharType="end"/>
        </w:r>
      </w:hyperlink>
    </w:p>
    <w:p w14:paraId="31E2DB4C" w14:textId="3230519A" w:rsidR="00634360" w:rsidRDefault="00A87B15">
      <w:pPr>
        <w:pStyle w:val="TableofFigures"/>
        <w:tabs>
          <w:tab w:val="right" w:leader="dot" w:pos="9563"/>
        </w:tabs>
        <w:rPr>
          <w:rFonts w:eastAsiaTheme="minorEastAsia" w:cstheme="minorBidi"/>
          <w:noProof/>
        </w:rPr>
      </w:pPr>
      <w:hyperlink w:anchor="_Toc454303908" w:history="1">
        <w:r w:rsidR="00634360" w:rsidRPr="003C29BB">
          <w:rPr>
            <w:rStyle w:val="Hyperlink"/>
            <w:noProof/>
          </w:rPr>
          <w:t>Figure 4</w:t>
        </w:r>
        <w:r w:rsidR="00634360" w:rsidRPr="003C29BB">
          <w:rPr>
            <w:rStyle w:val="Hyperlink"/>
            <w:noProof/>
          </w:rPr>
          <w:noBreakHyphen/>
          <w:t xml:space="preserve">3:  Total annual discharge (ML, megalitres), calculated from 1 November to 30 April 2014, for the (a) Normanby, (b) Russell-Mulgrave, (c) Tully and (d) Herbert rivers from the 2000-2001 to 2013-2014 wet season (Source: DNRM, </w:t>
        </w:r>
        <w:r w:rsidR="00634360" w:rsidRPr="003C29BB">
          <w:rPr>
            <w:rStyle w:val="Hyperlink"/>
            <w:rFonts w:cs="Arial"/>
            <w:noProof/>
          </w:rPr>
          <w:t>http://watermonitoring.dnrm.qld.gov.au/host.htm</w:t>
        </w:r>
        <w:r w:rsidR="00634360" w:rsidRPr="003C29BB">
          <w:rPr>
            <w:rStyle w:val="Hyperlink"/>
            <w:noProof/>
          </w:rPr>
          <w:t>).</w:t>
        </w:r>
        <w:r w:rsidR="00634360">
          <w:rPr>
            <w:noProof/>
            <w:webHidden/>
          </w:rPr>
          <w:tab/>
        </w:r>
        <w:r w:rsidR="00634360">
          <w:rPr>
            <w:noProof/>
            <w:webHidden/>
          </w:rPr>
          <w:fldChar w:fldCharType="begin"/>
        </w:r>
        <w:r w:rsidR="00634360">
          <w:rPr>
            <w:noProof/>
            <w:webHidden/>
          </w:rPr>
          <w:instrText xml:space="preserve"> PAGEREF _Toc454303908 \h </w:instrText>
        </w:r>
        <w:r w:rsidR="00634360">
          <w:rPr>
            <w:noProof/>
            <w:webHidden/>
          </w:rPr>
        </w:r>
        <w:r w:rsidR="00634360">
          <w:rPr>
            <w:noProof/>
            <w:webHidden/>
          </w:rPr>
          <w:fldChar w:fldCharType="separate"/>
        </w:r>
        <w:r w:rsidR="000E22F3">
          <w:rPr>
            <w:noProof/>
            <w:webHidden/>
          </w:rPr>
          <w:t>38</w:t>
        </w:r>
        <w:r w:rsidR="00634360">
          <w:rPr>
            <w:noProof/>
            <w:webHidden/>
          </w:rPr>
          <w:fldChar w:fldCharType="end"/>
        </w:r>
      </w:hyperlink>
    </w:p>
    <w:p w14:paraId="6703CE52" w14:textId="4C28E4F6" w:rsidR="00634360" w:rsidRDefault="00A87B15">
      <w:pPr>
        <w:pStyle w:val="TableofFigures"/>
        <w:tabs>
          <w:tab w:val="right" w:leader="dot" w:pos="9563"/>
        </w:tabs>
        <w:rPr>
          <w:rFonts w:eastAsiaTheme="minorEastAsia" w:cstheme="minorBidi"/>
          <w:noProof/>
        </w:rPr>
      </w:pPr>
      <w:hyperlink w:anchor="_Toc454303909" w:history="1">
        <w:r w:rsidR="00634360" w:rsidRPr="003C29BB">
          <w:rPr>
            <w:rStyle w:val="Hyperlink"/>
            <w:noProof/>
          </w:rPr>
          <w:t>Figure 4</w:t>
        </w:r>
        <w:r w:rsidR="00634360" w:rsidRPr="003C29BB">
          <w:rPr>
            <w:rStyle w:val="Hyperlink"/>
            <w:noProof/>
          </w:rPr>
          <w:noBreakHyphen/>
          <w:t>4:  Relationship between river discharge (ML) and distance (km) between river mouth and the outer edge of tracer plume. Dashed lines stand for CI 95%. Red dot stands for point excluded from the regression model.</w:t>
        </w:r>
        <w:r w:rsidR="00634360">
          <w:rPr>
            <w:noProof/>
            <w:webHidden/>
          </w:rPr>
          <w:tab/>
        </w:r>
        <w:r w:rsidR="00634360">
          <w:rPr>
            <w:noProof/>
            <w:webHidden/>
          </w:rPr>
          <w:fldChar w:fldCharType="begin"/>
        </w:r>
        <w:r w:rsidR="00634360">
          <w:rPr>
            <w:noProof/>
            <w:webHidden/>
          </w:rPr>
          <w:instrText xml:space="preserve"> PAGEREF _Toc454303909 \h </w:instrText>
        </w:r>
        <w:r w:rsidR="00634360">
          <w:rPr>
            <w:noProof/>
            <w:webHidden/>
          </w:rPr>
        </w:r>
        <w:r w:rsidR="00634360">
          <w:rPr>
            <w:noProof/>
            <w:webHidden/>
          </w:rPr>
          <w:fldChar w:fldCharType="separate"/>
        </w:r>
        <w:r w:rsidR="000E22F3">
          <w:rPr>
            <w:noProof/>
            <w:webHidden/>
          </w:rPr>
          <w:t>42</w:t>
        </w:r>
        <w:r w:rsidR="00634360">
          <w:rPr>
            <w:noProof/>
            <w:webHidden/>
          </w:rPr>
          <w:fldChar w:fldCharType="end"/>
        </w:r>
      </w:hyperlink>
    </w:p>
    <w:p w14:paraId="180F0638" w14:textId="785B1ACB" w:rsidR="00634360" w:rsidRDefault="00A87B15">
      <w:pPr>
        <w:pStyle w:val="TableofFigures"/>
        <w:tabs>
          <w:tab w:val="right" w:leader="dot" w:pos="9563"/>
        </w:tabs>
        <w:rPr>
          <w:rFonts w:eastAsiaTheme="minorEastAsia" w:cstheme="minorBidi"/>
          <w:noProof/>
        </w:rPr>
      </w:pPr>
      <w:hyperlink r:id="rId26" w:anchor="_Toc454303910" w:history="1">
        <w:r w:rsidR="00634360" w:rsidRPr="003C29BB">
          <w:rPr>
            <w:rStyle w:val="Hyperlink"/>
            <w:noProof/>
          </w:rPr>
          <w:t>Figure 4</w:t>
        </w:r>
        <w:r w:rsidR="00634360" w:rsidRPr="003C29BB">
          <w:rPr>
            <w:rStyle w:val="Hyperlink"/>
            <w:noProof/>
          </w:rPr>
          <w:noBreakHyphen/>
          <w:t>5a: (i) Sites are colour coded to identify location on maps, (ii) date of sampling relative to river flow over wet season, and (iii) mixing plots for DIN in the Tully and Russell-Mulgrave regions for 2013-14.  Freshwater end were estimated from all samples collected at salinity &lt; 5 in each region.</w:t>
        </w:r>
        <w:r w:rsidR="00634360">
          <w:rPr>
            <w:noProof/>
            <w:webHidden/>
          </w:rPr>
          <w:tab/>
        </w:r>
        <w:r w:rsidR="00634360">
          <w:rPr>
            <w:noProof/>
            <w:webHidden/>
          </w:rPr>
          <w:fldChar w:fldCharType="begin"/>
        </w:r>
        <w:r w:rsidR="00634360">
          <w:rPr>
            <w:noProof/>
            <w:webHidden/>
          </w:rPr>
          <w:instrText xml:space="preserve"> PAGEREF _Toc454303910 \h </w:instrText>
        </w:r>
        <w:r w:rsidR="00634360">
          <w:rPr>
            <w:noProof/>
            <w:webHidden/>
          </w:rPr>
        </w:r>
        <w:r w:rsidR="00634360">
          <w:rPr>
            <w:noProof/>
            <w:webHidden/>
          </w:rPr>
          <w:fldChar w:fldCharType="separate"/>
        </w:r>
        <w:r w:rsidR="000E22F3">
          <w:rPr>
            <w:noProof/>
            <w:webHidden/>
          </w:rPr>
          <w:t>46</w:t>
        </w:r>
        <w:r w:rsidR="00634360">
          <w:rPr>
            <w:noProof/>
            <w:webHidden/>
          </w:rPr>
          <w:fldChar w:fldCharType="end"/>
        </w:r>
      </w:hyperlink>
    </w:p>
    <w:p w14:paraId="136E5170" w14:textId="11FA5764" w:rsidR="00634360" w:rsidRDefault="00A87B15">
      <w:pPr>
        <w:pStyle w:val="TableofFigures"/>
        <w:tabs>
          <w:tab w:val="right" w:leader="dot" w:pos="9563"/>
        </w:tabs>
        <w:rPr>
          <w:rFonts w:eastAsiaTheme="minorEastAsia" w:cstheme="minorBidi"/>
          <w:noProof/>
        </w:rPr>
      </w:pPr>
      <w:hyperlink w:anchor="_Toc454303911" w:history="1">
        <w:r w:rsidR="00634360" w:rsidRPr="003C29BB">
          <w:rPr>
            <w:rStyle w:val="Hyperlink"/>
            <w:noProof/>
          </w:rPr>
          <w:t>Figure 4</w:t>
        </w:r>
        <w:r w:rsidR="00634360" w:rsidRPr="003C29BB">
          <w:rPr>
            <w:rStyle w:val="Hyperlink"/>
            <w:noProof/>
          </w:rPr>
          <w:noBreakHyphen/>
          <w:t xml:space="preserve">6: GAMM analysis for light attenuation coefficient (Kd, /m, left column), coloured dissolved organic matter (CDOM, /m, mid column) and total suspended solids (TSS, mg/L, right column) collected </w:t>
        </w:r>
        <w:r w:rsidR="00634360" w:rsidRPr="003C29BB">
          <w:rPr>
            <w:rStyle w:val="Hyperlink"/>
            <w:noProof/>
          </w:rPr>
          <w:lastRenderedPageBreak/>
          <w:t>from December 2005 to April 2014 (inclusive). First four plots in each column are for the partial effect plots and last pot is the temporal analysis (see text for explanation). Shade area stands for ±1 SE and rubs on x-axis stand for data density.</w:t>
        </w:r>
        <w:r w:rsidR="00634360">
          <w:rPr>
            <w:noProof/>
            <w:webHidden/>
          </w:rPr>
          <w:tab/>
        </w:r>
        <w:r w:rsidR="00634360">
          <w:rPr>
            <w:noProof/>
            <w:webHidden/>
          </w:rPr>
          <w:fldChar w:fldCharType="begin"/>
        </w:r>
        <w:r w:rsidR="00634360">
          <w:rPr>
            <w:noProof/>
            <w:webHidden/>
          </w:rPr>
          <w:instrText xml:space="preserve"> PAGEREF _Toc454303911 \h </w:instrText>
        </w:r>
        <w:r w:rsidR="00634360">
          <w:rPr>
            <w:noProof/>
            <w:webHidden/>
          </w:rPr>
        </w:r>
        <w:r w:rsidR="00634360">
          <w:rPr>
            <w:noProof/>
            <w:webHidden/>
          </w:rPr>
          <w:fldChar w:fldCharType="separate"/>
        </w:r>
        <w:r w:rsidR="000E22F3">
          <w:rPr>
            <w:noProof/>
            <w:webHidden/>
          </w:rPr>
          <w:t>57</w:t>
        </w:r>
        <w:r w:rsidR="00634360">
          <w:rPr>
            <w:noProof/>
            <w:webHidden/>
          </w:rPr>
          <w:fldChar w:fldCharType="end"/>
        </w:r>
      </w:hyperlink>
    </w:p>
    <w:p w14:paraId="0A36E6EB" w14:textId="6B6D5671" w:rsidR="00634360" w:rsidRDefault="00A87B15">
      <w:pPr>
        <w:pStyle w:val="TableofFigures"/>
        <w:tabs>
          <w:tab w:val="right" w:leader="dot" w:pos="9563"/>
        </w:tabs>
        <w:rPr>
          <w:rFonts w:eastAsiaTheme="minorEastAsia" w:cstheme="minorBidi"/>
          <w:noProof/>
        </w:rPr>
      </w:pPr>
      <w:hyperlink w:anchor="_Toc454303912" w:history="1">
        <w:r w:rsidR="00634360" w:rsidRPr="003C29BB">
          <w:rPr>
            <w:rStyle w:val="Hyperlink"/>
            <w:noProof/>
          </w:rPr>
          <w:t>Figure 4</w:t>
        </w:r>
        <w:r w:rsidR="00634360" w:rsidRPr="003C29BB">
          <w:rPr>
            <w:rStyle w:val="Hyperlink"/>
            <w:noProof/>
          </w:rPr>
          <w:noBreakHyphen/>
          <w:t>7: GAMM analysis for chlorophyll-a (Chl-a, µg/L, left column), particulate nitrogen (PN, µM, mid column) and dissolved inorganic nitrogen (DIN, µM, right column) collected from December 2005 to April 2014 (inclusive). First four plots in each column are for the partial effect plots and last pot is the temporal analysis. Shade area stands for ±1 SE and rubs on x-axis stand for data density.</w:t>
        </w:r>
        <w:r w:rsidR="00634360">
          <w:rPr>
            <w:noProof/>
            <w:webHidden/>
          </w:rPr>
          <w:tab/>
        </w:r>
        <w:r w:rsidR="00634360">
          <w:rPr>
            <w:noProof/>
            <w:webHidden/>
          </w:rPr>
          <w:fldChar w:fldCharType="begin"/>
        </w:r>
        <w:r w:rsidR="00634360">
          <w:rPr>
            <w:noProof/>
            <w:webHidden/>
          </w:rPr>
          <w:instrText xml:space="preserve"> PAGEREF _Toc454303912 \h </w:instrText>
        </w:r>
        <w:r w:rsidR="00634360">
          <w:rPr>
            <w:noProof/>
            <w:webHidden/>
          </w:rPr>
        </w:r>
        <w:r w:rsidR="00634360">
          <w:rPr>
            <w:noProof/>
            <w:webHidden/>
          </w:rPr>
          <w:fldChar w:fldCharType="separate"/>
        </w:r>
        <w:r w:rsidR="000E22F3">
          <w:rPr>
            <w:noProof/>
            <w:webHidden/>
          </w:rPr>
          <w:t>58</w:t>
        </w:r>
        <w:r w:rsidR="00634360">
          <w:rPr>
            <w:noProof/>
            <w:webHidden/>
          </w:rPr>
          <w:fldChar w:fldCharType="end"/>
        </w:r>
      </w:hyperlink>
    </w:p>
    <w:p w14:paraId="774585CE" w14:textId="1FEC9DC7" w:rsidR="00634360" w:rsidRDefault="00A87B15">
      <w:pPr>
        <w:pStyle w:val="TableofFigures"/>
        <w:tabs>
          <w:tab w:val="right" w:leader="dot" w:pos="9563"/>
        </w:tabs>
        <w:rPr>
          <w:rFonts w:eastAsiaTheme="minorEastAsia" w:cstheme="minorBidi"/>
          <w:noProof/>
        </w:rPr>
      </w:pPr>
      <w:hyperlink w:anchor="_Toc454303913" w:history="1">
        <w:r w:rsidR="00634360" w:rsidRPr="003C29BB">
          <w:rPr>
            <w:rStyle w:val="Hyperlink"/>
            <w:noProof/>
          </w:rPr>
          <w:t>Figure 4</w:t>
        </w:r>
        <w:r w:rsidR="00634360" w:rsidRPr="003C29BB">
          <w:rPr>
            <w:rStyle w:val="Hyperlink"/>
            <w:noProof/>
          </w:rPr>
          <w:noBreakHyphen/>
          <w:t>8: GAMM analysis for particulate phosphorous (PP, µM, left column), dissolved inorganic phosphorus (DIP, µM, mid column) and silica (Si, µM, right column) collected from December 2005 to April 2014 (inclusive). First four plots in each column are for the partial effect plots and last pot is the temporal analysis (see text for explanation). Shade area stands for ±1 SE and rubs on x-axis stand for data density.</w:t>
        </w:r>
        <w:r w:rsidR="00634360">
          <w:rPr>
            <w:noProof/>
            <w:webHidden/>
          </w:rPr>
          <w:tab/>
        </w:r>
        <w:r w:rsidR="00634360">
          <w:rPr>
            <w:noProof/>
            <w:webHidden/>
          </w:rPr>
          <w:fldChar w:fldCharType="begin"/>
        </w:r>
        <w:r w:rsidR="00634360">
          <w:rPr>
            <w:noProof/>
            <w:webHidden/>
          </w:rPr>
          <w:instrText xml:space="preserve"> PAGEREF _Toc454303913 \h </w:instrText>
        </w:r>
        <w:r w:rsidR="00634360">
          <w:rPr>
            <w:noProof/>
            <w:webHidden/>
          </w:rPr>
        </w:r>
        <w:r w:rsidR="00634360">
          <w:rPr>
            <w:noProof/>
            <w:webHidden/>
          </w:rPr>
          <w:fldChar w:fldCharType="separate"/>
        </w:r>
        <w:r w:rsidR="000E22F3">
          <w:rPr>
            <w:noProof/>
            <w:webHidden/>
          </w:rPr>
          <w:t>59</w:t>
        </w:r>
        <w:r w:rsidR="00634360">
          <w:rPr>
            <w:noProof/>
            <w:webHidden/>
          </w:rPr>
          <w:fldChar w:fldCharType="end"/>
        </w:r>
      </w:hyperlink>
    </w:p>
    <w:p w14:paraId="412B3821" w14:textId="2D7B0832" w:rsidR="00634360" w:rsidRDefault="00A87B15">
      <w:pPr>
        <w:pStyle w:val="TableofFigures"/>
        <w:tabs>
          <w:tab w:val="right" w:leader="dot" w:pos="9563"/>
        </w:tabs>
        <w:rPr>
          <w:rFonts w:eastAsiaTheme="minorEastAsia" w:cstheme="minorBidi"/>
          <w:noProof/>
        </w:rPr>
      </w:pPr>
      <w:hyperlink w:anchor="_Toc454303914" w:history="1">
        <w:r w:rsidR="00634360" w:rsidRPr="003C29BB">
          <w:rPr>
            <w:rStyle w:val="Hyperlink"/>
            <w:noProof/>
          </w:rPr>
          <w:t>Figure 4</w:t>
        </w:r>
        <w:r w:rsidR="00634360" w:rsidRPr="003C29BB">
          <w:rPr>
            <w:rStyle w:val="Hyperlink"/>
            <w:noProof/>
          </w:rPr>
          <w:noBreakHyphen/>
          <w:t>9: In-situ dissolved inorganic nitrogen concentration (DIN, µM) sampled over 12 wet seasons (c.a., December to April inclusive) from 2002/03 to 2013/14 per colour class. Boxplot presents the mean (dark black line), ±1 SD (rectangle) and maximum-minimum value (vertical lines). Nudge was applied to data on x-axis for better data visualisation.</w:t>
        </w:r>
        <w:r w:rsidR="00634360">
          <w:rPr>
            <w:noProof/>
            <w:webHidden/>
          </w:rPr>
          <w:tab/>
        </w:r>
        <w:r w:rsidR="00634360">
          <w:rPr>
            <w:noProof/>
            <w:webHidden/>
          </w:rPr>
          <w:fldChar w:fldCharType="begin"/>
        </w:r>
        <w:r w:rsidR="00634360">
          <w:rPr>
            <w:noProof/>
            <w:webHidden/>
          </w:rPr>
          <w:instrText xml:space="preserve"> PAGEREF _Toc454303914 \h </w:instrText>
        </w:r>
        <w:r w:rsidR="00634360">
          <w:rPr>
            <w:noProof/>
            <w:webHidden/>
          </w:rPr>
        </w:r>
        <w:r w:rsidR="00634360">
          <w:rPr>
            <w:noProof/>
            <w:webHidden/>
          </w:rPr>
          <w:fldChar w:fldCharType="separate"/>
        </w:r>
        <w:r w:rsidR="000E22F3">
          <w:rPr>
            <w:noProof/>
            <w:webHidden/>
          </w:rPr>
          <w:t>60</w:t>
        </w:r>
        <w:r w:rsidR="00634360">
          <w:rPr>
            <w:noProof/>
            <w:webHidden/>
          </w:rPr>
          <w:fldChar w:fldCharType="end"/>
        </w:r>
      </w:hyperlink>
    </w:p>
    <w:p w14:paraId="3215336A" w14:textId="77DA255A" w:rsidR="00634360" w:rsidRDefault="00A87B15">
      <w:pPr>
        <w:pStyle w:val="TableofFigures"/>
        <w:tabs>
          <w:tab w:val="right" w:leader="dot" w:pos="9563"/>
        </w:tabs>
        <w:rPr>
          <w:rFonts w:eastAsiaTheme="minorEastAsia" w:cstheme="minorBidi"/>
          <w:noProof/>
        </w:rPr>
      </w:pPr>
      <w:hyperlink w:anchor="_Toc454303915" w:history="1">
        <w:r w:rsidR="00634360" w:rsidRPr="003C29BB">
          <w:rPr>
            <w:rStyle w:val="Hyperlink"/>
            <w:noProof/>
          </w:rPr>
          <w:t>Figure 4</w:t>
        </w:r>
        <w:r w:rsidR="00634360" w:rsidRPr="003C29BB">
          <w:rPr>
            <w:rStyle w:val="Hyperlink"/>
            <w:noProof/>
          </w:rPr>
          <w:noBreakHyphen/>
          <w:t>10: Dissolved inorganic nitrogen yield (DIN, kg/km</w:t>
        </w:r>
        <w:r w:rsidR="00634360" w:rsidRPr="003C29BB">
          <w:rPr>
            <w:rStyle w:val="Hyperlink"/>
            <w:noProof/>
            <w:vertAlign w:val="superscript"/>
          </w:rPr>
          <w:t>2</w:t>
        </w:r>
        <w:r w:rsidR="00634360" w:rsidRPr="003C29BB">
          <w:rPr>
            <w:rStyle w:val="Hyperlink"/>
            <w:noProof/>
          </w:rPr>
          <w:t>) over the GBR lagoon in 2013-2014 water year (c.a., 1 October 2013 to 30 September 2014). ‘Max.’ stands for the highest pollutant yield, named rivers are those with load data available, grey lines are the NRM limits, and dashed black line stands for contour line for DIN yield equals to 10 kg/km</w:t>
        </w:r>
        <w:r w:rsidR="00634360" w:rsidRPr="003C29BB">
          <w:rPr>
            <w:rStyle w:val="Hyperlink"/>
            <w:noProof/>
            <w:vertAlign w:val="superscript"/>
          </w:rPr>
          <w:t>2</w:t>
        </w:r>
        <w:r w:rsidR="00634360" w:rsidRPr="003C29BB">
          <w:rPr>
            <w:rStyle w:val="Hyperlink"/>
            <w:noProof/>
          </w:rPr>
          <w:t>.</w:t>
        </w:r>
        <w:r w:rsidR="00634360">
          <w:rPr>
            <w:noProof/>
            <w:webHidden/>
          </w:rPr>
          <w:tab/>
        </w:r>
        <w:r w:rsidR="00634360">
          <w:rPr>
            <w:noProof/>
            <w:webHidden/>
          </w:rPr>
          <w:fldChar w:fldCharType="begin"/>
        </w:r>
        <w:r w:rsidR="00634360">
          <w:rPr>
            <w:noProof/>
            <w:webHidden/>
          </w:rPr>
          <w:instrText xml:space="preserve"> PAGEREF _Toc454303915 \h </w:instrText>
        </w:r>
        <w:r w:rsidR="00634360">
          <w:rPr>
            <w:noProof/>
            <w:webHidden/>
          </w:rPr>
        </w:r>
        <w:r w:rsidR="00634360">
          <w:rPr>
            <w:noProof/>
            <w:webHidden/>
          </w:rPr>
          <w:fldChar w:fldCharType="separate"/>
        </w:r>
        <w:r w:rsidR="000E22F3">
          <w:rPr>
            <w:noProof/>
            <w:webHidden/>
          </w:rPr>
          <w:t>62</w:t>
        </w:r>
        <w:r w:rsidR="00634360">
          <w:rPr>
            <w:noProof/>
            <w:webHidden/>
          </w:rPr>
          <w:fldChar w:fldCharType="end"/>
        </w:r>
      </w:hyperlink>
    </w:p>
    <w:p w14:paraId="726232C9" w14:textId="251BFEE3" w:rsidR="00634360" w:rsidRDefault="00A87B15">
      <w:pPr>
        <w:pStyle w:val="TableofFigures"/>
        <w:tabs>
          <w:tab w:val="right" w:leader="dot" w:pos="9563"/>
        </w:tabs>
        <w:rPr>
          <w:rFonts w:eastAsiaTheme="minorEastAsia" w:cstheme="minorBidi"/>
          <w:noProof/>
        </w:rPr>
      </w:pPr>
      <w:hyperlink w:anchor="_Toc454303916" w:history="1">
        <w:r w:rsidR="00634360" w:rsidRPr="003C29BB">
          <w:rPr>
            <w:rStyle w:val="Hyperlink"/>
            <w:noProof/>
          </w:rPr>
          <w:t>Figure 4</w:t>
        </w:r>
        <w:r w:rsidR="00634360" w:rsidRPr="003C29BB">
          <w:rPr>
            <w:rStyle w:val="Hyperlink"/>
            <w:noProof/>
          </w:rPr>
          <w:noBreakHyphen/>
          <w:t>11:  Regression model adjusted to the in-situ total suspended solids concentration (TSS, mg/L) sampled over 12 wet seasons (c.a., December to April inclusive) from 2002/03 to 2013/14 per colour class. Dashed lines stand for CI 95%, red dots are outliers and nudge was applied to data on x-axis for better visualisation.</w:t>
        </w:r>
        <w:r w:rsidR="00634360">
          <w:rPr>
            <w:noProof/>
            <w:webHidden/>
          </w:rPr>
          <w:tab/>
        </w:r>
        <w:r w:rsidR="00634360">
          <w:rPr>
            <w:noProof/>
            <w:webHidden/>
          </w:rPr>
          <w:fldChar w:fldCharType="begin"/>
        </w:r>
        <w:r w:rsidR="00634360">
          <w:rPr>
            <w:noProof/>
            <w:webHidden/>
          </w:rPr>
          <w:instrText xml:space="preserve"> PAGEREF _Toc454303916 \h </w:instrText>
        </w:r>
        <w:r w:rsidR="00634360">
          <w:rPr>
            <w:noProof/>
            <w:webHidden/>
          </w:rPr>
        </w:r>
        <w:r w:rsidR="00634360">
          <w:rPr>
            <w:noProof/>
            <w:webHidden/>
          </w:rPr>
          <w:fldChar w:fldCharType="separate"/>
        </w:r>
        <w:r w:rsidR="000E22F3">
          <w:rPr>
            <w:noProof/>
            <w:webHidden/>
          </w:rPr>
          <w:t>63</w:t>
        </w:r>
        <w:r w:rsidR="00634360">
          <w:rPr>
            <w:noProof/>
            <w:webHidden/>
          </w:rPr>
          <w:fldChar w:fldCharType="end"/>
        </w:r>
      </w:hyperlink>
    </w:p>
    <w:p w14:paraId="3C433B96" w14:textId="3C6BDA59" w:rsidR="00634360" w:rsidRDefault="00A87B15">
      <w:pPr>
        <w:pStyle w:val="TableofFigures"/>
        <w:tabs>
          <w:tab w:val="right" w:leader="dot" w:pos="9563"/>
        </w:tabs>
        <w:rPr>
          <w:rFonts w:eastAsiaTheme="minorEastAsia" w:cstheme="minorBidi"/>
          <w:noProof/>
        </w:rPr>
      </w:pPr>
      <w:hyperlink w:anchor="_Toc454303917" w:history="1">
        <w:r w:rsidR="00634360" w:rsidRPr="003C29BB">
          <w:rPr>
            <w:rStyle w:val="Hyperlink"/>
            <w:noProof/>
          </w:rPr>
          <w:t>Figure 4</w:t>
        </w:r>
        <w:r w:rsidR="00634360" w:rsidRPr="003C29BB">
          <w:rPr>
            <w:rStyle w:val="Hyperlink"/>
            <w:noProof/>
          </w:rPr>
          <w:noBreakHyphen/>
          <w:t>12: Total suspended solids (TSS) in tons/km</w:t>
        </w:r>
        <w:r w:rsidR="00634360" w:rsidRPr="003C29BB">
          <w:rPr>
            <w:rStyle w:val="Hyperlink"/>
            <w:noProof/>
            <w:vertAlign w:val="superscript"/>
          </w:rPr>
          <w:t>2</w:t>
        </w:r>
        <w:r w:rsidR="00634360" w:rsidRPr="003C29BB">
          <w:rPr>
            <w:rStyle w:val="Hyperlink"/>
            <w:noProof/>
          </w:rPr>
          <w:t xml:space="preserve"> over the GBR lagoon due to the passage of ex-Tropical Cyclone Ita, April 2014. Contour line indicates TSS equals to 50 ton/km</w:t>
        </w:r>
        <w:r w:rsidR="00634360" w:rsidRPr="003C29BB">
          <w:rPr>
            <w:rStyle w:val="Hyperlink"/>
            <w:noProof/>
            <w:vertAlign w:val="superscript"/>
          </w:rPr>
          <w:t>2</w:t>
        </w:r>
        <w:r w:rsidR="00634360" w:rsidRPr="003C29BB">
          <w:rPr>
            <w:rStyle w:val="Hyperlink"/>
            <w:noProof/>
          </w:rPr>
          <w:t xml:space="preserve"> as a point of reference only.</w:t>
        </w:r>
        <w:r w:rsidR="00634360">
          <w:rPr>
            <w:noProof/>
            <w:webHidden/>
          </w:rPr>
          <w:tab/>
        </w:r>
        <w:r w:rsidR="00634360">
          <w:rPr>
            <w:noProof/>
            <w:webHidden/>
          </w:rPr>
          <w:fldChar w:fldCharType="begin"/>
        </w:r>
        <w:r w:rsidR="00634360">
          <w:rPr>
            <w:noProof/>
            <w:webHidden/>
          </w:rPr>
          <w:instrText xml:space="preserve"> PAGEREF _Toc454303917 \h </w:instrText>
        </w:r>
        <w:r w:rsidR="00634360">
          <w:rPr>
            <w:noProof/>
            <w:webHidden/>
          </w:rPr>
        </w:r>
        <w:r w:rsidR="00634360">
          <w:rPr>
            <w:noProof/>
            <w:webHidden/>
          </w:rPr>
          <w:fldChar w:fldCharType="separate"/>
        </w:r>
        <w:r w:rsidR="000E22F3">
          <w:rPr>
            <w:noProof/>
            <w:webHidden/>
          </w:rPr>
          <w:t>65</w:t>
        </w:r>
        <w:r w:rsidR="00634360">
          <w:rPr>
            <w:noProof/>
            <w:webHidden/>
          </w:rPr>
          <w:fldChar w:fldCharType="end"/>
        </w:r>
      </w:hyperlink>
    </w:p>
    <w:p w14:paraId="7A51B8FD" w14:textId="0E56D826" w:rsidR="00634360" w:rsidRDefault="00A87B15">
      <w:pPr>
        <w:pStyle w:val="TableofFigures"/>
        <w:tabs>
          <w:tab w:val="right" w:leader="dot" w:pos="9563"/>
        </w:tabs>
        <w:rPr>
          <w:rFonts w:eastAsiaTheme="minorEastAsia" w:cstheme="minorBidi"/>
          <w:noProof/>
        </w:rPr>
      </w:pPr>
      <w:hyperlink w:anchor="_Toc454303918" w:history="1">
        <w:r w:rsidR="00634360" w:rsidRPr="003C29BB">
          <w:rPr>
            <w:rStyle w:val="Hyperlink"/>
            <w:noProof/>
          </w:rPr>
          <w:t>Figure 5</w:t>
        </w:r>
        <w:r w:rsidR="00634360" w:rsidRPr="003C29BB">
          <w:rPr>
            <w:rStyle w:val="Hyperlink"/>
            <w:noProof/>
          </w:rPr>
          <w:noBreakHyphen/>
          <w:t xml:space="preserve">1: </w:t>
        </w:r>
        <w:r w:rsidR="00634360" w:rsidRPr="003C29BB">
          <w:rPr>
            <w:rStyle w:val="Hyperlink"/>
            <w:rFonts w:eastAsia="Calibri"/>
            <w:noProof/>
          </w:rPr>
          <w:t>Remote sensing products designed in order to model the risk of GBR ecosystems due to river plumes during the wet season.</w:t>
        </w:r>
        <w:r w:rsidR="00634360">
          <w:rPr>
            <w:noProof/>
            <w:webHidden/>
          </w:rPr>
          <w:tab/>
        </w:r>
        <w:r w:rsidR="00634360">
          <w:rPr>
            <w:noProof/>
            <w:webHidden/>
          </w:rPr>
          <w:fldChar w:fldCharType="begin"/>
        </w:r>
        <w:r w:rsidR="00634360">
          <w:rPr>
            <w:noProof/>
            <w:webHidden/>
          </w:rPr>
          <w:instrText xml:space="preserve"> PAGEREF _Toc454303918 \h </w:instrText>
        </w:r>
        <w:r w:rsidR="00634360">
          <w:rPr>
            <w:noProof/>
            <w:webHidden/>
          </w:rPr>
        </w:r>
        <w:r w:rsidR="00634360">
          <w:rPr>
            <w:noProof/>
            <w:webHidden/>
          </w:rPr>
          <w:fldChar w:fldCharType="separate"/>
        </w:r>
        <w:r w:rsidR="000E22F3">
          <w:rPr>
            <w:noProof/>
            <w:webHidden/>
          </w:rPr>
          <w:t>66</w:t>
        </w:r>
        <w:r w:rsidR="00634360">
          <w:rPr>
            <w:noProof/>
            <w:webHidden/>
          </w:rPr>
          <w:fldChar w:fldCharType="end"/>
        </w:r>
      </w:hyperlink>
    </w:p>
    <w:p w14:paraId="2C32B766" w14:textId="35E16882" w:rsidR="00634360" w:rsidRDefault="00A87B15">
      <w:pPr>
        <w:pStyle w:val="TableofFigures"/>
        <w:tabs>
          <w:tab w:val="right" w:leader="dot" w:pos="9563"/>
        </w:tabs>
        <w:rPr>
          <w:rFonts w:eastAsiaTheme="minorEastAsia" w:cstheme="minorBidi"/>
          <w:noProof/>
        </w:rPr>
      </w:pPr>
      <w:hyperlink w:anchor="_Toc454303919" w:history="1">
        <w:r w:rsidR="00634360" w:rsidRPr="003C29BB">
          <w:rPr>
            <w:rStyle w:val="Hyperlink"/>
            <w:noProof/>
          </w:rPr>
          <w:t>Figure 5</w:t>
        </w:r>
        <w:r w:rsidR="00634360" w:rsidRPr="003C29BB">
          <w:rPr>
            <w:rStyle w:val="Hyperlink"/>
            <w:noProof/>
          </w:rPr>
          <w:noBreakHyphen/>
          <w:t>2: Conceptual scheme of the risk framework proposed in Petus et al. (2014a).</w:t>
        </w:r>
        <w:r w:rsidR="00634360">
          <w:rPr>
            <w:noProof/>
            <w:webHidden/>
          </w:rPr>
          <w:tab/>
        </w:r>
        <w:r w:rsidR="00634360">
          <w:rPr>
            <w:noProof/>
            <w:webHidden/>
          </w:rPr>
          <w:fldChar w:fldCharType="begin"/>
        </w:r>
        <w:r w:rsidR="00634360">
          <w:rPr>
            <w:noProof/>
            <w:webHidden/>
          </w:rPr>
          <w:instrText xml:space="preserve"> PAGEREF _Toc454303919 \h </w:instrText>
        </w:r>
        <w:r w:rsidR="00634360">
          <w:rPr>
            <w:noProof/>
            <w:webHidden/>
          </w:rPr>
        </w:r>
        <w:r w:rsidR="00634360">
          <w:rPr>
            <w:noProof/>
            <w:webHidden/>
          </w:rPr>
          <w:fldChar w:fldCharType="separate"/>
        </w:r>
        <w:r w:rsidR="000E22F3">
          <w:rPr>
            <w:noProof/>
            <w:webHidden/>
          </w:rPr>
          <w:t>72</w:t>
        </w:r>
        <w:r w:rsidR="00634360">
          <w:rPr>
            <w:noProof/>
            <w:webHidden/>
          </w:rPr>
          <w:fldChar w:fldCharType="end"/>
        </w:r>
      </w:hyperlink>
    </w:p>
    <w:p w14:paraId="30B296B4" w14:textId="0F186A6A" w:rsidR="00634360" w:rsidRDefault="00A87B15">
      <w:pPr>
        <w:pStyle w:val="TableofFigures"/>
        <w:tabs>
          <w:tab w:val="right" w:leader="dot" w:pos="9563"/>
        </w:tabs>
        <w:rPr>
          <w:rFonts w:eastAsiaTheme="minorEastAsia" w:cstheme="minorBidi"/>
          <w:noProof/>
        </w:rPr>
      </w:pPr>
      <w:hyperlink w:anchor="_Toc454303920" w:history="1">
        <w:r w:rsidR="00634360" w:rsidRPr="003C29BB">
          <w:rPr>
            <w:rStyle w:val="Hyperlink"/>
            <w:noProof/>
          </w:rPr>
          <w:t>Figure 5</w:t>
        </w:r>
        <w:r w:rsidR="00634360" w:rsidRPr="003C29BB">
          <w:rPr>
            <w:rStyle w:val="Hyperlink"/>
            <w:noProof/>
          </w:rPr>
          <w:noBreakHyphen/>
          <w:t>3:  Risk matrix in function of the magnitude and the likelihood of the river plume risk. Risk categories I, II, III, IV (modified from Petus et al., 2014b).</w:t>
        </w:r>
        <w:r w:rsidR="00634360">
          <w:rPr>
            <w:noProof/>
            <w:webHidden/>
          </w:rPr>
          <w:tab/>
        </w:r>
        <w:r w:rsidR="00634360">
          <w:rPr>
            <w:noProof/>
            <w:webHidden/>
          </w:rPr>
          <w:fldChar w:fldCharType="begin"/>
        </w:r>
        <w:r w:rsidR="00634360">
          <w:rPr>
            <w:noProof/>
            <w:webHidden/>
          </w:rPr>
          <w:instrText xml:space="preserve"> PAGEREF _Toc454303920 \h </w:instrText>
        </w:r>
        <w:r w:rsidR="00634360">
          <w:rPr>
            <w:noProof/>
            <w:webHidden/>
          </w:rPr>
        </w:r>
        <w:r w:rsidR="00634360">
          <w:rPr>
            <w:noProof/>
            <w:webHidden/>
          </w:rPr>
          <w:fldChar w:fldCharType="separate"/>
        </w:r>
        <w:r w:rsidR="000E22F3">
          <w:rPr>
            <w:noProof/>
            <w:webHidden/>
          </w:rPr>
          <w:t>72</w:t>
        </w:r>
        <w:r w:rsidR="00634360">
          <w:rPr>
            <w:noProof/>
            <w:webHidden/>
          </w:rPr>
          <w:fldChar w:fldCharType="end"/>
        </w:r>
      </w:hyperlink>
    </w:p>
    <w:p w14:paraId="4E4C3847" w14:textId="2C2AED2C" w:rsidR="00634360" w:rsidRDefault="00A87B15">
      <w:pPr>
        <w:pStyle w:val="TableofFigures"/>
        <w:tabs>
          <w:tab w:val="right" w:leader="dot" w:pos="9563"/>
        </w:tabs>
        <w:rPr>
          <w:rFonts w:eastAsiaTheme="minorEastAsia" w:cstheme="minorBidi"/>
          <w:noProof/>
        </w:rPr>
      </w:pPr>
      <w:hyperlink w:anchor="_Toc454303921" w:history="1">
        <w:r w:rsidR="00634360" w:rsidRPr="003C29BB">
          <w:rPr>
            <w:rStyle w:val="Hyperlink"/>
            <w:noProof/>
          </w:rPr>
          <w:t>Figure 5</w:t>
        </w:r>
        <w:r w:rsidR="00634360" w:rsidRPr="003C29BB">
          <w:rPr>
            <w:rStyle w:val="Hyperlink"/>
            <w:noProof/>
          </w:rPr>
          <w:noBreakHyphen/>
          <w:t>4:  Theoretical example of the production of an annual risk map and the results for 2 pixels (P1 and P2) in the GBR, their classification, and final risk classification.</w:t>
        </w:r>
        <w:r w:rsidR="00634360">
          <w:rPr>
            <w:noProof/>
            <w:webHidden/>
          </w:rPr>
          <w:tab/>
        </w:r>
        <w:r w:rsidR="00634360">
          <w:rPr>
            <w:noProof/>
            <w:webHidden/>
          </w:rPr>
          <w:fldChar w:fldCharType="begin"/>
        </w:r>
        <w:r w:rsidR="00634360">
          <w:rPr>
            <w:noProof/>
            <w:webHidden/>
          </w:rPr>
          <w:instrText xml:space="preserve"> PAGEREF _Toc454303921 \h </w:instrText>
        </w:r>
        <w:r w:rsidR="00634360">
          <w:rPr>
            <w:noProof/>
            <w:webHidden/>
          </w:rPr>
        </w:r>
        <w:r w:rsidR="00634360">
          <w:rPr>
            <w:noProof/>
            <w:webHidden/>
          </w:rPr>
          <w:fldChar w:fldCharType="separate"/>
        </w:r>
        <w:r w:rsidR="000E22F3">
          <w:rPr>
            <w:noProof/>
            <w:webHidden/>
          </w:rPr>
          <w:t>73</w:t>
        </w:r>
        <w:r w:rsidR="00634360">
          <w:rPr>
            <w:noProof/>
            <w:webHidden/>
          </w:rPr>
          <w:fldChar w:fldCharType="end"/>
        </w:r>
      </w:hyperlink>
    </w:p>
    <w:p w14:paraId="5D17E12B" w14:textId="04FA7A7A" w:rsidR="00634360" w:rsidRDefault="00A87B15">
      <w:pPr>
        <w:pStyle w:val="TableofFigures"/>
        <w:tabs>
          <w:tab w:val="right" w:leader="dot" w:pos="9563"/>
        </w:tabs>
        <w:rPr>
          <w:rFonts w:eastAsiaTheme="minorEastAsia" w:cstheme="minorBidi"/>
          <w:noProof/>
        </w:rPr>
      </w:pPr>
      <w:hyperlink w:anchor="_Toc454303922" w:history="1">
        <w:r w:rsidR="00634360" w:rsidRPr="003C29BB">
          <w:rPr>
            <w:rStyle w:val="Hyperlink"/>
            <w:noProof/>
          </w:rPr>
          <w:t>Figure 5</w:t>
        </w:r>
        <w:r w:rsidR="00634360" w:rsidRPr="003C29BB">
          <w:rPr>
            <w:rStyle w:val="Hyperlink"/>
            <w:noProof/>
          </w:rPr>
          <w:noBreakHyphen/>
          <w:t xml:space="preserve">5: </w:t>
        </w:r>
        <w:r w:rsidR="00634360" w:rsidRPr="003C29BB">
          <w:rPr>
            <w:rStyle w:val="Hyperlink"/>
            <w:rFonts w:eastAsia="Calibri"/>
            <w:noProof/>
          </w:rPr>
          <w:t>Marine boundaries used for the GBR Marine Park (a), each NRM region and the coral reefs ecosystems. Coral Reef and NRM layers derived from: GBRMPA, 2013, GBR feature shapefiles and enlargements around (b) the Tully-Herbert Rivers and (c) the Burdekin river.</w:t>
        </w:r>
        <w:r w:rsidR="00634360">
          <w:rPr>
            <w:noProof/>
            <w:webHidden/>
          </w:rPr>
          <w:tab/>
        </w:r>
        <w:r w:rsidR="00634360">
          <w:rPr>
            <w:noProof/>
            <w:webHidden/>
          </w:rPr>
          <w:fldChar w:fldCharType="begin"/>
        </w:r>
        <w:r w:rsidR="00634360">
          <w:rPr>
            <w:noProof/>
            <w:webHidden/>
          </w:rPr>
          <w:instrText xml:space="preserve"> PAGEREF _Toc454303922 \h </w:instrText>
        </w:r>
        <w:r w:rsidR="00634360">
          <w:rPr>
            <w:noProof/>
            <w:webHidden/>
          </w:rPr>
        </w:r>
        <w:r w:rsidR="00634360">
          <w:rPr>
            <w:noProof/>
            <w:webHidden/>
          </w:rPr>
          <w:fldChar w:fldCharType="separate"/>
        </w:r>
        <w:r w:rsidR="000E22F3">
          <w:rPr>
            <w:noProof/>
            <w:webHidden/>
          </w:rPr>
          <w:t>75</w:t>
        </w:r>
        <w:r w:rsidR="00634360">
          <w:rPr>
            <w:noProof/>
            <w:webHidden/>
          </w:rPr>
          <w:fldChar w:fldCharType="end"/>
        </w:r>
      </w:hyperlink>
    </w:p>
    <w:p w14:paraId="7826259B" w14:textId="68030CF2" w:rsidR="00634360" w:rsidRDefault="00A87B15">
      <w:pPr>
        <w:pStyle w:val="TableofFigures"/>
        <w:tabs>
          <w:tab w:val="right" w:leader="dot" w:pos="9563"/>
        </w:tabs>
        <w:rPr>
          <w:rFonts w:eastAsiaTheme="minorEastAsia" w:cstheme="minorBidi"/>
          <w:noProof/>
        </w:rPr>
      </w:pPr>
      <w:hyperlink w:anchor="_Toc454303923" w:history="1">
        <w:r w:rsidR="00634360" w:rsidRPr="003C29BB">
          <w:rPr>
            <w:rStyle w:val="Hyperlink"/>
            <w:noProof/>
          </w:rPr>
          <w:t>Figure 5</w:t>
        </w:r>
        <w:r w:rsidR="00634360" w:rsidRPr="003C29BB">
          <w:rPr>
            <w:rStyle w:val="Hyperlink"/>
            <w:noProof/>
          </w:rPr>
          <w:noBreakHyphen/>
          <w:t>6: Marine boundaries used for the GBR Marine Park (a), each NRM region and the coral reefs ecosystems. NRM layers derived from: GBRMPA, 2013, GBR feature shapefiles and seagrass layers from DAFF, Feb. 2013. Spatial distribution of seagrass is a historical layer from all meadows examined between 1984 and 2008 (see reports at</w:t>
        </w:r>
        <w:r w:rsidR="00634360" w:rsidRPr="003C29BB">
          <w:rPr>
            <w:rStyle w:val="Hyperlink"/>
            <w:rFonts w:eastAsia="Calibri"/>
            <w:noProof/>
          </w:rPr>
          <w:t xml:space="preserve">: </w:t>
        </w:r>
        <w:r w:rsidR="00634360" w:rsidRPr="003C29BB">
          <w:rPr>
            <w:rStyle w:val="Hyperlink"/>
            <w:noProof/>
          </w:rPr>
          <w:t>http://www.seagrasswatch.</w:t>
        </w:r>
        <w:r w:rsidR="00634360">
          <w:rPr>
            <w:noProof/>
            <w:webHidden/>
          </w:rPr>
          <w:tab/>
        </w:r>
        <w:r w:rsidR="00634360">
          <w:rPr>
            <w:noProof/>
            <w:webHidden/>
          </w:rPr>
          <w:fldChar w:fldCharType="begin"/>
        </w:r>
        <w:r w:rsidR="00634360">
          <w:rPr>
            <w:noProof/>
            <w:webHidden/>
          </w:rPr>
          <w:instrText xml:space="preserve"> PAGEREF _Toc454303923 \h </w:instrText>
        </w:r>
        <w:r w:rsidR="00634360">
          <w:rPr>
            <w:noProof/>
            <w:webHidden/>
          </w:rPr>
        </w:r>
        <w:r w:rsidR="00634360">
          <w:rPr>
            <w:noProof/>
            <w:webHidden/>
          </w:rPr>
          <w:fldChar w:fldCharType="separate"/>
        </w:r>
        <w:r w:rsidR="000E22F3">
          <w:rPr>
            <w:noProof/>
            <w:webHidden/>
          </w:rPr>
          <w:t>75</w:t>
        </w:r>
        <w:r w:rsidR="00634360">
          <w:rPr>
            <w:noProof/>
            <w:webHidden/>
          </w:rPr>
          <w:fldChar w:fldCharType="end"/>
        </w:r>
      </w:hyperlink>
    </w:p>
    <w:p w14:paraId="6A7D963B" w14:textId="26F3F73E" w:rsidR="00634360" w:rsidRDefault="00A87B15">
      <w:pPr>
        <w:pStyle w:val="TableofFigures"/>
        <w:tabs>
          <w:tab w:val="right" w:leader="dot" w:pos="9563"/>
        </w:tabs>
        <w:rPr>
          <w:rFonts w:eastAsiaTheme="minorEastAsia" w:cstheme="minorBidi"/>
          <w:noProof/>
        </w:rPr>
      </w:pPr>
      <w:hyperlink w:anchor="_Toc454303924" w:history="1">
        <w:r w:rsidR="00634360" w:rsidRPr="003C29BB">
          <w:rPr>
            <w:rStyle w:val="Hyperlink"/>
            <w:rFonts w:eastAsia="Calibri"/>
            <w:noProof/>
          </w:rPr>
          <w:t>Figure 5</w:t>
        </w:r>
        <w:r w:rsidR="00634360" w:rsidRPr="003C29BB">
          <w:rPr>
            <w:rStyle w:val="Hyperlink"/>
            <w:rFonts w:eastAsia="Calibri"/>
            <w:noProof/>
          </w:rPr>
          <w:noBreakHyphen/>
          <w:t>7: 2013-2014 plume frequency map: full plume extent in the GBR. The scale is normalised between 0 and 1, where 1 is equivalent to 22 weeks (full wet season).</w:t>
        </w:r>
        <w:r w:rsidR="00634360">
          <w:rPr>
            <w:noProof/>
            <w:webHidden/>
          </w:rPr>
          <w:tab/>
        </w:r>
        <w:r w:rsidR="00634360">
          <w:rPr>
            <w:noProof/>
            <w:webHidden/>
          </w:rPr>
          <w:fldChar w:fldCharType="begin"/>
        </w:r>
        <w:r w:rsidR="00634360">
          <w:rPr>
            <w:noProof/>
            <w:webHidden/>
          </w:rPr>
          <w:instrText xml:space="preserve"> PAGEREF _Toc454303924 \h </w:instrText>
        </w:r>
        <w:r w:rsidR="00634360">
          <w:rPr>
            <w:noProof/>
            <w:webHidden/>
          </w:rPr>
        </w:r>
        <w:r w:rsidR="00634360">
          <w:rPr>
            <w:noProof/>
            <w:webHidden/>
          </w:rPr>
          <w:fldChar w:fldCharType="separate"/>
        </w:r>
        <w:r w:rsidR="000E22F3">
          <w:rPr>
            <w:noProof/>
            <w:webHidden/>
          </w:rPr>
          <w:t>77</w:t>
        </w:r>
        <w:r w:rsidR="00634360">
          <w:rPr>
            <w:noProof/>
            <w:webHidden/>
          </w:rPr>
          <w:fldChar w:fldCharType="end"/>
        </w:r>
      </w:hyperlink>
    </w:p>
    <w:p w14:paraId="6EF93710" w14:textId="32441F8F" w:rsidR="00634360" w:rsidRDefault="00A87B15">
      <w:pPr>
        <w:pStyle w:val="TableofFigures"/>
        <w:tabs>
          <w:tab w:val="right" w:leader="dot" w:pos="9563"/>
        </w:tabs>
        <w:rPr>
          <w:rFonts w:eastAsiaTheme="minorEastAsia" w:cstheme="minorBidi"/>
          <w:noProof/>
        </w:rPr>
      </w:pPr>
      <w:hyperlink w:anchor="_Toc454303925" w:history="1">
        <w:r w:rsidR="00634360" w:rsidRPr="003C29BB">
          <w:rPr>
            <w:rStyle w:val="Hyperlink"/>
            <w:rFonts w:eastAsia="Calibri"/>
            <w:noProof/>
          </w:rPr>
          <w:t>Figure 5</w:t>
        </w:r>
        <w:r w:rsidR="00634360" w:rsidRPr="003C29BB">
          <w:rPr>
            <w:rStyle w:val="Hyperlink"/>
            <w:rFonts w:eastAsia="Calibri"/>
            <w:noProof/>
          </w:rPr>
          <w:noBreakHyphen/>
          <w:t>8: 2013-2014 plume frequency map: Full plume extent across each NRM region. The scale is as per Figure 5-7 and is normalised between 0 and 1, where 1 is equivalent to 22 weeks (full wet season).</w:t>
        </w:r>
        <w:r w:rsidR="00634360">
          <w:rPr>
            <w:noProof/>
            <w:webHidden/>
          </w:rPr>
          <w:tab/>
        </w:r>
        <w:r w:rsidR="00634360">
          <w:rPr>
            <w:noProof/>
            <w:webHidden/>
          </w:rPr>
          <w:fldChar w:fldCharType="begin"/>
        </w:r>
        <w:r w:rsidR="00634360">
          <w:rPr>
            <w:noProof/>
            <w:webHidden/>
          </w:rPr>
          <w:instrText xml:space="preserve"> PAGEREF _Toc454303925 \h </w:instrText>
        </w:r>
        <w:r w:rsidR="00634360">
          <w:rPr>
            <w:noProof/>
            <w:webHidden/>
          </w:rPr>
        </w:r>
        <w:r w:rsidR="00634360">
          <w:rPr>
            <w:noProof/>
            <w:webHidden/>
          </w:rPr>
          <w:fldChar w:fldCharType="separate"/>
        </w:r>
        <w:r w:rsidR="000E22F3">
          <w:rPr>
            <w:noProof/>
            <w:webHidden/>
          </w:rPr>
          <w:t>78</w:t>
        </w:r>
        <w:r w:rsidR="00634360">
          <w:rPr>
            <w:noProof/>
            <w:webHidden/>
          </w:rPr>
          <w:fldChar w:fldCharType="end"/>
        </w:r>
      </w:hyperlink>
    </w:p>
    <w:p w14:paraId="69C254A6" w14:textId="7100F39F" w:rsidR="00634360" w:rsidRDefault="00A87B15">
      <w:pPr>
        <w:pStyle w:val="TableofFigures"/>
        <w:tabs>
          <w:tab w:val="right" w:leader="dot" w:pos="9563"/>
        </w:tabs>
        <w:rPr>
          <w:rFonts w:eastAsiaTheme="minorEastAsia" w:cstheme="minorBidi"/>
          <w:noProof/>
        </w:rPr>
      </w:pPr>
      <w:hyperlink w:anchor="_Toc454303926" w:history="1">
        <w:r w:rsidR="00634360" w:rsidRPr="003C29BB">
          <w:rPr>
            <w:rStyle w:val="Hyperlink"/>
            <w:rFonts w:eastAsia="Calibri"/>
            <w:noProof/>
          </w:rPr>
          <w:t>Figure 5</w:t>
        </w:r>
        <w:r w:rsidR="00634360" w:rsidRPr="003C29BB">
          <w:rPr>
            <w:rStyle w:val="Hyperlink"/>
            <w:rFonts w:eastAsia="Calibri"/>
            <w:noProof/>
          </w:rPr>
          <w:noBreakHyphen/>
          <w:t>9: 2013-2014 plume frequency map: Plume water types (P: Primary, S: Secondary, T; Tertiary) in the GBR. The scale is normalised between 0 and 1, where 1 is equivalent to 22 weeks (full wet season).</w:t>
        </w:r>
        <w:r w:rsidR="00634360">
          <w:rPr>
            <w:noProof/>
            <w:webHidden/>
          </w:rPr>
          <w:tab/>
        </w:r>
        <w:r w:rsidR="00634360">
          <w:rPr>
            <w:noProof/>
            <w:webHidden/>
          </w:rPr>
          <w:fldChar w:fldCharType="begin"/>
        </w:r>
        <w:r w:rsidR="00634360">
          <w:rPr>
            <w:noProof/>
            <w:webHidden/>
          </w:rPr>
          <w:instrText xml:space="preserve"> PAGEREF _Toc454303926 \h </w:instrText>
        </w:r>
        <w:r w:rsidR="00634360">
          <w:rPr>
            <w:noProof/>
            <w:webHidden/>
          </w:rPr>
        </w:r>
        <w:r w:rsidR="00634360">
          <w:rPr>
            <w:noProof/>
            <w:webHidden/>
          </w:rPr>
          <w:fldChar w:fldCharType="separate"/>
        </w:r>
        <w:r w:rsidR="000E22F3">
          <w:rPr>
            <w:noProof/>
            <w:webHidden/>
          </w:rPr>
          <w:t>79</w:t>
        </w:r>
        <w:r w:rsidR="00634360">
          <w:rPr>
            <w:noProof/>
            <w:webHidden/>
          </w:rPr>
          <w:fldChar w:fldCharType="end"/>
        </w:r>
      </w:hyperlink>
    </w:p>
    <w:p w14:paraId="5F365D9D" w14:textId="2607EA23" w:rsidR="00634360" w:rsidRDefault="00A87B15">
      <w:pPr>
        <w:pStyle w:val="TableofFigures"/>
        <w:tabs>
          <w:tab w:val="right" w:leader="dot" w:pos="9563"/>
        </w:tabs>
        <w:rPr>
          <w:rFonts w:eastAsiaTheme="minorEastAsia" w:cstheme="minorBidi"/>
          <w:noProof/>
        </w:rPr>
      </w:pPr>
      <w:hyperlink w:anchor="_Toc454303927" w:history="1">
        <w:r w:rsidR="00634360" w:rsidRPr="003C29BB">
          <w:rPr>
            <w:rStyle w:val="Hyperlink"/>
            <w:noProof/>
          </w:rPr>
          <w:t>Figure 5</w:t>
        </w:r>
        <w:r w:rsidR="00634360" w:rsidRPr="003C29BB">
          <w:rPr>
            <w:rStyle w:val="Hyperlink"/>
            <w:noProof/>
          </w:rPr>
          <w:noBreakHyphen/>
          <w:t xml:space="preserve">10: </w:t>
        </w:r>
        <w:r w:rsidR="00634360" w:rsidRPr="003C29BB">
          <w:rPr>
            <w:rStyle w:val="Hyperlink"/>
            <w:rFonts w:eastAsia="Calibri"/>
            <w:noProof/>
          </w:rPr>
          <w:t>2013-2014 frequency map:, plume water types (P: Primary, S: Secondary, T; Tertiary) across NRM regions. The scale is as per Figure 5-9 and is normalised between 0 and 1, where 1 is equivalent to 22 weeks (full wet season).</w:t>
        </w:r>
        <w:r w:rsidR="00634360">
          <w:rPr>
            <w:noProof/>
            <w:webHidden/>
          </w:rPr>
          <w:tab/>
        </w:r>
        <w:r w:rsidR="00634360">
          <w:rPr>
            <w:noProof/>
            <w:webHidden/>
          </w:rPr>
          <w:fldChar w:fldCharType="begin"/>
        </w:r>
        <w:r w:rsidR="00634360">
          <w:rPr>
            <w:noProof/>
            <w:webHidden/>
          </w:rPr>
          <w:instrText xml:space="preserve"> PAGEREF _Toc454303927 \h </w:instrText>
        </w:r>
        <w:r w:rsidR="00634360">
          <w:rPr>
            <w:noProof/>
            <w:webHidden/>
          </w:rPr>
        </w:r>
        <w:r w:rsidR="00634360">
          <w:rPr>
            <w:noProof/>
            <w:webHidden/>
          </w:rPr>
          <w:fldChar w:fldCharType="separate"/>
        </w:r>
        <w:r w:rsidR="000E22F3">
          <w:rPr>
            <w:noProof/>
            <w:webHidden/>
          </w:rPr>
          <w:t>80</w:t>
        </w:r>
        <w:r w:rsidR="00634360">
          <w:rPr>
            <w:noProof/>
            <w:webHidden/>
          </w:rPr>
          <w:fldChar w:fldCharType="end"/>
        </w:r>
      </w:hyperlink>
    </w:p>
    <w:p w14:paraId="43B22CCC" w14:textId="6A012DF9" w:rsidR="00634360" w:rsidRDefault="00A87B15">
      <w:pPr>
        <w:pStyle w:val="TableofFigures"/>
        <w:tabs>
          <w:tab w:val="right" w:leader="dot" w:pos="9563"/>
        </w:tabs>
        <w:rPr>
          <w:rFonts w:eastAsiaTheme="minorEastAsia" w:cstheme="minorBidi"/>
          <w:noProof/>
        </w:rPr>
      </w:pPr>
      <w:hyperlink w:anchor="_Toc454303928" w:history="1">
        <w:r w:rsidR="00634360" w:rsidRPr="003C29BB">
          <w:rPr>
            <w:rStyle w:val="Hyperlink"/>
            <w:noProof/>
          </w:rPr>
          <w:t>Figure 5</w:t>
        </w:r>
        <w:r w:rsidR="00634360" w:rsidRPr="003C29BB">
          <w:rPr>
            <w:rStyle w:val="Hyperlink"/>
            <w:noProof/>
          </w:rPr>
          <w:noBreakHyphen/>
          <w:t>11: 2013-2014 GBR potential river plume risk map. The risk classes are shown in the legend.</w:t>
        </w:r>
        <w:r w:rsidR="00634360">
          <w:rPr>
            <w:noProof/>
            <w:webHidden/>
          </w:rPr>
          <w:tab/>
        </w:r>
        <w:r w:rsidR="00634360">
          <w:rPr>
            <w:noProof/>
            <w:webHidden/>
          </w:rPr>
          <w:fldChar w:fldCharType="begin"/>
        </w:r>
        <w:r w:rsidR="00634360">
          <w:rPr>
            <w:noProof/>
            <w:webHidden/>
          </w:rPr>
          <w:instrText xml:space="preserve"> PAGEREF _Toc454303928 \h </w:instrText>
        </w:r>
        <w:r w:rsidR="00634360">
          <w:rPr>
            <w:noProof/>
            <w:webHidden/>
          </w:rPr>
        </w:r>
        <w:r w:rsidR="00634360">
          <w:rPr>
            <w:noProof/>
            <w:webHidden/>
          </w:rPr>
          <w:fldChar w:fldCharType="separate"/>
        </w:r>
        <w:r w:rsidR="000E22F3">
          <w:rPr>
            <w:noProof/>
            <w:webHidden/>
          </w:rPr>
          <w:t>83</w:t>
        </w:r>
        <w:r w:rsidR="00634360">
          <w:rPr>
            <w:noProof/>
            <w:webHidden/>
          </w:rPr>
          <w:fldChar w:fldCharType="end"/>
        </w:r>
      </w:hyperlink>
    </w:p>
    <w:p w14:paraId="256D6301" w14:textId="1C1A1C1E" w:rsidR="00634360" w:rsidRDefault="00A87B15">
      <w:pPr>
        <w:pStyle w:val="TableofFigures"/>
        <w:tabs>
          <w:tab w:val="right" w:leader="dot" w:pos="9563"/>
        </w:tabs>
        <w:rPr>
          <w:rFonts w:eastAsiaTheme="minorEastAsia" w:cstheme="minorBidi"/>
          <w:noProof/>
        </w:rPr>
      </w:pPr>
      <w:hyperlink w:anchor="_Toc454303929" w:history="1">
        <w:r w:rsidR="00634360" w:rsidRPr="003C29BB">
          <w:rPr>
            <w:rStyle w:val="Hyperlink"/>
            <w:noProof/>
          </w:rPr>
          <w:t>Figure 5</w:t>
        </w:r>
        <w:r w:rsidR="00634360" w:rsidRPr="003C29BB">
          <w:rPr>
            <w:rStyle w:val="Hyperlink"/>
            <w:noProof/>
          </w:rPr>
          <w:noBreakHyphen/>
          <w:t>12: 2013-2014 potential river plume risk in the GBR NRM regions.</w:t>
        </w:r>
        <w:r w:rsidR="00634360">
          <w:rPr>
            <w:noProof/>
            <w:webHidden/>
          </w:rPr>
          <w:tab/>
        </w:r>
        <w:r w:rsidR="00634360">
          <w:rPr>
            <w:noProof/>
            <w:webHidden/>
          </w:rPr>
          <w:fldChar w:fldCharType="begin"/>
        </w:r>
        <w:r w:rsidR="00634360">
          <w:rPr>
            <w:noProof/>
            <w:webHidden/>
          </w:rPr>
          <w:instrText xml:space="preserve"> PAGEREF _Toc454303929 \h </w:instrText>
        </w:r>
        <w:r w:rsidR="00634360">
          <w:rPr>
            <w:noProof/>
            <w:webHidden/>
          </w:rPr>
        </w:r>
        <w:r w:rsidR="00634360">
          <w:rPr>
            <w:noProof/>
            <w:webHidden/>
          </w:rPr>
          <w:fldChar w:fldCharType="separate"/>
        </w:r>
        <w:r w:rsidR="000E22F3">
          <w:rPr>
            <w:noProof/>
            <w:webHidden/>
          </w:rPr>
          <w:t>84</w:t>
        </w:r>
        <w:r w:rsidR="00634360">
          <w:rPr>
            <w:noProof/>
            <w:webHidden/>
          </w:rPr>
          <w:fldChar w:fldCharType="end"/>
        </w:r>
      </w:hyperlink>
    </w:p>
    <w:p w14:paraId="707BEF7B" w14:textId="3C2B556E" w:rsidR="00634360" w:rsidRDefault="00A87B15">
      <w:pPr>
        <w:pStyle w:val="TableofFigures"/>
        <w:tabs>
          <w:tab w:val="right" w:leader="dot" w:pos="9563"/>
        </w:tabs>
        <w:rPr>
          <w:rFonts w:eastAsiaTheme="minorEastAsia" w:cstheme="minorBidi"/>
          <w:noProof/>
        </w:rPr>
      </w:pPr>
      <w:hyperlink w:anchor="_Toc454303930" w:history="1">
        <w:r w:rsidR="00634360" w:rsidRPr="003C29BB">
          <w:rPr>
            <w:rStyle w:val="Hyperlink"/>
            <w:rFonts w:eastAsia="Calibri"/>
            <w:noProof/>
          </w:rPr>
          <w:t>Figure 5</w:t>
        </w:r>
        <w:r w:rsidR="00634360" w:rsidRPr="003C29BB">
          <w:rPr>
            <w:rStyle w:val="Hyperlink"/>
            <w:rFonts w:eastAsia="Calibri"/>
            <w:noProof/>
          </w:rPr>
          <w:noBreakHyphen/>
          <w:t>13: relationships between the total GBR areas exposed to the highest potential risk categories (II, III and IV) to river plume and the total GBR wet season river discharge. R</w:t>
        </w:r>
        <w:r w:rsidR="00634360" w:rsidRPr="003C29BB">
          <w:rPr>
            <w:rStyle w:val="Hyperlink"/>
            <w:rFonts w:eastAsia="Calibri"/>
            <w:noProof/>
            <w:vertAlign w:val="superscript"/>
          </w:rPr>
          <w:t>2</w:t>
        </w:r>
        <w:r w:rsidR="00634360" w:rsidRPr="003C29BB">
          <w:rPr>
            <w:rStyle w:val="Hyperlink"/>
            <w:rFonts w:eastAsia="Calibri"/>
            <w:noProof/>
          </w:rPr>
          <w:t xml:space="preserve"> calculated without considering data of 2011-12 and 2013-2014.</w:t>
        </w:r>
        <w:r w:rsidR="00634360">
          <w:rPr>
            <w:noProof/>
            <w:webHidden/>
          </w:rPr>
          <w:tab/>
        </w:r>
        <w:r w:rsidR="00634360">
          <w:rPr>
            <w:noProof/>
            <w:webHidden/>
          </w:rPr>
          <w:fldChar w:fldCharType="begin"/>
        </w:r>
        <w:r w:rsidR="00634360">
          <w:rPr>
            <w:noProof/>
            <w:webHidden/>
          </w:rPr>
          <w:instrText xml:space="preserve"> PAGEREF _Toc454303930 \h </w:instrText>
        </w:r>
        <w:r w:rsidR="00634360">
          <w:rPr>
            <w:noProof/>
            <w:webHidden/>
          </w:rPr>
        </w:r>
        <w:r w:rsidR="00634360">
          <w:rPr>
            <w:noProof/>
            <w:webHidden/>
          </w:rPr>
          <w:fldChar w:fldCharType="separate"/>
        </w:r>
        <w:r w:rsidR="000E22F3">
          <w:rPr>
            <w:noProof/>
            <w:webHidden/>
          </w:rPr>
          <w:t>90</w:t>
        </w:r>
        <w:r w:rsidR="00634360">
          <w:rPr>
            <w:noProof/>
            <w:webHidden/>
          </w:rPr>
          <w:fldChar w:fldCharType="end"/>
        </w:r>
      </w:hyperlink>
    </w:p>
    <w:p w14:paraId="5D9F44E2" w14:textId="7720FDAB" w:rsidR="00634360" w:rsidRDefault="00A87B15">
      <w:pPr>
        <w:pStyle w:val="TableofFigures"/>
        <w:tabs>
          <w:tab w:val="right" w:leader="dot" w:pos="9563"/>
        </w:tabs>
        <w:rPr>
          <w:rFonts w:eastAsiaTheme="minorEastAsia" w:cstheme="minorBidi"/>
          <w:noProof/>
        </w:rPr>
      </w:pPr>
      <w:hyperlink w:anchor="_Toc454303931" w:history="1">
        <w:r w:rsidR="00634360" w:rsidRPr="003C29BB">
          <w:rPr>
            <w:rStyle w:val="Hyperlink"/>
            <w:rFonts w:eastAsia="Calibri"/>
            <w:noProof/>
          </w:rPr>
          <w:t>Figure 5</w:t>
        </w:r>
        <w:r w:rsidR="00634360" w:rsidRPr="003C29BB">
          <w:rPr>
            <w:rStyle w:val="Hyperlink"/>
            <w:rFonts w:eastAsia="Calibri"/>
            <w:noProof/>
          </w:rPr>
          <w:noBreakHyphen/>
          <w:t>14: Multi-annual (2007-2013) “potential” river plume risk maps of (a) the GBR; (b) the Tully Herbert region and (c) the Burdekin region. Maps have been smoothed twice with a 4 pixel majority filter (ArcGIS).</w:t>
        </w:r>
        <w:r w:rsidR="00634360">
          <w:rPr>
            <w:noProof/>
            <w:webHidden/>
          </w:rPr>
          <w:tab/>
        </w:r>
        <w:r w:rsidR="00634360">
          <w:rPr>
            <w:noProof/>
            <w:webHidden/>
          </w:rPr>
          <w:fldChar w:fldCharType="begin"/>
        </w:r>
        <w:r w:rsidR="00634360">
          <w:rPr>
            <w:noProof/>
            <w:webHidden/>
          </w:rPr>
          <w:instrText xml:space="preserve"> PAGEREF _Toc454303931 \h </w:instrText>
        </w:r>
        <w:r w:rsidR="00634360">
          <w:rPr>
            <w:noProof/>
            <w:webHidden/>
          </w:rPr>
        </w:r>
        <w:r w:rsidR="00634360">
          <w:rPr>
            <w:noProof/>
            <w:webHidden/>
          </w:rPr>
          <w:fldChar w:fldCharType="separate"/>
        </w:r>
        <w:r w:rsidR="000E22F3">
          <w:rPr>
            <w:noProof/>
            <w:webHidden/>
          </w:rPr>
          <w:t>91</w:t>
        </w:r>
        <w:r w:rsidR="00634360">
          <w:rPr>
            <w:noProof/>
            <w:webHidden/>
          </w:rPr>
          <w:fldChar w:fldCharType="end"/>
        </w:r>
      </w:hyperlink>
    </w:p>
    <w:p w14:paraId="42226E0A" w14:textId="5677D62D" w:rsidR="00634360" w:rsidRDefault="00A87B15">
      <w:pPr>
        <w:pStyle w:val="TableofFigures"/>
        <w:tabs>
          <w:tab w:val="right" w:leader="dot" w:pos="9563"/>
        </w:tabs>
        <w:rPr>
          <w:rFonts w:eastAsiaTheme="minorEastAsia" w:cstheme="minorBidi"/>
          <w:noProof/>
        </w:rPr>
      </w:pPr>
      <w:hyperlink w:anchor="_Toc454303932" w:history="1">
        <w:r w:rsidR="00634360" w:rsidRPr="003C29BB">
          <w:rPr>
            <w:rStyle w:val="Hyperlink"/>
            <w:rFonts w:eastAsia="Calibri"/>
            <w:noProof/>
          </w:rPr>
          <w:t>Figure 5</w:t>
        </w:r>
        <w:r w:rsidR="00634360" w:rsidRPr="003C29BB">
          <w:rPr>
            <w:rStyle w:val="Hyperlink"/>
            <w:rFonts w:eastAsia="Calibri"/>
            <w:noProof/>
          </w:rPr>
          <w:noBreakHyphen/>
          <w:t>15: Multi-annual (2007-2014) areas (km</w:t>
        </w:r>
        <w:r w:rsidR="00634360" w:rsidRPr="003C29BB">
          <w:rPr>
            <w:rStyle w:val="Hyperlink"/>
            <w:rFonts w:eastAsia="Calibri"/>
            <w:noProof/>
            <w:vertAlign w:val="superscript"/>
          </w:rPr>
          <w:t>2</w:t>
        </w:r>
        <w:r w:rsidR="00634360" w:rsidRPr="003C29BB">
          <w:rPr>
            <w:rStyle w:val="Hyperlink"/>
            <w:rFonts w:eastAsia="Calibri"/>
            <w:noProof/>
          </w:rPr>
          <w:t>) of a) coral reefs, b) total seagrass, c) coastal seagrass and d) deepwater seagrass exposed to potential risk categories III and IV.</w:t>
        </w:r>
        <w:r w:rsidR="00634360">
          <w:rPr>
            <w:noProof/>
            <w:webHidden/>
          </w:rPr>
          <w:tab/>
        </w:r>
        <w:r w:rsidR="00634360">
          <w:rPr>
            <w:noProof/>
            <w:webHidden/>
          </w:rPr>
          <w:fldChar w:fldCharType="begin"/>
        </w:r>
        <w:r w:rsidR="00634360">
          <w:rPr>
            <w:noProof/>
            <w:webHidden/>
          </w:rPr>
          <w:instrText xml:space="preserve"> PAGEREF _Toc454303932 \h </w:instrText>
        </w:r>
        <w:r w:rsidR="00634360">
          <w:rPr>
            <w:noProof/>
            <w:webHidden/>
          </w:rPr>
        </w:r>
        <w:r w:rsidR="00634360">
          <w:rPr>
            <w:noProof/>
            <w:webHidden/>
          </w:rPr>
          <w:fldChar w:fldCharType="separate"/>
        </w:r>
        <w:r w:rsidR="000E22F3">
          <w:rPr>
            <w:noProof/>
            <w:webHidden/>
          </w:rPr>
          <w:t>92</w:t>
        </w:r>
        <w:r w:rsidR="00634360">
          <w:rPr>
            <w:noProof/>
            <w:webHidden/>
          </w:rPr>
          <w:fldChar w:fldCharType="end"/>
        </w:r>
      </w:hyperlink>
    </w:p>
    <w:p w14:paraId="4CDC443B" w14:textId="1606B5B4" w:rsidR="002D1F86" w:rsidRDefault="005935D5" w:rsidP="002D1F86">
      <w:pPr>
        <w:jc w:val="left"/>
        <w:rPr>
          <w:b/>
          <w:sz w:val="28"/>
          <w:szCs w:val="28"/>
        </w:rPr>
      </w:pPr>
      <w:r>
        <w:rPr>
          <w:b/>
          <w:sz w:val="28"/>
          <w:szCs w:val="28"/>
        </w:rPr>
        <w:fldChar w:fldCharType="end"/>
      </w:r>
    </w:p>
    <w:p w14:paraId="39327C5A" w14:textId="77777777" w:rsidR="002D1F86" w:rsidRDefault="002D1F86" w:rsidP="002D1F86">
      <w:pPr>
        <w:spacing w:before="0" w:after="0"/>
        <w:jc w:val="left"/>
        <w:rPr>
          <w:b/>
          <w:sz w:val="28"/>
          <w:szCs w:val="28"/>
        </w:rPr>
      </w:pPr>
      <w:r>
        <w:rPr>
          <w:b/>
          <w:sz w:val="28"/>
          <w:szCs w:val="28"/>
        </w:rPr>
        <w:br w:type="page"/>
      </w:r>
    </w:p>
    <w:p w14:paraId="60D95844" w14:textId="77777777" w:rsidR="002D1F86" w:rsidRDefault="002D1F86" w:rsidP="007557A2">
      <w:pPr>
        <w:pStyle w:val="Heading1"/>
      </w:pPr>
      <w:bookmarkStart w:id="4" w:name="_Toc454304686"/>
      <w:r>
        <w:lastRenderedPageBreak/>
        <w:t>LIST OF TABLES</w:t>
      </w:r>
      <w:bookmarkEnd w:id="4"/>
    </w:p>
    <w:p w14:paraId="79F131DC" w14:textId="64103BFE" w:rsidR="002A307B" w:rsidRDefault="005935D5">
      <w:pPr>
        <w:pStyle w:val="TableofFigures"/>
        <w:tabs>
          <w:tab w:val="right" w:leader="dot" w:pos="9563"/>
        </w:tabs>
        <w:rPr>
          <w:rFonts w:eastAsiaTheme="minorEastAsia" w:cstheme="minorBidi"/>
          <w:noProof/>
        </w:rPr>
      </w:pPr>
      <w:r>
        <w:rPr>
          <w:b/>
          <w:sz w:val="28"/>
          <w:szCs w:val="28"/>
        </w:rPr>
        <w:fldChar w:fldCharType="begin"/>
      </w:r>
      <w:r w:rsidR="002D1F86">
        <w:rPr>
          <w:b/>
          <w:sz w:val="28"/>
          <w:szCs w:val="28"/>
        </w:rPr>
        <w:instrText xml:space="preserve"> TOC \h \z \c "Table" </w:instrText>
      </w:r>
      <w:r>
        <w:rPr>
          <w:b/>
          <w:sz w:val="28"/>
          <w:szCs w:val="28"/>
        </w:rPr>
        <w:fldChar w:fldCharType="separate"/>
      </w:r>
      <w:hyperlink w:anchor="_Toc454304598" w:history="1">
        <w:r w:rsidR="002A307B" w:rsidRPr="00446338">
          <w:rPr>
            <w:rStyle w:val="Hyperlink"/>
            <w:noProof/>
          </w:rPr>
          <w:t>Table 1</w:t>
        </w:r>
        <w:r w:rsidR="002A307B" w:rsidRPr="00446338">
          <w:rPr>
            <w:rStyle w:val="Hyperlink"/>
            <w:noProof/>
          </w:rPr>
          <w:noBreakHyphen/>
          <w:t>1: Summary of the sampling effort carried out in the 2013-2014 wet season campaign by NRM, presenting the number of field trips per river/transect, sites sampled and the sampling period. Number in brackets stand to those sites that also had pesticides and phytoplankton sampling.</w:t>
        </w:r>
        <w:r w:rsidR="002A307B">
          <w:rPr>
            <w:noProof/>
            <w:webHidden/>
          </w:rPr>
          <w:tab/>
        </w:r>
        <w:r w:rsidR="002A307B">
          <w:rPr>
            <w:noProof/>
            <w:webHidden/>
          </w:rPr>
          <w:fldChar w:fldCharType="begin"/>
        </w:r>
        <w:r w:rsidR="002A307B">
          <w:rPr>
            <w:noProof/>
            <w:webHidden/>
          </w:rPr>
          <w:instrText xml:space="preserve"> PAGEREF _Toc454304598 \h </w:instrText>
        </w:r>
        <w:r w:rsidR="002A307B">
          <w:rPr>
            <w:noProof/>
            <w:webHidden/>
          </w:rPr>
        </w:r>
        <w:r w:rsidR="002A307B">
          <w:rPr>
            <w:noProof/>
            <w:webHidden/>
          </w:rPr>
          <w:fldChar w:fldCharType="separate"/>
        </w:r>
        <w:r w:rsidR="000E22F3">
          <w:rPr>
            <w:noProof/>
            <w:webHidden/>
          </w:rPr>
          <w:t>16</w:t>
        </w:r>
        <w:r w:rsidR="002A307B">
          <w:rPr>
            <w:noProof/>
            <w:webHidden/>
          </w:rPr>
          <w:fldChar w:fldCharType="end"/>
        </w:r>
      </w:hyperlink>
    </w:p>
    <w:p w14:paraId="3512B1CB" w14:textId="1D8254BC" w:rsidR="002A307B" w:rsidRDefault="00A87B15">
      <w:pPr>
        <w:pStyle w:val="TableofFigures"/>
        <w:tabs>
          <w:tab w:val="right" w:leader="dot" w:pos="9563"/>
        </w:tabs>
        <w:rPr>
          <w:rFonts w:eastAsiaTheme="minorEastAsia" w:cstheme="minorBidi"/>
          <w:noProof/>
        </w:rPr>
      </w:pPr>
      <w:hyperlink w:anchor="_Toc454304599" w:history="1">
        <w:r w:rsidR="002A307B" w:rsidRPr="00446338">
          <w:rPr>
            <w:rStyle w:val="Hyperlink"/>
            <w:noProof/>
          </w:rPr>
          <w:t>Table 1</w:t>
        </w:r>
        <w:r w:rsidR="002A307B" w:rsidRPr="00446338">
          <w:rPr>
            <w:rStyle w:val="Hyperlink"/>
            <w:noProof/>
          </w:rPr>
          <w:noBreakHyphen/>
          <w:t>2: List of all parameters collected in the MMP wet season water quality program.</w:t>
        </w:r>
        <w:r w:rsidR="002A307B">
          <w:rPr>
            <w:noProof/>
            <w:webHidden/>
          </w:rPr>
          <w:tab/>
        </w:r>
        <w:r w:rsidR="002A307B">
          <w:rPr>
            <w:noProof/>
            <w:webHidden/>
          </w:rPr>
          <w:fldChar w:fldCharType="begin"/>
        </w:r>
        <w:r w:rsidR="002A307B">
          <w:rPr>
            <w:noProof/>
            <w:webHidden/>
          </w:rPr>
          <w:instrText xml:space="preserve"> PAGEREF _Toc454304599 \h </w:instrText>
        </w:r>
        <w:r w:rsidR="002A307B">
          <w:rPr>
            <w:noProof/>
            <w:webHidden/>
          </w:rPr>
        </w:r>
        <w:r w:rsidR="002A307B">
          <w:rPr>
            <w:noProof/>
            <w:webHidden/>
          </w:rPr>
          <w:fldChar w:fldCharType="separate"/>
        </w:r>
        <w:r w:rsidR="000E22F3">
          <w:rPr>
            <w:noProof/>
            <w:webHidden/>
          </w:rPr>
          <w:t>17</w:t>
        </w:r>
        <w:r w:rsidR="002A307B">
          <w:rPr>
            <w:noProof/>
            <w:webHidden/>
          </w:rPr>
          <w:fldChar w:fldCharType="end"/>
        </w:r>
      </w:hyperlink>
    </w:p>
    <w:p w14:paraId="293B8FBD" w14:textId="1B1C0198" w:rsidR="002A307B" w:rsidRDefault="00A87B15">
      <w:pPr>
        <w:pStyle w:val="TableofFigures"/>
        <w:tabs>
          <w:tab w:val="right" w:leader="dot" w:pos="9563"/>
        </w:tabs>
        <w:rPr>
          <w:rFonts w:eastAsiaTheme="minorEastAsia" w:cstheme="minorBidi"/>
          <w:noProof/>
        </w:rPr>
      </w:pPr>
      <w:hyperlink w:anchor="_Toc454304600" w:history="1">
        <w:r w:rsidR="002A307B" w:rsidRPr="00446338">
          <w:rPr>
            <w:rStyle w:val="Hyperlink"/>
            <w:noProof/>
          </w:rPr>
          <w:t>Table 1</w:t>
        </w:r>
        <w:r w:rsidR="002A307B" w:rsidRPr="00446338">
          <w:rPr>
            <w:rStyle w:val="Hyperlink"/>
            <w:noProof/>
          </w:rPr>
          <w:noBreakHyphen/>
          <w:t>3: Total sediment discharged by the major Wet Tropics' rivers due to the 19-day passage of ex-Tropical Cyclone Ita and its mass contribution to each NRM region.</w:t>
        </w:r>
        <w:r w:rsidR="002A307B">
          <w:rPr>
            <w:noProof/>
            <w:webHidden/>
          </w:rPr>
          <w:tab/>
        </w:r>
        <w:r w:rsidR="002A307B">
          <w:rPr>
            <w:noProof/>
            <w:webHidden/>
          </w:rPr>
          <w:fldChar w:fldCharType="begin"/>
        </w:r>
        <w:r w:rsidR="002A307B">
          <w:rPr>
            <w:noProof/>
            <w:webHidden/>
          </w:rPr>
          <w:instrText xml:space="preserve"> PAGEREF _Toc454304600 \h </w:instrText>
        </w:r>
        <w:r w:rsidR="002A307B">
          <w:rPr>
            <w:noProof/>
            <w:webHidden/>
          </w:rPr>
        </w:r>
        <w:r w:rsidR="002A307B">
          <w:rPr>
            <w:noProof/>
            <w:webHidden/>
          </w:rPr>
          <w:fldChar w:fldCharType="separate"/>
        </w:r>
        <w:r w:rsidR="000E22F3">
          <w:rPr>
            <w:noProof/>
            <w:webHidden/>
          </w:rPr>
          <w:t>18</w:t>
        </w:r>
        <w:r w:rsidR="002A307B">
          <w:rPr>
            <w:noProof/>
            <w:webHidden/>
          </w:rPr>
          <w:fldChar w:fldCharType="end"/>
        </w:r>
      </w:hyperlink>
    </w:p>
    <w:p w14:paraId="6D061B13" w14:textId="7102EC45" w:rsidR="002A307B" w:rsidRDefault="00A87B15">
      <w:pPr>
        <w:pStyle w:val="TableofFigures"/>
        <w:tabs>
          <w:tab w:val="right" w:leader="dot" w:pos="9563"/>
        </w:tabs>
        <w:rPr>
          <w:rFonts w:eastAsiaTheme="minorEastAsia" w:cstheme="minorBidi"/>
          <w:noProof/>
        </w:rPr>
      </w:pPr>
      <w:hyperlink w:anchor="_Toc454304601" w:history="1">
        <w:r w:rsidR="002A307B" w:rsidRPr="00446338">
          <w:rPr>
            <w:rStyle w:val="Hyperlink"/>
            <w:noProof/>
          </w:rPr>
          <w:t>Table 1</w:t>
        </w:r>
        <w:r w:rsidR="002A307B" w:rsidRPr="00446338">
          <w:rPr>
            <w:rStyle w:val="Hyperlink"/>
            <w:noProof/>
          </w:rPr>
          <w:noBreakHyphen/>
          <w:t>4: Characteristics of remote sensed products developed partly through MMP funding described against management outcomes.</w:t>
        </w:r>
        <w:r w:rsidR="002A307B">
          <w:rPr>
            <w:noProof/>
            <w:webHidden/>
          </w:rPr>
          <w:tab/>
        </w:r>
        <w:r w:rsidR="002A307B">
          <w:rPr>
            <w:noProof/>
            <w:webHidden/>
          </w:rPr>
          <w:fldChar w:fldCharType="begin"/>
        </w:r>
        <w:r w:rsidR="002A307B">
          <w:rPr>
            <w:noProof/>
            <w:webHidden/>
          </w:rPr>
          <w:instrText xml:space="preserve"> PAGEREF _Toc454304601 \h </w:instrText>
        </w:r>
        <w:r w:rsidR="002A307B">
          <w:rPr>
            <w:noProof/>
            <w:webHidden/>
          </w:rPr>
        </w:r>
        <w:r w:rsidR="002A307B">
          <w:rPr>
            <w:noProof/>
            <w:webHidden/>
          </w:rPr>
          <w:fldChar w:fldCharType="separate"/>
        </w:r>
        <w:r w:rsidR="000E22F3">
          <w:rPr>
            <w:noProof/>
            <w:webHidden/>
          </w:rPr>
          <w:t>19</w:t>
        </w:r>
        <w:r w:rsidR="002A307B">
          <w:rPr>
            <w:noProof/>
            <w:webHidden/>
          </w:rPr>
          <w:fldChar w:fldCharType="end"/>
        </w:r>
      </w:hyperlink>
    </w:p>
    <w:p w14:paraId="1E49AACE" w14:textId="61CF26B4" w:rsidR="002A307B" w:rsidRDefault="00A87B15">
      <w:pPr>
        <w:pStyle w:val="TableofFigures"/>
        <w:tabs>
          <w:tab w:val="right" w:leader="dot" w:pos="9563"/>
        </w:tabs>
        <w:rPr>
          <w:rFonts w:eastAsiaTheme="minorEastAsia" w:cstheme="minorBidi"/>
          <w:noProof/>
        </w:rPr>
      </w:pPr>
      <w:hyperlink w:anchor="_Toc454304602" w:history="1">
        <w:r w:rsidR="002A307B" w:rsidRPr="00446338">
          <w:rPr>
            <w:rStyle w:val="Hyperlink"/>
            <w:noProof/>
          </w:rPr>
          <w:t>Table 1</w:t>
        </w:r>
        <w:r w:rsidR="002A307B" w:rsidRPr="00446338">
          <w:rPr>
            <w:rStyle w:val="Hyperlink"/>
            <w:noProof/>
          </w:rPr>
          <w:noBreakHyphen/>
          <w:t>5:</w:t>
        </w:r>
        <w:r w:rsidR="002A307B" w:rsidRPr="00446338">
          <w:rPr>
            <w:rStyle w:val="Hyperlink"/>
            <w:b/>
            <w:i/>
            <w:noProof/>
          </w:rPr>
          <w:t xml:space="preserve"> </w:t>
        </w:r>
        <w:r w:rsidR="002A307B" w:rsidRPr="00446338">
          <w:rPr>
            <w:rStyle w:val="Hyperlink"/>
            <w:noProof/>
          </w:rPr>
          <w:t>Mean and standard deviation (±) WQ data across plume water type (P: Primary, S: Secondary, T: Tertiary) and in the ambient marine waters (M).</w:t>
        </w:r>
        <w:r w:rsidR="002A307B">
          <w:rPr>
            <w:noProof/>
            <w:webHidden/>
          </w:rPr>
          <w:tab/>
        </w:r>
        <w:r w:rsidR="002A307B">
          <w:rPr>
            <w:noProof/>
            <w:webHidden/>
          </w:rPr>
          <w:fldChar w:fldCharType="begin"/>
        </w:r>
        <w:r w:rsidR="002A307B">
          <w:rPr>
            <w:noProof/>
            <w:webHidden/>
          </w:rPr>
          <w:instrText xml:space="preserve"> PAGEREF _Toc454304602 \h </w:instrText>
        </w:r>
        <w:r w:rsidR="002A307B">
          <w:rPr>
            <w:noProof/>
            <w:webHidden/>
          </w:rPr>
        </w:r>
        <w:r w:rsidR="002A307B">
          <w:rPr>
            <w:noProof/>
            <w:webHidden/>
          </w:rPr>
          <w:fldChar w:fldCharType="separate"/>
        </w:r>
        <w:r w:rsidR="000E22F3">
          <w:rPr>
            <w:noProof/>
            <w:webHidden/>
          </w:rPr>
          <w:t>19</w:t>
        </w:r>
        <w:r w:rsidR="002A307B">
          <w:rPr>
            <w:noProof/>
            <w:webHidden/>
          </w:rPr>
          <w:fldChar w:fldCharType="end"/>
        </w:r>
      </w:hyperlink>
    </w:p>
    <w:p w14:paraId="0B2A60E7" w14:textId="7ABC961F" w:rsidR="002A307B" w:rsidRDefault="00A87B15">
      <w:pPr>
        <w:pStyle w:val="TableofFigures"/>
        <w:tabs>
          <w:tab w:val="right" w:leader="dot" w:pos="9563"/>
        </w:tabs>
        <w:rPr>
          <w:rFonts w:eastAsiaTheme="minorEastAsia" w:cstheme="minorBidi"/>
          <w:noProof/>
        </w:rPr>
      </w:pPr>
      <w:hyperlink w:anchor="_Toc454304603" w:history="1">
        <w:r w:rsidR="002A307B" w:rsidRPr="00446338">
          <w:rPr>
            <w:rStyle w:val="Hyperlink"/>
            <w:noProof/>
          </w:rPr>
          <w:t>Table 2</w:t>
        </w:r>
        <w:r w:rsidR="002A307B" w:rsidRPr="00446338">
          <w:rPr>
            <w:rStyle w:val="Hyperlink"/>
            <w:noProof/>
          </w:rPr>
          <w:noBreakHyphen/>
          <w:t>1: Description of outputs related to the aims of the MMP wet season monitoring program.</w:t>
        </w:r>
        <w:r w:rsidR="002A307B">
          <w:rPr>
            <w:noProof/>
            <w:webHidden/>
          </w:rPr>
          <w:tab/>
        </w:r>
        <w:r w:rsidR="002A307B">
          <w:rPr>
            <w:noProof/>
            <w:webHidden/>
          </w:rPr>
          <w:fldChar w:fldCharType="begin"/>
        </w:r>
        <w:r w:rsidR="002A307B">
          <w:rPr>
            <w:noProof/>
            <w:webHidden/>
          </w:rPr>
          <w:instrText xml:space="preserve"> PAGEREF _Toc454304603 \h </w:instrText>
        </w:r>
        <w:r w:rsidR="002A307B">
          <w:rPr>
            <w:noProof/>
            <w:webHidden/>
          </w:rPr>
        </w:r>
        <w:r w:rsidR="002A307B">
          <w:rPr>
            <w:noProof/>
            <w:webHidden/>
          </w:rPr>
          <w:fldChar w:fldCharType="separate"/>
        </w:r>
        <w:r w:rsidR="000E22F3">
          <w:rPr>
            <w:noProof/>
            <w:webHidden/>
          </w:rPr>
          <w:t>26</w:t>
        </w:r>
        <w:r w:rsidR="002A307B">
          <w:rPr>
            <w:noProof/>
            <w:webHidden/>
          </w:rPr>
          <w:fldChar w:fldCharType="end"/>
        </w:r>
      </w:hyperlink>
    </w:p>
    <w:p w14:paraId="73D43D01" w14:textId="129BB4FB" w:rsidR="002A307B" w:rsidRDefault="00A87B15">
      <w:pPr>
        <w:pStyle w:val="TableofFigures"/>
        <w:tabs>
          <w:tab w:val="right" w:leader="dot" w:pos="9563"/>
        </w:tabs>
        <w:rPr>
          <w:rFonts w:eastAsiaTheme="minorEastAsia" w:cstheme="minorBidi"/>
          <w:noProof/>
        </w:rPr>
      </w:pPr>
      <w:hyperlink w:anchor="_Toc454304604" w:history="1">
        <w:r w:rsidR="002A307B" w:rsidRPr="00446338">
          <w:rPr>
            <w:rStyle w:val="Hyperlink"/>
            <w:noProof/>
          </w:rPr>
          <w:t>Table 3</w:t>
        </w:r>
        <w:r w:rsidR="002A307B" w:rsidRPr="00446338">
          <w:rPr>
            <w:rStyle w:val="Hyperlink"/>
            <w:noProof/>
          </w:rPr>
          <w:noBreakHyphen/>
          <w:t xml:space="preserve">1: Long term river discharge (ML) statistics of GBR rivers for the 2012-2014 hydrological year (c.a., Oct-1 to Sep-30), compared against the previous three hydrological years, and long-term (LT) medians, means and standard deviations (SD). Colours indicate levels above the long-term median: yellow for 1.5 to 2 times; orange for 2 to 3 times, and red for greater than 3 times. Long term statistics were calculated based on a hydrological year taking into account measurements from 1915 to 2000. (Data source: DNRM). </w:t>
        </w:r>
        <w:r w:rsidR="002A307B" w:rsidRPr="00446338">
          <w:rPr>
            <w:rStyle w:val="Hyperlink"/>
            <w:rFonts w:cs="Arial"/>
            <w:noProof/>
          </w:rPr>
          <w:t>Discharge for Tully at Euramo station (113006A) for the dry season was estimated as 3.5941 times the Tully discharge at Gorge National Park station (113015A), based on a long-term discharge comparison for flows &lt; 20,000 ML/day (r-sq = 0.802).</w:t>
        </w:r>
        <w:r w:rsidR="002A307B">
          <w:rPr>
            <w:noProof/>
            <w:webHidden/>
          </w:rPr>
          <w:tab/>
        </w:r>
        <w:r w:rsidR="002A307B">
          <w:rPr>
            <w:noProof/>
            <w:webHidden/>
          </w:rPr>
          <w:fldChar w:fldCharType="begin"/>
        </w:r>
        <w:r w:rsidR="002A307B">
          <w:rPr>
            <w:noProof/>
            <w:webHidden/>
          </w:rPr>
          <w:instrText xml:space="preserve"> PAGEREF _Toc454304604 \h </w:instrText>
        </w:r>
        <w:r w:rsidR="002A307B">
          <w:rPr>
            <w:noProof/>
            <w:webHidden/>
          </w:rPr>
        </w:r>
        <w:r w:rsidR="002A307B">
          <w:rPr>
            <w:noProof/>
            <w:webHidden/>
          </w:rPr>
          <w:fldChar w:fldCharType="separate"/>
        </w:r>
        <w:r w:rsidR="000E22F3">
          <w:rPr>
            <w:noProof/>
            <w:webHidden/>
          </w:rPr>
          <w:t>29</w:t>
        </w:r>
        <w:r w:rsidR="002A307B">
          <w:rPr>
            <w:noProof/>
            <w:webHidden/>
          </w:rPr>
          <w:fldChar w:fldCharType="end"/>
        </w:r>
      </w:hyperlink>
    </w:p>
    <w:p w14:paraId="30354D52" w14:textId="53C182EA" w:rsidR="002A307B" w:rsidRDefault="00A87B15">
      <w:pPr>
        <w:pStyle w:val="TableofFigures"/>
        <w:tabs>
          <w:tab w:val="right" w:leader="dot" w:pos="9563"/>
        </w:tabs>
        <w:rPr>
          <w:rFonts w:eastAsiaTheme="minorEastAsia" w:cstheme="minorBidi"/>
          <w:noProof/>
        </w:rPr>
      </w:pPr>
      <w:hyperlink w:anchor="_Toc454304605" w:history="1">
        <w:r w:rsidR="002A307B" w:rsidRPr="00446338">
          <w:rPr>
            <w:rStyle w:val="Hyperlink"/>
            <w:noProof/>
          </w:rPr>
          <w:t>Table 3</w:t>
        </w:r>
        <w:r w:rsidR="002A307B" w:rsidRPr="00446338">
          <w:rPr>
            <w:rStyle w:val="Hyperlink"/>
            <w:noProof/>
          </w:rPr>
          <w:noBreakHyphen/>
          <w:t>2: The 75</w:t>
        </w:r>
        <w:r w:rsidR="002A307B" w:rsidRPr="00446338">
          <w:rPr>
            <w:rStyle w:val="Hyperlink"/>
            <w:noProof/>
            <w:vertAlign w:val="superscript"/>
          </w:rPr>
          <w:t>th</w:t>
        </w:r>
        <w:r w:rsidR="002A307B" w:rsidRPr="00446338">
          <w:rPr>
            <w:rStyle w:val="Hyperlink"/>
            <w:noProof/>
          </w:rPr>
          <w:t xml:space="preserve"> and 95</w:t>
        </w:r>
        <w:r w:rsidR="002A307B" w:rsidRPr="00446338">
          <w:rPr>
            <w:rStyle w:val="Hyperlink"/>
            <w:noProof/>
            <w:vertAlign w:val="superscript"/>
          </w:rPr>
          <w:t>th</w:t>
        </w:r>
        <w:r w:rsidR="002A307B" w:rsidRPr="00446338">
          <w:rPr>
            <w:rStyle w:val="Hyperlink"/>
            <w:noProof/>
          </w:rPr>
          <w:t xml:space="preserve"> percentile flow (ML/day) for the major GBR rivers (based on flow between 1970 to 2000 obtained from DNRM).</w:t>
        </w:r>
        <w:r w:rsidR="002A307B">
          <w:rPr>
            <w:noProof/>
            <w:webHidden/>
          </w:rPr>
          <w:tab/>
        </w:r>
        <w:r w:rsidR="002A307B">
          <w:rPr>
            <w:noProof/>
            <w:webHidden/>
          </w:rPr>
          <w:fldChar w:fldCharType="begin"/>
        </w:r>
        <w:r w:rsidR="002A307B">
          <w:rPr>
            <w:noProof/>
            <w:webHidden/>
          </w:rPr>
          <w:instrText xml:space="preserve"> PAGEREF _Toc454304605 \h </w:instrText>
        </w:r>
        <w:r w:rsidR="002A307B">
          <w:rPr>
            <w:noProof/>
            <w:webHidden/>
          </w:rPr>
        </w:r>
        <w:r w:rsidR="002A307B">
          <w:rPr>
            <w:noProof/>
            <w:webHidden/>
          </w:rPr>
          <w:fldChar w:fldCharType="separate"/>
        </w:r>
        <w:r w:rsidR="000E22F3">
          <w:rPr>
            <w:noProof/>
            <w:webHidden/>
          </w:rPr>
          <w:t>30</w:t>
        </w:r>
        <w:r w:rsidR="002A307B">
          <w:rPr>
            <w:noProof/>
            <w:webHidden/>
          </w:rPr>
          <w:fldChar w:fldCharType="end"/>
        </w:r>
      </w:hyperlink>
    </w:p>
    <w:p w14:paraId="07E4034E" w14:textId="37F51697" w:rsidR="002A307B" w:rsidRDefault="00A87B15">
      <w:pPr>
        <w:pStyle w:val="TableofFigures"/>
        <w:tabs>
          <w:tab w:val="right" w:leader="dot" w:pos="9563"/>
        </w:tabs>
        <w:rPr>
          <w:rFonts w:eastAsiaTheme="minorEastAsia" w:cstheme="minorBidi"/>
          <w:noProof/>
        </w:rPr>
      </w:pPr>
      <w:hyperlink w:anchor="_Toc454304606" w:history="1">
        <w:r w:rsidR="002A307B" w:rsidRPr="00446338">
          <w:rPr>
            <w:rStyle w:val="Hyperlink"/>
            <w:noProof/>
          </w:rPr>
          <w:t>Table 4</w:t>
        </w:r>
        <w:r w:rsidR="002A307B" w:rsidRPr="00446338">
          <w:rPr>
            <w:rStyle w:val="Hyperlink"/>
            <w:noProof/>
          </w:rPr>
          <w:noBreakHyphen/>
          <w:t>1: Summary of the sampling effort carried out in the 2013-2014 wet season campaign by NRM, presenting the number of field trips per River/transect, sites sampled and the sampling period. Number in brackets stand the those sites that also had pesticides and phytoplankton sampling.</w:t>
        </w:r>
        <w:r w:rsidR="002A307B">
          <w:rPr>
            <w:noProof/>
            <w:webHidden/>
          </w:rPr>
          <w:tab/>
        </w:r>
        <w:r w:rsidR="002A307B">
          <w:rPr>
            <w:noProof/>
            <w:webHidden/>
          </w:rPr>
          <w:fldChar w:fldCharType="begin"/>
        </w:r>
        <w:r w:rsidR="002A307B">
          <w:rPr>
            <w:noProof/>
            <w:webHidden/>
          </w:rPr>
          <w:instrText xml:space="preserve"> PAGEREF _Toc454304606 \h </w:instrText>
        </w:r>
        <w:r w:rsidR="002A307B">
          <w:rPr>
            <w:noProof/>
            <w:webHidden/>
          </w:rPr>
        </w:r>
        <w:r w:rsidR="002A307B">
          <w:rPr>
            <w:noProof/>
            <w:webHidden/>
          </w:rPr>
          <w:fldChar w:fldCharType="separate"/>
        </w:r>
        <w:r w:rsidR="000E22F3">
          <w:rPr>
            <w:noProof/>
            <w:webHidden/>
          </w:rPr>
          <w:t>35</w:t>
        </w:r>
        <w:r w:rsidR="002A307B">
          <w:rPr>
            <w:noProof/>
            <w:webHidden/>
          </w:rPr>
          <w:fldChar w:fldCharType="end"/>
        </w:r>
      </w:hyperlink>
    </w:p>
    <w:p w14:paraId="515F89DF" w14:textId="02A2BB12" w:rsidR="002A307B" w:rsidRDefault="00A87B15">
      <w:pPr>
        <w:pStyle w:val="TableofFigures"/>
        <w:tabs>
          <w:tab w:val="right" w:leader="dot" w:pos="9563"/>
        </w:tabs>
        <w:rPr>
          <w:rFonts w:eastAsiaTheme="minorEastAsia" w:cstheme="minorBidi"/>
          <w:noProof/>
        </w:rPr>
      </w:pPr>
      <w:hyperlink w:anchor="_Toc454304607" w:history="1">
        <w:r w:rsidR="002A307B" w:rsidRPr="00446338">
          <w:rPr>
            <w:rStyle w:val="Hyperlink"/>
            <w:noProof/>
          </w:rPr>
          <w:t>Table 4</w:t>
        </w:r>
        <w:r w:rsidR="002A307B" w:rsidRPr="00446338">
          <w:rPr>
            <w:rStyle w:val="Hyperlink"/>
            <w:noProof/>
          </w:rPr>
          <w:noBreakHyphen/>
          <w:t>2: Summary of chemical and biological parameters sampled for the MMP flood plume monitoring.</w:t>
        </w:r>
        <w:r w:rsidR="002A307B">
          <w:rPr>
            <w:noProof/>
            <w:webHidden/>
          </w:rPr>
          <w:tab/>
        </w:r>
        <w:r w:rsidR="002A307B">
          <w:rPr>
            <w:noProof/>
            <w:webHidden/>
          </w:rPr>
          <w:fldChar w:fldCharType="begin"/>
        </w:r>
        <w:r w:rsidR="002A307B">
          <w:rPr>
            <w:noProof/>
            <w:webHidden/>
          </w:rPr>
          <w:instrText xml:space="preserve"> PAGEREF _Toc454304607 \h </w:instrText>
        </w:r>
        <w:r w:rsidR="002A307B">
          <w:rPr>
            <w:noProof/>
            <w:webHidden/>
          </w:rPr>
        </w:r>
        <w:r w:rsidR="002A307B">
          <w:rPr>
            <w:noProof/>
            <w:webHidden/>
          </w:rPr>
          <w:fldChar w:fldCharType="separate"/>
        </w:r>
        <w:r w:rsidR="000E22F3">
          <w:rPr>
            <w:noProof/>
            <w:webHidden/>
          </w:rPr>
          <w:t>38</w:t>
        </w:r>
        <w:r w:rsidR="002A307B">
          <w:rPr>
            <w:noProof/>
            <w:webHidden/>
          </w:rPr>
          <w:fldChar w:fldCharType="end"/>
        </w:r>
      </w:hyperlink>
    </w:p>
    <w:p w14:paraId="5939153D" w14:textId="70B7AD7E" w:rsidR="002A307B" w:rsidRDefault="00A87B15">
      <w:pPr>
        <w:pStyle w:val="TableofFigures"/>
        <w:tabs>
          <w:tab w:val="right" w:leader="dot" w:pos="9563"/>
        </w:tabs>
        <w:rPr>
          <w:rFonts w:eastAsiaTheme="minorEastAsia" w:cstheme="minorBidi"/>
          <w:noProof/>
        </w:rPr>
      </w:pPr>
      <w:hyperlink w:anchor="_Toc454304608" w:history="1">
        <w:r w:rsidR="002A307B" w:rsidRPr="00446338">
          <w:rPr>
            <w:rStyle w:val="Hyperlink"/>
            <w:noProof/>
          </w:rPr>
          <w:t>Table 4</w:t>
        </w:r>
        <w:r w:rsidR="002A307B" w:rsidRPr="00446338">
          <w:rPr>
            <w:rStyle w:val="Hyperlink"/>
            <w:noProof/>
          </w:rPr>
          <w:noBreakHyphen/>
          <w:t>3: Summary of statistical analysis techniques exploring spatial variation applied to the WQ parameters sampled within the wet 2012-2013 wet season.</w:t>
        </w:r>
        <w:r w:rsidR="002A307B">
          <w:rPr>
            <w:noProof/>
            <w:webHidden/>
          </w:rPr>
          <w:tab/>
        </w:r>
        <w:r w:rsidR="002A307B">
          <w:rPr>
            <w:noProof/>
            <w:webHidden/>
          </w:rPr>
          <w:fldChar w:fldCharType="begin"/>
        </w:r>
        <w:r w:rsidR="002A307B">
          <w:rPr>
            <w:noProof/>
            <w:webHidden/>
          </w:rPr>
          <w:instrText xml:space="preserve"> PAGEREF _Toc454304608 \h </w:instrText>
        </w:r>
        <w:r w:rsidR="002A307B">
          <w:rPr>
            <w:noProof/>
            <w:webHidden/>
          </w:rPr>
        </w:r>
        <w:r w:rsidR="002A307B">
          <w:rPr>
            <w:noProof/>
            <w:webHidden/>
          </w:rPr>
          <w:fldChar w:fldCharType="separate"/>
        </w:r>
        <w:r w:rsidR="000E22F3">
          <w:rPr>
            <w:noProof/>
            <w:webHidden/>
          </w:rPr>
          <w:t>39</w:t>
        </w:r>
        <w:r w:rsidR="002A307B">
          <w:rPr>
            <w:noProof/>
            <w:webHidden/>
          </w:rPr>
          <w:fldChar w:fldCharType="end"/>
        </w:r>
      </w:hyperlink>
    </w:p>
    <w:p w14:paraId="7DF0AE35" w14:textId="5B1AA8CF" w:rsidR="002A307B" w:rsidRDefault="00A87B15">
      <w:pPr>
        <w:pStyle w:val="TableofFigures"/>
        <w:tabs>
          <w:tab w:val="right" w:leader="dot" w:pos="9563"/>
        </w:tabs>
        <w:rPr>
          <w:rFonts w:eastAsiaTheme="minorEastAsia" w:cstheme="minorBidi"/>
          <w:noProof/>
        </w:rPr>
      </w:pPr>
      <w:hyperlink w:anchor="_Toc454304609" w:history="1">
        <w:r w:rsidR="002A307B" w:rsidRPr="00446338">
          <w:rPr>
            <w:rStyle w:val="Hyperlink"/>
            <w:noProof/>
          </w:rPr>
          <w:t>Table 4</w:t>
        </w:r>
        <w:r w:rsidR="002A307B" w:rsidRPr="00446338">
          <w:rPr>
            <w:rStyle w:val="Hyperlink"/>
            <w:noProof/>
          </w:rPr>
          <w:noBreakHyphen/>
          <w:t>4: Summary of transects that were completed and including in this report during the 2013-2014 wet season under the MMP program. Minimum (min), maximum (max), mean, standard deviation (SD) and the number of samples are calculated over multiple sites and multiple dates within each river plume water surface and are provided as a guidance of the range of values within each sampling transect.</w:t>
        </w:r>
        <w:r w:rsidR="002A307B">
          <w:rPr>
            <w:noProof/>
            <w:webHidden/>
          </w:rPr>
          <w:tab/>
        </w:r>
        <w:r w:rsidR="002A307B">
          <w:rPr>
            <w:noProof/>
            <w:webHidden/>
          </w:rPr>
          <w:fldChar w:fldCharType="begin"/>
        </w:r>
        <w:r w:rsidR="002A307B">
          <w:rPr>
            <w:noProof/>
            <w:webHidden/>
          </w:rPr>
          <w:instrText xml:space="preserve"> PAGEREF _Toc454304609 \h </w:instrText>
        </w:r>
        <w:r w:rsidR="002A307B">
          <w:rPr>
            <w:noProof/>
            <w:webHidden/>
          </w:rPr>
        </w:r>
        <w:r w:rsidR="002A307B">
          <w:rPr>
            <w:noProof/>
            <w:webHidden/>
          </w:rPr>
          <w:fldChar w:fldCharType="separate"/>
        </w:r>
        <w:r w:rsidR="000E22F3">
          <w:rPr>
            <w:noProof/>
            <w:webHidden/>
          </w:rPr>
          <w:t>43</w:t>
        </w:r>
        <w:r w:rsidR="002A307B">
          <w:rPr>
            <w:noProof/>
            <w:webHidden/>
          </w:rPr>
          <w:fldChar w:fldCharType="end"/>
        </w:r>
      </w:hyperlink>
    </w:p>
    <w:p w14:paraId="15581A6C" w14:textId="0F162DE1" w:rsidR="002A307B" w:rsidRDefault="00A87B15">
      <w:pPr>
        <w:pStyle w:val="TableofFigures"/>
        <w:tabs>
          <w:tab w:val="right" w:leader="dot" w:pos="9563"/>
        </w:tabs>
        <w:rPr>
          <w:rFonts w:eastAsiaTheme="minorEastAsia" w:cstheme="minorBidi"/>
          <w:noProof/>
        </w:rPr>
      </w:pPr>
      <w:hyperlink w:anchor="_Toc454304610" w:history="1">
        <w:r w:rsidR="002A307B" w:rsidRPr="00446338">
          <w:rPr>
            <w:rStyle w:val="Hyperlink"/>
            <w:noProof/>
          </w:rPr>
          <w:t>Table 4</w:t>
        </w:r>
        <w:r w:rsidR="002A307B" w:rsidRPr="00446338">
          <w:rPr>
            <w:rStyle w:val="Hyperlink"/>
            <w:noProof/>
          </w:rPr>
          <w:noBreakHyphen/>
          <w:t>5: Spearman’s rank correlation coefficients for the parameters from the Tully sites sampled more than 20 times in the Wet Tropics in the 2013-2014 wet season. All highlighted values are significant at p &lt; 0.01 and represent a correlation &gt;0.6 or &lt;-0.6. Parameters listed in the table are 5-day average discharge (Disch.), distance between the river mouth and the sampling site Dist.), surface salinity (Sal.),  surface water temperature (Temp.), TSS, Chl-a TN, PN, DIN, TP, PP, DIP and Si.</w:t>
        </w:r>
        <w:r w:rsidR="002A307B">
          <w:rPr>
            <w:noProof/>
            <w:webHidden/>
          </w:rPr>
          <w:tab/>
        </w:r>
        <w:r w:rsidR="002A307B">
          <w:rPr>
            <w:noProof/>
            <w:webHidden/>
          </w:rPr>
          <w:fldChar w:fldCharType="begin"/>
        </w:r>
        <w:r w:rsidR="002A307B">
          <w:rPr>
            <w:noProof/>
            <w:webHidden/>
          </w:rPr>
          <w:instrText xml:space="preserve"> PAGEREF _Toc454304610 \h </w:instrText>
        </w:r>
        <w:r w:rsidR="002A307B">
          <w:rPr>
            <w:noProof/>
            <w:webHidden/>
          </w:rPr>
        </w:r>
        <w:r w:rsidR="002A307B">
          <w:rPr>
            <w:noProof/>
            <w:webHidden/>
          </w:rPr>
          <w:fldChar w:fldCharType="separate"/>
        </w:r>
        <w:r w:rsidR="000E22F3">
          <w:rPr>
            <w:noProof/>
            <w:webHidden/>
          </w:rPr>
          <w:t>52</w:t>
        </w:r>
        <w:r w:rsidR="002A307B">
          <w:rPr>
            <w:noProof/>
            <w:webHidden/>
          </w:rPr>
          <w:fldChar w:fldCharType="end"/>
        </w:r>
      </w:hyperlink>
    </w:p>
    <w:p w14:paraId="6FFA5BC0" w14:textId="2BE60797" w:rsidR="002A307B" w:rsidRDefault="00A87B15">
      <w:pPr>
        <w:pStyle w:val="TableofFigures"/>
        <w:tabs>
          <w:tab w:val="right" w:leader="dot" w:pos="9563"/>
        </w:tabs>
        <w:rPr>
          <w:rFonts w:eastAsiaTheme="minorEastAsia" w:cstheme="minorBidi"/>
          <w:noProof/>
        </w:rPr>
      </w:pPr>
      <w:hyperlink w:anchor="_Toc454304611" w:history="1">
        <w:r w:rsidR="002A307B" w:rsidRPr="00446338">
          <w:rPr>
            <w:rStyle w:val="Hyperlink"/>
            <w:noProof/>
          </w:rPr>
          <w:t>Table 4</w:t>
        </w:r>
        <w:r w:rsidR="002A307B" w:rsidRPr="00446338">
          <w:rPr>
            <w:rStyle w:val="Hyperlink"/>
            <w:noProof/>
          </w:rPr>
          <w:noBreakHyphen/>
          <w:t>6:  Spearman’s rank correlation coefficients for the parameters from the Russell-Mulgrave sites sampled more than 20 times in the Wet Tropics in the 2013-2014 wet season. All highlighted values are significant at p &lt; 0.01 and represent a correlation &gt;0.6 or &lt;-0.6. Parameters listed in the table are 5-day average discharge (Disch.), distance between the river mouth and the sampling site (Dist), salinity, temperature, TSS, Chl-a TN, PN, DIN, TP, PP, DIP and Si.</w:t>
        </w:r>
        <w:r w:rsidR="002A307B">
          <w:rPr>
            <w:noProof/>
            <w:webHidden/>
          </w:rPr>
          <w:tab/>
        </w:r>
        <w:r w:rsidR="002A307B">
          <w:rPr>
            <w:noProof/>
            <w:webHidden/>
          </w:rPr>
          <w:fldChar w:fldCharType="begin"/>
        </w:r>
        <w:r w:rsidR="002A307B">
          <w:rPr>
            <w:noProof/>
            <w:webHidden/>
          </w:rPr>
          <w:instrText xml:space="preserve"> PAGEREF _Toc454304611 \h </w:instrText>
        </w:r>
        <w:r w:rsidR="002A307B">
          <w:rPr>
            <w:noProof/>
            <w:webHidden/>
          </w:rPr>
        </w:r>
        <w:r w:rsidR="002A307B">
          <w:rPr>
            <w:noProof/>
            <w:webHidden/>
          </w:rPr>
          <w:fldChar w:fldCharType="separate"/>
        </w:r>
        <w:r w:rsidR="000E22F3">
          <w:rPr>
            <w:noProof/>
            <w:webHidden/>
          </w:rPr>
          <w:t>53</w:t>
        </w:r>
        <w:r w:rsidR="002A307B">
          <w:rPr>
            <w:noProof/>
            <w:webHidden/>
          </w:rPr>
          <w:fldChar w:fldCharType="end"/>
        </w:r>
      </w:hyperlink>
    </w:p>
    <w:p w14:paraId="729ECFA1" w14:textId="3D1304AD" w:rsidR="002A307B" w:rsidRDefault="00A87B15">
      <w:pPr>
        <w:pStyle w:val="TableofFigures"/>
        <w:tabs>
          <w:tab w:val="right" w:leader="dot" w:pos="9563"/>
        </w:tabs>
        <w:rPr>
          <w:rFonts w:eastAsiaTheme="minorEastAsia" w:cstheme="minorBidi"/>
          <w:noProof/>
        </w:rPr>
      </w:pPr>
      <w:hyperlink w:anchor="_Toc454304612" w:history="1">
        <w:r w:rsidR="002A307B" w:rsidRPr="00446338">
          <w:rPr>
            <w:rStyle w:val="Hyperlink"/>
            <w:noProof/>
          </w:rPr>
          <w:t>Table 4</w:t>
        </w:r>
        <w:r w:rsidR="002A307B" w:rsidRPr="00446338">
          <w:rPr>
            <w:rStyle w:val="Hyperlink"/>
            <w:noProof/>
          </w:rPr>
          <w:noBreakHyphen/>
          <w:t xml:space="preserve">7: </w:t>
        </w:r>
        <w:r w:rsidR="002A307B" w:rsidRPr="00446338">
          <w:rPr>
            <w:rStyle w:val="Hyperlink"/>
            <w:noProof/>
            <w:lang w:val="en-US"/>
          </w:rPr>
          <w:t xml:space="preserve">Spearman’s rank correlation coefficients from the four most frequent sampled transects over the GBR (2006 – 2014).  Values stand for correlation coefficient between the </w:t>
        </w:r>
        <w:r w:rsidR="002A307B" w:rsidRPr="00446338">
          <w:rPr>
            <w:rStyle w:val="Hyperlink"/>
            <w:i/>
            <w:noProof/>
            <w:lang w:val="en-US"/>
          </w:rPr>
          <w:t>total wet season river discharge</w:t>
        </w:r>
        <w:r w:rsidR="002A307B" w:rsidRPr="00446338">
          <w:rPr>
            <w:rStyle w:val="Hyperlink"/>
            <w:noProof/>
            <w:lang w:val="en-US"/>
          </w:rPr>
          <w:t xml:space="preserve"> (Table 3-6) and the WQ parameters: TSS, Chl-a), TN, TDN, DIN, TP, TDP, DIP, PN, PP.  Highlighted values have correlation &gt; 0.6 or &lt;-0.6 and are significant at p &lt; 0.01.</w:t>
        </w:r>
        <w:r w:rsidR="002A307B">
          <w:rPr>
            <w:noProof/>
            <w:webHidden/>
          </w:rPr>
          <w:tab/>
        </w:r>
        <w:r w:rsidR="002A307B">
          <w:rPr>
            <w:noProof/>
            <w:webHidden/>
          </w:rPr>
          <w:fldChar w:fldCharType="begin"/>
        </w:r>
        <w:r w:rsidR="002A307B">
          <w:rPr>
            <w:noProof/>
            <w:webHidden/>
          </w:rPr>
          <w:instrText xml:space="preserve"> PAGEREF _Toc454304612 \h </w:instrText>
        </w:r>
        <w:r w:rsidR="002A307B">
          <w:rPr>
            <w:noProof/>
            <w:webHidden/>
          </w:rPr>
        </w:r>
        <w:r w:rsidR="002A307B">
          <w:rPr>
            <w:noProof/>
            <w:webHidden/>
          </w:rPr>
          <w:fldChar w:fldCharType="separate"/>
        </w:r>
        <w:r w:rsidR="000E22F3">
          <w:rPr>
            <w:noProof/>
            <w:webHidden/>
          </w:rPr>
          <w:t>54</w:t>
        </w:r>
        <w:r w:rsidR="002A307B">
          <w:rPr>
            <w:noProof/>
            <w:webHidden/>
          </w:rPr>
          <w:fldChar w:fldCharType="end"/>
        </w:r>
      </w:hyperlink>
    </w:p>
    <w:p w14:paraId="51904F7E" w14:textId="31DCB69F" w:rsidR="002A307B" w:rsidRDefault="00A87B15">
      <w:pPr>
        <w:pStyle w:val="TableofFigures"/>
        <w:tabs>
          <w:tab w:val="right" w:leader="dot" w:pos="9563"/>
        </w:tabs>
        <w:rPr>
          <w:rFonts w:eastAsiaTheme="minorEastAsia" w:cstheme="minorBidi"/>
          <w:noProof/>
        </w:rPr>
      </w:pPr>
      <w:hyperlink w:anchor="_Toc454304613" w:history="1">
        <w:r w:rsidR="002A307B" w:rsidRPr="00446338">
          <w:rPr>
            <w:rStyle w:val="Hyperlink"/>
            <w:noProof/>
          </w:rPr>
          <w:t>Table 4</w:t>
        </w:r>
        <w:r w:rsidR="002A307B" w:rsidRPr="00446338">
          <w:rPr>
            <w:rStyle w:val="Hyperlink"/>
            <w:noProof/>
          </w:rPr>
          <w:noBreakHyphen/>
          <w:t xml:space="preserve">8: </w:t>
        </w:r>
        <w:r w:rsidR="002A307B" w:rsidRPr="00446338">
          <w:rPr>
            <w:rStyle w:val="Hyperlink"/>
            <w:noProof/>
            <w:lang w:val="en-US"/>
          </w:rPr>
          <w:t>Spearman’s rank correlation coefficients from the four most frequent sampled transects over the GBR wide in the last 9 wet seasons. Values stand for correlation coefficient between salinity and the WQ parameters: TSS, Chl-a), TN, TDN, DIN, TP, TDP, DIP, PN, PP.  Highlighted values have correlation &gt; 0.6 or &lt;-0.6 and are significant at p &lt; 0.01.</w:t>
        </w:r>
        <w:r w:rsidR="002A307B">
          <w:rPr>
            <w:noProof/>
            <w:webHidden/>
          </w:rPr>
          <w:tab/>
        </w:r>
        <w:r w:rsidR="002A307B">
          <w:rPr>
            <w:noProof/>
            <w:webHidden/>
          </w:rPr>
          <w:fldChar w:fldCharType="begin"/>
        </w:r>
        <w:r w:rsidR="002A307B">
          <w:rPr>
            <w:noProof/>
            <w:webHidden/>
          </w:rPr>
          <w:instrText xml:space="preserve"> PAGEREF _Toc454304613 \h </w:instrText>
        </w:r>
        <w:r w:rsidR="002A307B">
          <w:rPr>
            <w:noProof/>
            <w:webHidden/>
          </w:rPr>
        </w:r>
        <w:r w:rsidR="002A307B">
          <w:rPr>
            <w:noProof/>
            <w:webHidden/>
          </w:rPr>
          <w:fldChar w:fldCharType="separate"/>
        </w:r>
        <w:r w:rsidR="000E22F3">
          <w:rPr>
            <w:noProof/>
            <w:webHidden/>
          </w:rPr>
          <w:t>54</w:t>
        </w:r>
        <w:r w:rsidR="002A307B">
          <w:rPr>
            <w:noProof/>
            <w:webHidden/>
          </w:rPr>
          <w:fldChar w:fldCharType="end"/>
        </w:r>
      </w:hyperlink>
    </w:p>
    <w:p w14:paraId="2846864B" w14:textId="4A88D33B" w:rsidR="002A307B" w:rsidRDefault="00A87B15">
      <w:pPr>
        <w:pStyle w:val="TableofFigures"/>
        <w:tabs>
          <w:tab w:val="right" w:leader="dot" w:pos="9563"/>
        </w:tabs>
        <w:rPr>
          <w:rFonts w:eastAsiaTheme="minorEastAsia" w:cstheme="minorBidi"/>
          <w:noProof/>
        </w:rPr>
      </w:pPr>
      <w:hyperlink w:anchor="_Toc454304614" w:history="1">
        <w:r w:rsidR="002A307B" w:rsidRPr="00446338">
          <w:rPr>
            <w:rStyle w:val="Hyperlink"/>
            <w:noProof/>
          </w:rPr>
          <w:t>Table 4</w:t>
        </w:r>
        <w:r w:rsidR="002A307B" w:rsidRPr="00446338">
          <w:rPr>
            <w:rStyle w:val="Hyperlink"/>
            <w:noProof/>
          </w:rPr>
          <w:noBreakHyphen/>
          <w:t>9: Statistical summary of the multiple regression analysis. Number of data points, the general model r-squared and its p-value for each WQ component are shown in the left site of the table. The p-value and the percentage of contribution to the total r-squared for each predictor from the relative importance (number in brackets) are in the right side of the table. WQ components are sorted by general model r-squared, and numbers in bold stand for predictors not included in the GAMM analysis.</w:t>
        </w:r>
        <w:r w:rsidR="002A307B">
          <w:rPr>
            <w:noProof/>
            <w:webHidden/>
          </w:rPr>
          <w:tab/>
        </w:r>
        <w:r w:rsidR="002A307B">
          <w:rPr>
            <w:noProof/>
            <w:webHidden/>
          </w:rPr>
          <w:fldChar w:fldCharType="begin"/>
        </w:r>
        <w:r w:rsidR="002A307B">
          <w:rPr>
            <w:noProof/>
            <w:webHidden/>
          </w:rPr>
          <w:instrText xml:space="preserve"> PAGEREF _Toc454304614 \h </w:instrText>
        </w:r>
        <w:r w:rsidR="002A307B">
          <w:rPr>
            <w:noProof/>
            <w:webHidden/>
          </w:rPr>
        </w:r>
        <w:r w:rsidR="002A307B">
          <w:rPr>
            <w:noProof/>
            <w:webHidden/>
          </w:rPr>
          <w:fldChar w:fldCharType="separate"/>
        </w:r>
        <w:r w:rsidR="000E22F3">
          <w:rPr>
            <w:noProof/>
            <w:webHidden/>
          </w:rPr>
          <w:t>56</w:t>
        </w:r>
        <w:r w:rsidR="002A307B">
          <w:rPr>
            <w:noProof/>
            <w:webHidden/>
          </w:rPr>
          <w:fldChar w:fldCharType="end"/>
        </w:r>
      </w:hyperlink>
    </w:p>
    <w:p w14:paraId="349AA5D7" w14:textId="2130FE91" w:rsidR="002A307B" w:rsidRDefault="00A87B15">
      <w:pPr>
        <w:pStyle w:val="TableofFigures"/>
        <w:tabs>
          <w:tab w:val="right" w:leader="dot" w:pos="9563"/>
        </w:tabs>
        <w:rPr>
          <w:rFonts w:eastAsiaTheme="minorEastAsia" w:cstheme="minorBidi"/>
          <w:noProof/>
        </w:rPr>
      </w:pPr>
      <w:hyperlink w:anchor="_Toc454304615" w:history="1">
        <w:r w:rsidR="002A307B" w:rsidRPr="00446338">
          <w:rPr>
            <w:rStyle w:val="Hyperlink"/>
            <w:noProof/>
          </w:rPr>
          <w:t>Table 4</w:t>
        </w:r>
        <w:r w:rsidR="002A307B" w:rsidRPr="00446338">
          <w:rPr>
            <w:rStyle w:val="Hyperlink"/>
            <w:noProof/>
          </w:rPr>
          <w:noBreakHyphen/>
          <w:t>10: Summary of the ANOVA mode fitted to in-situ DIN concentrations (mean ± 1 SD, in µM), sampled over 12 wet seasons (c.a., December to April inclusive) from 2002/03 to 2013/14, within each colour class (n stands for the number of observations after excluding outliers).</w:t>
        </w:r>
        <w:r w:rsidR="002A307B">
          <w:rPr>
            <w:noProof/>
            <w:webHidden/>
          </w:rPr>
          <w:tab/>
        </w:r>
        <w:r w:rsidR="002A307B">
          <w:rPr>
            <w:noProof/>
            <w:webHidden/>
          </w:rPr>
          <w:fldChar w:fldCharType="begin"/>
        </w:r>
        <w:r w:rsidR="002A307B">
          <w:rPr>
            <w:noProof/>
            <w:webHidden/>
          </w:rPr>
          <w:instrText xml:space="preserve"> PAGEREF _Toc454304615 \h </w:instrText>
        </w:r>
        <w:r w:rsidR="002A307B">
          <w:rPr>
            <w:noProof/>
            <w:webHidden/>
          </w:rPr>
        </w:r>
        <w:r w:rsidR="002A307B">
          <w:rPr>
            <w:noProof/>
            <w:webHidden/>
          </w:rPr>
          <w:fldChar w:fldCharType="separate"/>
        </w:r>
        <w:r w:rsidR="000E22F3">
          <w:rPr>
            <w:noProof/>
            <w:webHidden/>
          </w:rPr>
          <w:t>60</w:t>
        </w:r>
        <w:r w:rsidR="002A307B">
          <w:rPr>
            <w:noProof/>
            <w:webHidden/>
          </w:rPr>
          <w:fldChar w:fldCharType="end"/>
        </w:r>
      </w:hyperlink>
    </w:p>
    <w:p w14:paraId="2BD90498" w14:textId="55105259" w:rsidR="002A307B" w:rsidRDefault="00A87B15">
      <w:pPr>
        <w:pStyle w:val="TableofFigures"/>
        <w:tabs>
          <w:tab w:val="right" w:leader="dot" w:pos="9563"/>
        </w:tabs>
        <w:rPr>
          <w:rFonts w:eastAsiaTheme="minorEastAsia" w:cstheme="minorBidi"/>
          <w:noProof/>
        </w:rPr>
      </w:pPr>
      <w:hyperlink w:anchor="_Toc454304616" w:history="1">
        <w:r w:rsidR="002A307B" w:rsidRPr="00446338">
          <w:rPr>
            <w:rStyle w:val="Hyperlink"/>
            <w:noProof/>
          </w:rPr>
          <w:t>Table 4</w:t>
        </w:r>
        <w:r w:rsidR="002A307B" w:rsidRPr="00446338">
          <w:rPr>
            <w:rStyle w:val="Hyperlink"/>
            <w:noProof/>
          </w:rPr>
          <w:noBreakHyphen/>
          <w:t>11: Total annual end-of-catchment dissolved inorganic nitrogen load (DIN, ton), the total wet season discharge (mega-litres, ML), the plume extent as predicted from Equation 2 and the maximum model-predicted DIN yield at the river mouth (kg/km</w:t>
        </w:r>
        <w:r w:rsidR="002A307B" w:rsidRPr="00446338">
          <w:rPr>
            <w:rStyle w:val="Hyperlink"/>
            <w:noProof/>
            <w:vertAlign w:val="superscript"/>
          </w:rPr>
          <w:t>2</w:t>
        </w:r>
        <w:r w:rsidR="002A307B" w:rsidRPr="00446338">
          <w:rPr>
            <w:rStyle w:val="Hyperlink"/>
            <w:noProof/>
          </w:rPr>
          <w:t>).</w:t>
        </w:r>
        <w:r w:rsidR="002A307B">
          <w:rPr>
            <w:noProof/>
            <w:webHidden/>
          </w:rPr>
          <w:tab/>
        </w:r>
        <w:r w:rsidR="002A307B">
          <w:rPr>
            <w:noProof/>
            <w:webHidden/>
          </w:rPr>
          <w:fldChar w:fldCharType="begin"/>
        </w:r>
        <w:r w:rsidR="002A307B">
          <w:rPr>
            <w:noProof/>
            <w:webHidden/>
          </w:rPr>
          <w:instrText xml:space="preserve"> PAGEREF _Toc454304616 \h </w:instrText>
        </w:r>
        <w:r w:rsidR="002A307B">
          <w:rPr>
            <w:noProof/>
            <w:webHidden/>
          </w:rPr>
        </w:r>
        <w:r w:rsidR="002A307B">
          <w:rPr>
            <w:noProof/>
            <w:webHidden/>
          </w:rPr>
          <w:fldChar w:fldCharType="separate"/>
        </w:r>
        <w:r w:rsidR="000E22F3">
          <w:rPr>
            <w:noProof/>
            <w:webHidden/>
          </w:rPr>
          <w:t>62</w:t>
        </w:r>
        <w:r w:rsidR="002A307B">
          <w:rPr>
            <w:noProof/>
            <w:webHidden/>
          </w:rPr>
          <w:fldChar w:fldCharType="end"/>
        </w:r>
      </w:hyperlink>
    </w:p>
    <w:p w14:paraId="3F920CBE" w14:textId="5E641560" w:rsidR="002A307B" w:rsidRDefault="00A87B15">
      <w:pPr>
        <w:pStyle w:val="TableofFigures"/>
        <w:tabs>
          <w:tab w:val="right" w:leader="dot" w:pos="9563"/>
        </w:tabs>
        <w:rPr>
          <w:rFonts w:eastAsiaTheme="minorEastAsia" w:cstheme="minorBidi"/>
          <w:noProof/>
        </w:rPr>
      </w:pPr>
      <w:hyperlink w:anchor="_Toc454304617" w:history="1">
        <w:r w:rsidR="002A307B" w:rsidRPr="00446338">
          <w:rPr>
            <w:rStyle w:val="Hyperlink"/>
            <w:noProof/>
          </w:rPr>
          <w:t>Table 4</w:t>
        </w:r>
        <w:r w:rsidR="002A307B" w:rsidRPr="00446338">
          <w:rPr>
            <w:rStyle w:val="Hyperlink"/>
            <w:noProof/>
          </w:rPr>
          <w:noBreakHyphen/>
          <w:t>12: DIN yield (kg/km</w:t>
        </w:r>
        <w:r w:rsidR="002A307B" w:rsidRPr="00446338">
          <w:rPr>
            <w:rStyle w:val="Hyperlink"/>
            <w:noProof/>
            <w:vertAlign w:val="superscript"/>
          </w:rPr>
          <w:t>2</w:t>
        </w:r>
        <w:r w:rsidR="002A307B" w:rsidRPr="00446338">
          <w:rPr>
            <w:rStyle w:val="Hyperlink"/>
            <w:noProof/>
          </w:rPr>
          <w:t>) contribution from (donor) to (receptor) at the vicinities of the river mouth of three catchments in the Wet Tropics NRM region. The main diagonal represents DIN yield at the donor river mouth and other cells are its contribution as yield and as percentage (number in brackets) from the yield at the donor mouth.</w:t>
        </w:r>
        <w:r w:rsidR="002A307B">
          <w:rPr>
            <w:noProof/>
            <w:webHidden/>
          </w:rPr>
          <w:tab/>
        </w:r>
        <w:r w:rsidR="002A307B">
          <w:rPr>
            <w:noProof/>
            <w:webHidden/>
          </w:rPr>
          <w:fldChar w:fldCharType="begin"/>
        </w:r>
        <w:r w:rsidR="002A307B">
          <w:rPr>
            <w:noProof/>
            <w:webHidden/>
          </w:rPr>
          <w:instrText xml:space="preserve"> PAGEREF _Toc454304617 \h </w:instrText>
        </w:r>
        <w:r w:rsidR="002A307B">
          <w:rPr>
            <w:noProof/>
            <w:webHidden/>
          </w:rPr>
        </w:r>
        <w:r w:rsidR="002A307B">
          <w:rPr>
            <w:noProof/>
            <w:webHidden/>
          </w:rPr>
          <w:fldChar w:fldCharType="separate"/>
        </w:r>
        <w:r w:rsidR="000E22F3">
          <w:rPr>
            <w:noProof/>
            <w:webHidden/>
          </w:rPr>
          <w:t>63</w:t>
        </w:r>
        <w:r w:rsidR="002A307B">
          <w:rPr>
            <w:noProof/>
            <w:webHidden/>
          </w:rPr>
          <w:fldChar w:fldCharType="end"/>
        </w:r>
      </w:hyperlink>
    </w:p>
    <w:p w14:paraId="60FFA079" w14:textId="2B29FA39" w:rsidR="002A307B" w:rsidRDefault="00A87B15">
      <w:pPr>
        <w:pStyle w:val="TableofFigures"/>
        <w:tabs>
          <w:tab w:val="right" w:leader="dot" w:pos="9563"/>
        </w:tabs>
        <w:rPr>
          <w:rFonts w:eastAsiaTheme="minorEastAsia" w:cstheme="minorBidi"/>
          <w:noProof/>
        </w:rPr>
      </w:pPr>
      <w:hyperlink w:anchor="_Toc454304618" w:history="1">
        <w:r w:rsidR="002A307B" w:rsidRPr="00446338">
          <w:rPr>
            <w:rStyle w:val="Hyperlink"/>
            <w:noProof/>
          </w:rPr>
          <w:t>Table 4</w:t>
        </w:r>
        <w:r w:rsidR="002A307B" w:rsidRPr="00446338">
          <w:rPr>
            <w:rStyle w:val="Hyperlink"/>
            <w:noProof/>
          </w:rPr>
          <w:noBreakHyphen/>
          <w:t>13: Summary of the in-situ TSS concentrations (mean ± 1 SD, in mg/L), sampled over 12 wet seasons (c.a., December to April inclusive) from 2002/03 to 2013/14, within each colour class (n stands for the number of observations after excluding outliers).</w:t>
        </w:r>
        <w:r w:rsidR="002A307B">
          <w:rPr>
            <w:noProof/>
            <w:webHidden/>
          </w:rPr>
          <w:tab/>
        </w:r>
        <w:r w:rsidR="002A307B">
          <w:rPr>
            <w:noProof/>
            <w:webHidden/>
          </w:rPr>
          <w:fldChar w:fldCharType="begin"/>
        </w:r>
        <w:r w:rsidR="002A307B">
          <w:rPr>
            <w:noProof/>
            <w:webHidden/>
          </w:rPr>
          <w:instrText xml:space="preserve"> PAGEREF _Toc454304618 \h </w:instrText>
        </w:r>
        <w:r w:rsidR="002A307B">
          <w:rPr>
            <w:noProof/>
            <w:webHidden/>
          </w:rPr>
        </w:r>
        <w:r w:rsidR="002A307B">
          <w:rPr>
            <w:noProof/>
            <w:webHidden/>
          </w:rPr>
          <w:fldChar w:fldCharType="separate"/>
        </w:r>
        <w:r w:rsidR="000E22F3">
          <w:rPr>
            <w:noProof/>
            <w:webHidden/>
          </w:rPr>
          <w:t>64</w:t>
        </w:r>
        <w:r w:rsidR="002A307B">
          <w:rPr>
            <w:noProof/>
            <w:webHidden/>
          </w:rPr>
          <w:fldChar w:fldCharType="end"/>
        </w:r>
      </w:hyperlink>
    </w:p>
    <w:p w14:paraId="49BC3ECA" w14:textId="01F0DC75" w:rsidR="002A307B" w:rsidRDefault="00A87B15">
      <w:pPr>
        <w:pStyle w:val="TableofFigures"/>
        <w:tabs>
          <w:tab w:val="right" w:leader="dot" w:pos="9563"/>
        </w:tabs>
        <w:rPr>
          <w:rFonts w:eastAsiaTheme="minorEastAsia" w:cstheme="minorBidi"/>
          <w:noProof/>
        </w:rPr>
      </w:pPr>
      <w:hyperlink w:anchor="_Toc454304619" w:history="1">
        <w:r w:rsidR="002A307B" w:rsidRPr="00446338">
          <w:rPr>
            <w:rStyle w:val="Hyperlink"/>
            <w:noProof/>
          </w:rPr>
          <w:t>Table 4</w:t>
        </w:r>
        <w:r w:rsidR="002A307B" w:rsidRPr="00446338">
          <w:rPr>
            <w:rStyle w:val="Hyperlink"/>
            <w:noProof/>
          </w:rPr>
          <w:noBreakHyphen/>
          <w:t xml:space="preserve">14: </w:t>
        </w:r>
        <w:r w:rsidR="002A307B" w:rsidRPr="00446338">
          <w:rPr>
            <w:rStyle w:val="Hyperlink"/>
            <w:noProof/>
            <w:lang w:val="en-US"/>
          </w:rPr>
          <w:t>Total sediment discharged by the major Wet Tropics' rivers due to the 19-day passage of ex-Tropical Cyclone Ita and its mass contribution to each NRM region.</w:t>
        </w:r>
        <w:r w:rsidR="002A307B">
          <w:rPr>
            <w:noProof/>
            <w:webHidden/>
          </w:rPr>
          <w:tab/>
        </w:r>
        <w:r w:rsidR="002A307B">
          <w:rPr>
            <w:noProof/>
            <w:webHidden/>
          </w:rPr>
          <w:fldChar w:fldCharType="begin"/>
        </w:r>
        <w:r w:rsidR="002A307B">
          <w:rPr>
            <w:noProof/>
            <w:webHidden/>
          </w:rPr>
          <w:instrText xml:space="preserve"> PAGEREF _Toc454304619 \h </w:instrText>
        </w:r>
        <w:r w:rsidR="002A307B">
          <w:rPr>
            <w:noProof/>
            <w:webHidden/>
          </w:rPr>
        </w:r>
        <w:r w:rsidR="002A307B">
          <w:rPr>
            <w:noProof/>
            <w:webHidden/>
          </w:rPr>
          <w:fldChar w:fldCharType="separate"/>
        </w:r>
        <w:r w:rsidR="000E22F3">
          <w:rPr>
            <w:noProof/>
            <w:webHidden/>
          </w:rPr>
          <w:t>64</w:t>
        </w:r>
        <w:r w:rsidR="002A307B">
          <w:rPr>
            <w:noProof/>
            <w:webHidden/>
          </w:rPr>
          <w:fldChar w:fldCharType="end"/>
        </w:r>
      </w:hyperlink>
    </w:p>
    <w:p w14:paraId="55C19663" w14:textId="6B53BE11" w:rsidR="002A307B" w:rsidRDefault="00A87B15">
      <w:pPr>
        <w:pStyle w:val="TableofFigures"/>
        <w:tabs>
          <w:tab w:val="right" w:leader="dot" w:pos="9563"/>
        </w:tabs>
        <w:rPr>
          <w:rFonts w:eastAsiaTheme="minorEastAsia" w:cstheme="minorBidi"/>
          <w:noProof/>
        </w:rPr>
      </w:pPr>
      <w:hyperlink w:anchor="_Toc454304620" w:history="1">
        <w:r w:rsidR="002A307B" w:rsidRPr="00446338">
          <w:rPr>
            <w:rStyle w:val="Hyperlink"/>
            <w:noProof/>
          </w:rPr>
          <w:t>Table 5</w:t>
        </w:r>
        <w:r w:rsidR="002A307B" w:rsidRPr="00446338">
          <w:rPr>
            <w:rStyle w:val="Hyperlink"/>
            <w:noProof/>
          </w:rPr>
          <w:noBreakHyphen/>
          <w:t>1: Remote sensing products developed through MMP funding and management outcomes</w:t>
        </w:r>
        <w:r w:rsidR="002A307B">
          <w:rPr>
            <w:noProof/>
            <w:webHidden/>
          </w:rPr>
          <w:tab/>
        </w:r>
        <w:r w:rsidR="002A307B">
          <w:rPr>
            <w:noProof/>
            <w:webHidden/>
          </w:rPr>
          <w:fldChar w:fldCharType="begin"/>
        </w:r>
        <w:r w:rsidR="002A307B">
          <w:rPr>
            <w:noProof/>
            <w:webHidden/>
          </w:rPr>
          <w:instrText xml:space="preserve"> PAGEREF _Toc454304620 \h </w:instrText>
        </w:r>
        <w:r w:rsidR="002A307B">
          <w:rPr>
            <w:noProof/>
            <w:webHidden/>
          </w:rPr>
        </w:r>
        <w:r w:rsidR="002A307B">
          <w:rPr>
            <w:noProof/>
            <w:webHidden/>
          </w:rPr>
          <w:fldChar w:fldCharType="separate"/>
        </w:r>
        <w:r w:rsidR="000E22F3">
          <w:rPr>
            <w:noProof/>
            <w:webHidden/>
          </w:rPr>
          <w:t>67</w:t>
        </w:r>
        <w:r w:rsidR="002A307B">
          <w:rPr>
            <w:noProof/>
            <w:webHidden/>
          </w:rPr>
          <w:fldChar w:fldCharType="end"/>
        </w:r>
      </w:hyperlink>
    </w:p>
    <w:p w14:paraId="7EB326FB" w14:textId="16A3DB07" w:rsidR="002A307B" w:rsidRDefault="00A87B15">
      <w:pPr>
        <w:pStyle w:val="TableofFigures"/>
        <w:tabs>
          <w:tab w:val="right" w:leader="dot" w:pos="9563"/>
        </w:tabs>
        <w:rPr>
          <w:rFonts w:eastAsiaTheme="minorEastAsia" w:cstheme="minorBidi"/>
          <w:noProof/>
        </w:rPr>
      </w:pPr>
      <w:hyperlink w:anchor="_Toc454304621" w:history="1">
        <w:r w:rsidR="002A307B" w:rsidRPr="00446338">
          <w:rPr>
            <w:rStyle w:val="Hyperlink"/>
            <w:noProof/>
          </w:rPr>
          <w:t>Table 5</w:t>
        </w:r>
        <w:r w:rsidR="002A307B" w:rsidRPr="00446338">
          <w:rPr>
            <w:rStyle w:val="Hyperlink"/>
            <w:noProof/>
          </w:rPr>
          <w:noBreakHyphen/>
          <w:t>2: Plume water types as described in e.g., Devlin et al. (2012a), Álvarez-Romero et al. (2013) and Petus et al (2014b) and detailing the water quality and optical properties (e.g., Clarke et al.,1970; Morel and Prieur, 1977; Froidefond et al., 2002; McClain, 2009), and the mean TSS, Chl-a and Kd(PAR) which define the plume characteristics within each plume type concentrations (modified from Devlin et al., 2013b).</w:t>
        </w:r>
        <w:r w:rsidR="002A307B">
          <w:rPr>
            <w:noProof/>
            <w:webHidden/>
          </w:rPr>
          <w:tab/>
        </w:r>
        <w:r w:rsidR="002A307B">
          <w:rPr>
            <w:noProof/>
            <w:webHidden/>
          </w:rPr>
          <w:fldChar w:fldCharType="begin"/>
        </w:r>
        <w:r w:rsidR="002A307B">
          <w:rPr>
            <w:noProof/>
            <w:webHidden/>
          </w:rPr>
          <w:instrText xml:space="preserve"> PAGEREF _Toc454304621 \h </w:instrText>
        </w:r>
        <w:r w:rsidR="002A307B">
          <w:rPr>
            <w:noProof/>
            <w:webHidden/>
          </w:rPr>
        </w:r>
        <w:r w:rsidR="002A307B">
          <w:rPr>
            <w:noProof/>
            <w:webHidden/>
          </w:rPr>
          <w:fldChar w:fldCharType="separate"/>
        </w:r>
        <w:r w:rsidR="000E22F3">
          <w:rPr>
            <w:noProof/>
            <w:webHidden/>
          </w:rPr>
          <w:t>69</w:t>
        </w:r>
        <w:r w:rsidR="002A307B">
          <w:rPr>
            <w:noProof/>
            <w:webHidden/>
          </w:rPr>
          <w:fldChar w:fldCharType="end"/>
        </w:r>
      </w:hyperlink>
    </w:p>
    <w:p w14:paraId="39EB7547" w14:textId="1FF04CD3" w:rsidR="002A307B" w:rsidRDefault="00A87B15">
      <w:pPr>
        <w:pStyle w:val="TableofFigures"/>
        <w:tabs>
          <w:tab w:val="right" w:leader="dot" w:pos="9563"/>
        </w:tabs>
        <w:rPr>
          <w:rFonts w:eastAsiaTheme="minorEastAsia" w:cstheme="minorBidi"/>
          <w:noProof/>
        </w:rPr>
      </w:pPr>
      <w:hyperlink w:anchor="_Toc454304622" w:history="1">
        <w:r w:rsidR="002A307B" w:rsidRPr="00446338">
          <w:rPr>
            <w:rStyle w:val="Hyperlink"/>
            <w:noProof/>
          </w:rPr>
          <w:t>Table 5</w:t>
        </w:r>
        <w:r w:rsidR="002A307B" w:rsidRPr="00446338">
          <w:rPr>
            <w:rStyle w:val="Hyperlink"/>
            <w:noProof/>
          </w:rPr>
          <w:noBreakHyphen/>
          <w:t>3: Frequency categories used to categorise the multi-annual maps of frequency of occurrence of plume water types (TC and L2 methods).</w:t>
        </w:r>
        <w:r w:rsidR="002A307B">
          <w:rPr>
            <w:noProof/>
            <w:webHidden/>
          </w:rPr>
          <w:tab/>
        </w:r>
        <w:r w:rsidR="002A307B">
          <w:rPr>
            <w:noProof/>
            <w:webHidden/>
          </w:rPr>
          <w:fldChar w:fldCharType="begin"/>
        </w:r>
        <w:r w:rsidR="002A307B">
          <w:rPr>
            <w:noProof/>
            <w:webHidden/>
          </w:rPr>
          <w:instrText xml:space="preserve"> PAGEREF _Toc454304622 \h </w:instrText>
        </w:r>
        <w:r w:rsidR="002A307B">
          <w:rPr>
            <w:noProof/>
            <w:webHidden/>
          </w:rPr>
        </w:r>
        <w:r w:rsidR="002A307B">
          <w:rPr>
            <w:noProof/>
            <w:webHidden/>
          </w:rPr>
          <w:fldChar w:fldCharType="separate"/>
        </w:r>
        <w:r w:rsidR="000E22F3">
          <w:rPr>
            <w:noProof/>
            <w:webHidden/>
          </w:rPr>
          <w:t>73</w:t>
        </w:r>
        <w:r w:rsidR="002A307B">
          <w:rPr>
            <w:noProof/>
            <w:webHidden/>
          </w:rPr>
          <w:fldChar w:fldCharType="end"/>
        </w:r>
      </w:hyperlink>
    </w:p>
    <w:p w14:paraId="18FEF5A5" w14:textId="400503CE" w:rsidR="002A307B" w:rsidRDefault="00A87B15">
      <w:pPr>
        <w:pStyle w:val="TableofFigures"/>
        <w:tabs>
          <w:tab w:val="right" w:leader="dot" w:pos="9563"/>
        </w:tabs>
        <w:rPr>
          <w:rFonts w:eastAsiaTheme="minorEastAsia" w:cstheme="minorBidi"/>
          <w:noProof/>
        </w:rPr>
      </w:pPr>
      <w:hyperlink w:anchor="_Toc454304623" w:history="1">
        <w:r w:rsidR="002A307B" w:rsidRPr="00446338">
          <w:rPr>
            <w:rStyle w:val="Hyperlink"/>
            <w:noProof/>
          </w:rPr>
          <w:t>Table 5</w:t>
        </w:r>
        <w:r w:rsidR="002A307B" w:rsidRPr="00446338">
          <w:rPr>
            <w:rStyle w:val="Hyperlink"/>
            <w:noProof/>
          </w:rPr>
          <w:noBreakHyphen/>
          <w:t>4: mean and standard deviation (±) GBR-whole scale WQ data per plume water type (P: Primary, S: Secondary, T: Tertiary) and in the ambient marine waters (M), and Kruskal-Wallis analysis for the difference in WQ among water types. Significance code: *: p&lt;0.05 and ns: non-significant.</w:t>
        </w:r>
        <w:r w:rsidR="002A307B">
          <w:rPr>
            <w:noProof/>
            <w:webHidden/>
          </w:rPr>
          <w:tab/>
        </w:r>
        <w:r w:rsidR="002A307B">
          <w:rPr>
            <w:noProof/>
            <w:webHidden/>
          </w:rPr>
          <w:fldChar w:fldCharType="begin"/>
        </w:r>
        <w:r w:rsidR="002A307B">
          <w:rPr>
            <w:noProof/>
            <w:webHidden/>
          </w:rPr>
          <w:instrText xml:space="preserve"> PAGEREF _Toc454304623 \h </w:instrText>
        </w:r>
        <w:r w:rsidR="002A307B">
          <w:rPr>
            <w:noProof/>
            <w:webHidden/>
          </w:rPr>
        </w:r>
        <w:r w:rsidR="002A307B">
          <w:rPr>
            <w:noProof/>
            <w:webHidden/>
          </w:rPr>
          <w:fldChar w:fldCharType="separate"/>
        </w:r>
        <w:r w:rsidR="000E22F3">
          <w:rPr>
            <w:noProof/>
            <w:webHidden/>
          </w:rPr>
          <w:t>81</w:t>
        </w:r>
        <w:r w:rsidR="002A307B">
          <w:rPr>
            <w:noProof/>
            <w:webHidden/>
          </w:rPr>
          <w:fldChar w:fldCharType="end"/>
        </w:r>
      </w:hyperlink>
    </w:p>
    <w:p w14:paraId="08226E0C" w14:textId="2A8A9C84" w:rsidR="002A307B" w:rsidRDefault="00A87B15">
      <w:pPr>
        <w:pStyle w:val="TableofFigures"/>
        <w:tabs>
          <w:tab w:val="right" w:leader="dot" w:pos="9563"/>
        </w:tabs>
        <w:rPr>
          <w:rFonts w:eastAsiaTheme="minorEastAsia" w:cstheme="minorBidi"/>
          <w:noProof/>
        </w:rPr>
      </w:pPr>
      <w:hyperlink w:anchor="_Toc454304624" w:history="1">
        <w:r w:rsidR="002A307B" w:rsidRPr="00446338">
          <w:rPr>
            <w:rStyle w:val="Hyperlink"/>
            <w:noProof/>
          </w:rPr>
          <w:t>Table 5</w:t>
        </w:r>
        <w:r w:rsidR="002A307B" w:rsidRPr="00446338">
          <w:rPr>
            <w:rStyle w:val="Hyperlink"/>
            <w:noProof/>
          </w:rPr>
          <w:noBreakHyphen/>
          <w:t>5: Areas (km</w:t>
        </w:r>
        <w:r w:rsidR="002A307B" w:rsidRPr="00446338">
          <w:rPr>
            <w:rStyle w:val="Hyperlink"/>
            <w:noProof/>
            <w:vertAlign w:val="superscript"/>
          </w:rPr>
          <w:t>2</w:t>
        </w:r>
        <w:r w:rsidR="002A307B" w:rsidRPr="00446338">
          <w:rPr>
            <w:rStyle w:val="Hyperlink"/>
            <w:noProof/>
          </w:rPr>
          <w:t>) and percentage (%) of the GBR lagoon exposed to different categories of river plume frequency and river plume-related risk within the GBR and each NRM. S</w:t>
        </w:r>
        <w:r w:rsidR="002A307B" w:rsidRPr="00446338">
          <w:rPr>
            <w:rStyle w:val="Hyperlink"/>
            <w:rFonts w:eastAsia="Calibri"/>
            <w:noProof/>
          </w:rPr>
          <w:t>urface areas south of the GBR marine park boundary (Hervey Bay) are not included.</w:t>
        </w:r>
        <w:r w:rsidR="002A307B">
          <w:rPr>
            <w:noProof/>
            <w:webHidden/>
          </w:rPr>
          <w:tab/>
        </w:r>
        <w:r w:rsidR="002A307B">
          <w:rPr>
            <w:noProof/>
            <w:webHidden/>
          </w:rPr>
          <w:fldChar w:fldCharType="begin"/>
        </w:r>
        <w:r w:rsidR="002A307B">
          <w:rPr>
            <w:noProof/>
            <w:webHidden/>
          </w:rPr>
          <w:instrText xml:space="preserve"> PAGEREF _Toc454304624 \h </w:instrText>
        </w:r>
        <w:r w:rsidR="002A307B">
          <w:rPr>
            <w:noProof/>
            <w:webHidden/>
          </w:rPr>
        </w:r>
        <w:r w:rsidR="002A307B">
          <w:rPr>
            <w:noProof/>
            <w:webHidden/>
          </w:rPr>
          <w:fldChar w:fldCharType="separate"/>
        </w:r>
        <w:r w:rsidR="000E22F3">
          <w:rPr>
            <w:noProof/>
            <w:webHidden/>
          </w:rPr>
          <w:t>86</w:t>
        </w:r>
        <w:r w:rsidR="002A307B">
          <w:rPr>
            <w:noProof/>
            <w:webHidden/>
          </w:rPr>
          <w:fldChar w:fldCharType="end"/>
        </w:r>
      </w:hyperlink>
    </w:p>
    <w:p w14:paraId="2BE47131" w14:textId="68DBD0BE" w:rsidR="002A307B" w:rsidRDefault="00A87B15">
      <w:pPr>
        <w:pStyle w:val="TableofFigures"/>
        <w:tabs>
          <w:tab w:val="right" w:leader="dot" w:pos="9563"/>
        </w:tabs>
        <w:rPr>
          <w:rFonts w:eastAsiaTheme="minorEastAsia" w:cstheme="minorBidi"/>
          <w:noProof/>
        </w:rPr>
      </w:pPr>
      <w:hyperlink w:anchor="_Toc454304625" w:history="1">
        <w:r w:rsidR="002A307B" w:rsidRPr="00446338">
          <w:rPr>
            <w:rStyle w:val="Hyperlink"/>
            <w:noProof/>
          </w:rPr>
          <w:t>Table 5</w:t>
        </w:r>
        <w:r w:rsidR="002A307B" w:rsidRPr="00446338">
          <w:rPr>
            <w:rStyle w:val="Hyperlink"/>
            <w:noProof/>
          </w:rPr>
          <w:noBreakHyphen/>
          <w:t>6: Areas (km</w:t>
        </w:r>
        <w:r w:rsidR="002A307B" w:rsidRPr="00446338">
          <w:rPr>
            <w:rStyle w:val="Hyperlink"/>
            <w:noProof/>
            <w:vertAlign w:val="superscript"/>
          </w:rPr>
          <w:t>2</w:t>
        </w:r>
        <w:r w:rsidR="002A307B" w:rsidRPr="00446338">
          <w:rPr>
            <w:rStyle w:val="Hyperlink"/>
            <w:noProof/>
          </w:rPr>
          <w:t>) and percentage (%) of the coral reefs exposed to different categories of river plume frequency and river plume-related risk within the GBR and each NRM. S</w:t>
        </w:r>
        <w:r w:rsidR="002A307B" w:rsidRPr="00446338">
          <w:rPr>
            <w:rStyle w:val="Hyperlink"/>
            <w:rFonts w:eastAsia="Calibri"/>
            <w:noProof/>
          </w:rPr>
          <w:t>urface areas south of the GBR marine park boundary (Hervey Bay) are not included.</w:t>
        </w:r>
        <w:r w:rsidR="002A307B">
          <w:rPr>
            <w:noProof/>
            <w:webHidden/>
          </w:rPr>
          <w:tab/>
        </w:r>
        <w:r w:rsidR="002A307B">
          <w:rPr>
            <w:noProof/>
            <w:webHidden/>
          </w:rPr>
          <w:fldChar w:fldCharType="begin"/>
        </w:r>
        <w:r w:rsidR="002A307B">
          <w:rPr>
            <w:noProof/>
            <w:webHidden/>
          </w:rPr>
          <w:instrText xml:space="preserve"> PAGEREF _Toc454304625 \h </w:instrText>
        </w:r>
        <w:r w:rsidR="002A307B">
          <w:rPr>
            <w:noProof/>
            <w:webHidden/>
          </w:rPr>
        </w:r>
        <w:r w:rsidR="002A307B">
          <w:rPr>
            <w:noProof/>
            <w:webHidden/>
          </w:rPr>
          <w:fldChar w:fldCharType="separate"/>
        </w:r>
        <w:r w:rsidR="000E22F3">
          <w:rPr>
            <w:noProof/>
            <w:webHidden/>
          </w:rPr>
          <w:t>86</w:t>
        </w:r>
        <w:r w:rsidR="002A307B">
          <w:rPr>
            <w:noProof/>
            <w:webHidden/>
          </w:rPr>
          <w:fldChar w:fldCharType="end"/>
        </w:r>
      </w:hyperlink>
    </w:p>
    <w:p w14:paraId="75D72C6E" w14:textId="6B040D1D" w:rsidR="002A307B" w:rsidRDefault="00A87B15">
      <w:pPr>
        <w:pStyle w:val="TableofFigures"/>
        <w:tabs>
          <w:tab w:val="right" w:leader="dot" w:pos="9563"/>
        </w:tabs>
        <w:rPr>
          <w:rFonts w:eastAsiaTheme="minorEastAsia" w:cstheme="minorBidi"/>
          <w:noProof/>
        </w:rPr>
      </w:pPr>
      <w:hyperlink w:anchor="_Toc454304626" w:history="1">
        <w:r w:rsidR="002A307B" w:rsidRPr="00446338">
          <w:rPr>
            <w:rStyle w:val="Hyperlink"/>
            <w:noProof/>
          </w:rPr>
          <w:t>Table 5</w:t>
        </w:r>
        <w:r w:rsidR="002A307B" w:rsidRPr="00446338">
          <w:rPr>
            <w:rStyle w:val="Hyperlink"/>
            <w:noProof/>
          </w:rPr>
          <w:noBreakHyphen/>
          <w:t>7: Areas (km</w:t>
        </w:r>
        <w:r w:rsidR="002A307B" w:rsidRPr="00446338">
          <w:rPr>
            <w:rStyle w:val="Hyperlink"/>
            <w:noProof/>
            <w:vertAlign w:val="superscript"/>
          </w:rPr>
          <w:t>2</w:t>
        </w:r>
        <w:r w:rsidR="002A307B" w:rsidRPr="00446338">
          <w:rPr>
            <w:rStyle w:val="Hyperlink"/>
            <w:noProof/>
          </w:rPr>
          <w:t>) and percentage (%) of coastal, deepwater and total (surveyed + deepwater modelled) seagrass exposed to different categories of river plume frequency and river plume-related risk within the GBR and each NRM. S</w:t>
        </w:r>
        <w:r w:rsidR="002A307B" w:rsidRPr="00446338">
          <w:rPr>
            <w:rStyle w:val="Hyperlink"/>
            <w:rFonts w:eastAsia="Calibri"/>
            <w:noProof/>
          </w:rPr>
          <w:t>urface areas south of the GBR marine park boundary (Hervey Bay) are not included.</w:t>
        </w:r>
        <w:r w:rsidR="002A307B">
          <w:rPr>
            <w:noProof/>
            <w:webHidden/>
          </w:rPr>
          <w:tab/>
        </w:r>
        <w:r w:rsidR="002A307B">
          <w:rPr>
            <w:noProof/>
            <w:webHidden/>
          </w:rPr>
          <w:fldChar w:fldCharType="begin"/>
        </w:r>
        <w:r w:rsidR="002A307B">
          <w:rPr>
            <w:noProof/>
            <w:webHidden/>
          </w:rPr>
          <w:instrText xml:space="preserve"> PAGEREF _Toc454304626 \h </w:instrText>
        </w:r>
        <w:r w:rsidR="002A307B">
          <w:rPr>
            <w:noProof/>
            <w:webHidden/>
          </w:rPr>
        </w:r>
        <w:r w:rsidR="002A307B">
          <w:rPr>
            <w:noProof/>
            <w:webHidden/>
          </w:rPr>
          <w:fldChar w:fldCharType="separate"/>
        </w:r>
        <w:r w:rsidR="000E22F3">
          <w:rPr>
            <w:noProof/>
            <w:webHidden/>
          </w:rPr>
          <w:t>87</w:t>
        </w:r>
        <w:r w:rsidR="002A307B">
          <w:rPr>
            <w:noProof/>
            <w:webHidden/>
          </w:rPr>
          <w:fldChar w:fldCharType="end"/>
        </w:r>
      </w:hyperlink>
    </w:p>
    <w:p w14:paraId="5AD06AAD" w14:textId="3A7E2F22" w:rsidR="002A307B" w:rsidRDefault="00A87B15">
      <w:pPr>
        <w:pStyle w:val="TableofFigures"/>
        <w:tabs>
          <w:tab w:val="right" w:leader="dot" w:pos="9563"/>
        </w:tabs>
        <w:rPr>
          <w:rFonts w:eastAsiaTheme="minorEastAsia" w:cstheme="minorBidi"/>
          <w:noProof/>
        </w:rPr>
      </w:pPr>
      <w:hyperlink w:anchor="_Toc454304627" w:history="1">
        <w:r w:rsidR="002A307B" w:rsidRPr="00446338">
          <w:rPr>
            <w:rStyle w:val="Hyperlink"/>
            <w:noProof/>
          </w:rPr>
          <w:t>Table 5</w:t>
        </w:r>
        <w:r w:rsidR="002A307B" w:rsidRPr="00446338">
          <w:rPr>
            <w:rStyle w:val="Hyperlink"/>
            <w:noProof/>
          </w:rPr>
          <w:noBreakHyphen/>
          <w:t>8: Inter-annual (2006-2007 to 2013-2014) areas (km</w:t>
        </w:r>
        <w:r w:rsidR="002A307B" w:rsidRPr="00446338">
          <w:rPr>
            <w:rStyle w:val="Hyperlink"/>
            <w:noProof/>
            <w:vertAlign w:val="superscript"/>
          </w:rPr>
          <w:t>2</w:t>
        </w:r>
        <w:r w:rsidR="002A307B" w:rsidRPr="00446338">
          <w:rPr>
            <w:rStyle w:val="Hyperlink"/>
            <w:noProof/>
          </w:rPr>
          <w:t>) and percentage (%) of the GBR under potential risk from river plume exposure and total GBR wet season  river discharge. Surface areas south of the GBR marine park boundary (Hervey Bay) are included.</w:t>
        </w:r>
        <w:r w:rsidR="002A307B">
          <w:rPr>
            <w:noProof/>
            <w:webHidden/>
          </w:rPr>
          <w:tab/>
        </w:r>
        <w:r w:rsidR="002A307B">
          <w:rPr>
            <w:noProof/>
            <w:webHidden/>
          </w:rPr>
          <w:fldChar w:fldCharType="begin"/>
        </w:r>
        <w:r w:rsidR="002A307B">
          <w:rPr>
            <w:noProof/>
            <w:webHidden/>
          </w:rPr>
          <w:instrText xml:space="preserve"> PAGEREF _Toc454304627 \h </w:instrText>
        </w:r>
        <w:r w:rsidR="002A307B">
          <w:rPr>
            <w:noProof/>
            <w:webHidden/>
          </w:rPr>
        </w:r>
        <w:r w:rsidR="002A307B">
          <w:rPr>
            <w:noProof/>
            <w:webHidden/>
          </w:rPr>
          <w:fldChar w:fldCharType="separate"/>
        </w:r>
        <w:r w:rsidR="000E22F3">
          <w:rPr>
            <w:noProof/>
            <w:webHidden/>
          </w:rPr>
          <w:t>89</w:t>
        </w:r>
        <w:r w:rsidR="002A307B">
          <w:rPr>
            <w:noProof/>
            <w:webHidden/>
          </w:rPr>
          <w:fldChar w:fldCharType="end"/>
        </w:r>
      </w:hyperlink>
    </w:p>
    <w:p w14:paraId="7E258F47" w14:textId="486230A6" w:rsidR="002D1F86" w:rsidRPr="00C762F1" w:rsidRDefault="005935D5" w:rsidP="002D1F86">
      <w:pPr>
        <w:jc w:val="left"/>
        <w:rPr>
          <w:b/>
          <w:sz w:val="28"/>
          <w:szCs w:val="28"/>
        </w:rPr>
        <w:sectPr w:rsidR="002D1F86" w:rsidRPr="00C762F1" w:rsidSect="00F40529">
          <w:headerReference w:type="default" r:id="rId27"/>
          <w:footerReference w:type="default" r:id="rId28"/>
          <w:pgSz w:w="11907" w:h="16840" w:code="9"/>
          <w:pgMar w:top="1418" w:right="1134" w:bottom="1134" w:left="1200" w:header="630" w:footer="851" w:gutter="0"/>
          <w:pgNumType w:fmt="lowerRoman"/>
          <w:cols w:space="708"/>
          <w:docGrid w:linePitch="326"/>
        </w:sectPr>
      </w:pPr>
      <w:r>
        <w:rPr>
          <w:b/>
          <w:sz w:val="28"/>
          <w:szCs w:val="28"/>
        </w:rPr>
        <w:fldChar w:fldCharType="end"/>
      </w:r>
    </w:p>
    <w:p w14:paraId="01F685D7" w14:textId="77777777" w:rsidR="001758C6" w:rsidRPr="001758C6" w:rsidRDefault="001758C6" w:rsidP="007557A2">
      <w:pPr>
        <w:pStyle w:val="Heading1"/>
      </w:pPr>
      <w:bookmarkStart w:id="5" w:name="_Toc454304687"/>
      <w:r w:rsidRPr="001758C6">
        <w:lastRenderedPageBreak/>
        <w:t>Acronyms and Abbreviations</w:t>
      </w:r>
      <w:bookmarkEnd w:id="5"/>
    </w:p>
    <w:p w14:paraId="69794412" w14:textId="03701C15" w:rsidR="001758C6" w:rsidRPr="00F339E7" w:rsidRDefault="007D36C8" w:rsidP="007D36C8">
      <w:pPr>
        <w:spacing w:before="0" w:after="120"/>
      </w:pPr>
      <w:r>
        <w:t xml:space="preserve">AIMS </w:t>
      </w:r>
      <w:r>
        <w:tab/>
      </w:r>
      <w:r>
        <w:tab/>
      </w:r>
      <w:r w:rsidR="001758C6" w:rsidRPr="00F339E7">
        <w:t>Australian Institute of Marine Science</w:t>
      </w:r>
    </w:p>
    <w:p w14:paraId="6C3564DE" w14:textId="1359FA65" w:rsidR="001758C6" w:rsidRPr="00F339E7" w:rsidRDefault="001758C6" w:rsidP="007D36C8">
      <w:pPr>
        <w:spacing w:before="0" w:after="120"/>
      </w:pPr>
      <w:r w:rsidRPr="00F339E7">
        <w:t xml:space="preserve">CDOM </w:t>
      </w:r>
      <w:r w:rsidRPr="00F339E7">
        <w:tab/>
        <w:t xml:space="preserve"> </w:t>
      </w:r>
      <w:r w:rsidR="007D36C8">
        <w:tab/>
      </w:r>
      <w:r w:rsidRPr="00F339E7">
        <w:t>Coloured Dissolved Organic Matter</w:t>
      </w:r>
    </w:p>
    <w:p w14:paraId="576B92EE" w14:textId="7F9A442F" w:rsidR="001758C6" w:rsidRPr="00F339E7" w:rsidRDefault="001758C6" w:rsidP="007D36C8">
      <w:pPr>
        <w:spacing w:before="0" w:after="120"/>
      </w:pPr>
      <w:r w:rsidRPr="00F339E7">
        <w:t>Chl</w:t>
      </w:r>
      <w:r w:rsidR="007D36C8">
        <w:t>-</w:t>
      </w:r>
      <w:r w:rsidRPr="00F339E7">
        <w:t xml:space="preserve">a </w:t>
      </w:r>
      <w:r w:rsidRPr="00F339E7">
        <w:tab/>
        <w:t xml:space="preserve"> </w:t>
      </w:r>
      <w:r w:rsidR="007D36C8">
        <w:tab/>
      </w:r>
      <w:r w:rsidR="003F74E5">
        <w:t>Chlorophyll-</w:t>
      </w:r>
      <w:r w:rsidRPr="00F339E7">
        <w:t>a</w:t>
      </w:r>
    </w:p>
    <w:p w14:paraId="54F09F15" w14:textId="160FED43" w:rsidR="001758C6" w:rsidRPr="00F339E7" w:rsidRDefault="001758C6" w:rsidP="007D36C8">
      <w:pPr>
        <w:spacing w:before="0" w:after="120"/>
      </w:pPr>
      <w:r w:rsidRPr="00F339E7">
        <w:t xml:space="preserve">CSIRO </w:t>
      </w:r>
      <w:r w:rsidRPr="00F339E7">
        <w:tab/>
        <w:t xml:space="preserve"> </w:t>
      </w:r>
      <w:r w:rsidR="007D36C8">
        <w:tab/>
      </w:r>
      <w:r w:rsidRPr="00F339E7">
        <w:t>Commonwealth Scientific and Industrial Research Organisation</w:t>
      </w:r>
    </w:p>
    <w:p w14:paraId="2E13D4AD" w14:textId="69648CAC" w:rsidR="001758C6" w:rsidRPr="00F339E7" w:rsidRDefault="001758C6" w:rsidP="007D36C8">
      <w:pPr>
        <w:spacing w:before="0" w:after="120"/>
      </w:pPr>
      <w:r w:rsidRPr="00F339E7">
        <w:t xml:space="preserve">DNRM </w:t>
      </w:r>
      <w:r w:rsidRPr="00F339E7">
        <w:tab/>
        <w:t xml:space="preserve"> </w:t>
      </w:r>
      <w:r w:rsidR="007D36C8">
        <w:tab/>
      </w:r>
      <w:r w:rsidRPr="00F339E7">
        <w:t>Queensland Department of Natural Resources and Mines</w:t>
      </w:r>
    </w:p>
    <w:p w14:paraId="49D2C7D7" w14:textId="79B61B61" w:rsidR="001758C6" w:rsidRPr="00F339E7" w:rsidRDefault="001758C6" w:rsidP="007D36C8">
      <w:pPr>
        <w:spacing w:before="0" w:after="120"/>
      </w:pPr>
      <w:r w:rsidRPr="00F339E7">
        <w:t xml:space="preserve">DIN </w:t>
      </w:r>
      <w:r w:rsidRPr="00F339E7">
        <w:tab/>
        <w:t xml:space="preserve"> </w:t>
      </w:r>
      <w:r w:rsidR="007D36C8">
        <w:tab/>
      </w:r>
      <w:r w:rsidRPr="00F339E7">
        <w:t>Dissolved inorganic nitrogen</w:t>
      </w:r>
    </w:p>
    <w:p w14:paraId="36495886" w14:textId="3B8A986F" w:rsidR="001758C6" w:rsidRPr="00F339E7" w:rsidRDefault="001758C6" w:rsidP="007D36C8">
      <w:pPr>
        <w:spacing w:before="0" w:after="120"/>
      </w:pPr>
      <w:r w:rsidRPr="00F339E7">
        <w:t xml:space="preserve">DIP </w:t>
      </w:r>
      <w:r w:rsidRPr="00F339E7">
        <w:tab/>
        <w:t xml:space="preserve"> </w:t>
      </w:r>
      <w:r w:rsidR="007D36C8">
        <w:tab/>
      </w:r>
      <w:r w:rsidRPr="00F339E7">
        <w:t>Dissolved inorganic phosphorus</w:t>
      </w:r>
    </w:p>
    <w:p w14:paraId="36D5E938" w14:textId="17F5833E" w:rsidR="001758C6" w:rsidRPr="00F339E7" w:rsidRDefault="001758C6" w:rsidP="007D36C8">
      <w:pPr>
        <w:spacing w:before="0" w:after="120"/>
      </w:pPr>
      <w:r w:rsidRPr="00F339E7">
        <w:t xml:space="preserve">EnTox </w:t>
      </w:r>
      <w:r w:rsidRPr="00F339E7">
        <w:tab/>
        <w:t xml:space="preserve"> </w:t>
      </w:r>
      <w:r w:rsidR="007D36C8">
        <w:tab/>
      </w:r>
      <w:r w:rsidRPr="00F339E7">
        <w:t>National Research Centre for Environmental Toxicology, University of Queensland</w:t>
      </w:r>
    </w:p>
    <w:p w14:paraId="4760C955" w14:textId="49604300" w:rsidR="001758C6" w:rsidRPr="00F339E7" w:rsidRDefault="001758C6" w:rsidP="007D36C8">
      <w:pPr>
        <w:spacing w:before="0" w:after="120"/>
      </w:pPr>
      <w:r w:rsidRPr="00F339E7">
        <w:t xml:space="preserve">GBR </w:t>
      </w:r>
      <w:r w:rsidRPr="00F339E7">
        <w:tab/>
        <w:t xml:space="preserve"> </w:t>
      </w:r>
      <w:r w:rsidR="007D36C8">
        <w:tab/>
      </w:r>
      <w:r w:rsidRPr="00F339E7">
        <w:t>Great Barrier Reef</w:t>
      </w:r>
    </w:p>
    <w:p w14:paraId="6718A05D" w14:textId="3CA298B4" w:rsidR="001758C6" w:rsidRPr="00F339E7" w:rsidRDefault="007D36C8" w:rsidP="007D36C8">
      <w:pPr>
        <w:spacing w:before="0" w:after="120"/>
      </w:pPr>
      <w:r>
        <w:t xml:space="preserve">GBRMPA </w:t>
      </w:r>
      <w:r>
        <w:tab/>
      </w:r>
      <w:r w:rsidR="001758C6" w:rsidRPr="00F339E7">
        <w:t>Great Barrier Reef Marine Park Authority</w:t>
      </w:r>
    </w:p>
    <w:p w14:paraId="36CCEB80" w14:textId="1D762D61" w:rsidR="001758C6" w:rsidRPr="00F339E7" w:rsidRDefault="001758C6" w:rsidP="007D36C8">
      <w:pPr>
        <w:spacing w:before="0" w:after="120"/>
      </w:pPr>
      <w:r w:rsidRPr="00F339E7">
        <w:t xml:space="preserve">JCU </w:t>
      </w:r>
      <w:r w:rsidRPr="00F339E7">
        <w:tab/>
        <w:t xml:space="preserve"> </w:t>
      </w:r>
      <w:r w:rsidR="007D36C8">
        <w:tab/>
      </w:r>
      <w:r w:rsidRPr="00F339E7">
        <w:t>James Cook University</w:t>
      </w:r>
    </w:p>
    <w:p w14:paraId="6E734D90" w14:textId="77777777" w:rsidR="00F339E7" w:rsidRPr="00F339E7" w:rsidRDefault="00F339E7" w:rsidP="007D36C8">
      <w:pPr>
        <w:spacing w:before="0" w:after="120"/>
      </w:pPr>
      <w:r w:rsidRPr="00F339E7">
        <w:t>Kd(PAR)</w:t>
      </w:r>
      <w:r w:rsidRPr="00F339E7">
        <w:tab/>
      </w:r>
      <w:r w:rsidR="003F74E5">
        <w:t>Underwater</w:t>
      </w:r>
      <w:r w:rsidRPr="00F339E7">
        <w:t xml:space="preserve"> light attenuation coefficient in the Photosynthetically Active Radiation</w:t>
      </w:r>
    </w:p>
    <w:p w14:paraId="587372C4" w14:textId="4B49AB6D" w:rsidR="001758C6" w:rsidRPr="00F339E7" w:rsidRDefault="001758C6" w:rsidP="007D36C8">
      <w:pPr>
        <w:spacing w:before="0" w:after="120"/>
      </w:pPr>
      <w:r w:rsidRPr="00F339E7">
        <w:t xml:space="preserve">ML </w:t>
      </w:r>
      <w:r w:rsidRPr="00F339E7">
        <w:tab/>
        <w:t xml:space="preserve"> </w:t>
      </w:r>
      <w:r w:rsidR="007D36C8">
        <w:tab/>
      </w:r>
      <w:r w:rsidRPr="00F339E7">
        <w:t>Mega-litres</w:t>
      </w:r>
    </w:p>
    <w:p w14:paraId="6006A0F1" w14:textId="638378FA" w:rsidR="001758C6" w:rsidRPr="00F339E7" w:rsidRDefault="001758C6" w:rsidP="007D36C8">
      <w:pPr>
        <w:spacing w:before="0" w:after="120"/>
      </w:pPr>
      <w:r w:rsidRPr="00F339E7">
        <w:t xml:space="preserve">NASA </w:t>
      </w:r>
      <w:r w:rsidRPr="00F339E7">
        <w:tab/>
        <w:t xml:space="preserve"> </w:t>
      </w:r>
      <w:r w:rsidR="007D36C8">
        <w:tab/>
      </w:r>
      <w:r w:rsidRPr="00F339E7">
        <w:t>National Aeronautics and Space Administration</w:t>
      </w:r>
    </w:p>
    <w:p w14:paraId="79593249" w14:textId="2EA76424" w:rsidR="001758C6" w:rsidRPr="00F339E7" w:rsidRDefault="001758C6" w:rsidP="007D36C8">
      <w:pPr>
        <w:spacing w:before="0" w:after="120"/>
      </w:pPr>
      <w:r w:rsidRPr="00F339E7">
        <w:t xml:space="preserve">NRM </w:t>
      </w:r>
      <w:r w:rsidRPr="00F339E7">
        <w:tab/>
        <w:t xml:space="preserve"> </w:t>
      </w:r>
      <w:r w:rsidR="007D36C8">
        <w:tab/>
      </w:r>
      <w:r w:rsidRPr="00F339E7">
        <w:t>Natural Resource Management</w:t>
      </w:r>
    </w:p>
    <w:p w14:paraId="6DEB1A92" w14:textId="53D11743" w:rsidR="001758C6" w:rsidRPr="00F339E7" w:rsidRDefault="001758C6" w:rsidP="007D36C8">
      <w:pPr>
        <w:spacing w:before="0" w:after="120"/>
      </w:pPr>
      <w:r w:rsidRPr="00F339E7">
        <w:t xml:space="preserve">NTU </w:t>
      </w:r>
      <w:r w:rsidRPr="00F339E7">
        <w:tab/>
        <w:t xml:space="preserve"> </w:t>
      </w:r>
      <w:r w:rsidR="007D36C8">
        <w:tab/>
      </w:r>
      <w:r w:rsidRPr="00F339E7">
        <w:t>Nephelometric Turbidity Units</w:t>
      </w:r>
    </w:p>
    <w:p w14:paraId="50DC0BDB" w14:textId="337B2C3A" w:rsidR="007D36C8" w:rsidRPr="00F339E7" w:rsidRDefault="007D36C8" w:rsidP="007D36C8">
      <w:pPr>
        <w:spacing w:before="0" w:after="120"/>
      </w:pPr>
      <w:r w:rsidRPr="00F339E7">
        <w:t xml:space="preserve">OAC’s </w:t>
      </w:r>
      <w:r w:rsidRPr="00F339E7">
        <w:tab/>
        <w:t xml:space="preserve"> </w:t>
      </w:r>
      <w:r>
        <w:tab/>
      </w:r>
      <w:r w:rsidRPr="00F339E7">
        <w:t>Optically active components</w:t>
      </w:r>
    </w:p>
    <w:p w14:paraId="6F673D36" w14:textId="6E42CB2D" w:rsidR="001758C6" w:rsidRPr="00F339E7" w:rsidRDefault="001758C6" w:rsidP="007D36C8">
      <w:pPr>
        <w:spacing w:before="0" w:after="120"/>
      </w:pPr>
      <w:r w:rsidRPr="00F339E7">
        <w:t xml:space="preserve">PN </w:t>
      </w:r>
      <w:r w:rsidRPr="00F339E7">
        <w:tab/>
        <w:t xml:space="preserve"> </w:t>
      </w:r>
      <w:r w:rsidR="007D36C8">
        <w:tab/>
      </w:r>
      <w:r w:rsidRPr="00F339E7">
        <w:t>Particulate Nitrogen</w:t>
      </w:r>
    </w:p>
    <w:p w14:paraId="66A4294A" w14:textId="62A118FC" w:rsidR="001758C6" w:rsidRPr="00F339E7" w:rsidRDefault="001758C6" w:rsidP="007D36C8">
      <w:pPr>
        <w:spacing w:before="0" w:after="120"/>
      </w:pPr>
      <w:r w:rsidRPr="00F339E7">
        <w:t xml:space="preserve">PP </w:t>
      </w:r>
      <w:r w:rsidRPr="00F339E7">
        <w:tab/>
        <w:t xml:space="preserve"> </w:t>
      </w:r>
      <w:r w:rsidR="007D36C8">
        <w:tab/>
      </w:r>
      <w:r w:rsidRPr="00F339E7">
        <w:t>Particulate Phosphorous</w:t>
      </w:r>
    </w:p>
    <w:p w14:paraId="42D0F2A5" w14:textId="362C6F7D" w:rsidR="001758C6" w:rsidRPr="00F339E7" w:rsidRDefault="001758C6" w:rsidP="007D36C8">
      <w:pPr>
        <w:spacing w:before="0" w:after="120"/>
      </w:pPr>
      <w:r w:rsidRPr="00F339E7">
        <w:t xml:space="preserve">PSII herbicide </w:t>
      </w:r>
      <w:r w:rsidRPr="00F339E7">
        <w:tab/>
        <w:t>Photosystem II inhibiting herbicide</w:t>
      </w:r>
    </w:p>
    <w:p w14:paraId="64F979F5" w14:textId="55ED3589" w:rsidR="001758C6" w:rsidRDefault="001758C6" w:rsidP="007D36C8">
      <w:pPr>
        <w:spacing w:before="0" w:after="120"/>
      </w:pPr>
      <w:r w:rsidRPr="00F339E7">
        <w:t xml:space="preserve">PSII-HEq </w:t>
      </w:r>
      <w:r w:rsidRPr="00F339E7">
        <w:tab/>
        <w:t>PSII – Herbicide Equivalent</w:t>
      </w:r>
    </w:p>
    <w:p w14:paraId="51C899EC" w14:textId="52DF2351" w:rsidR="003F74E5" w:rsidRPr="00F339E7" w:rsidRDefault="003F74E5" w:rsidP="007D36C8">
      <w:pPr>
        <w:spacing w:before="0" w:after="120"/>
      </w:pPr>
      <w:r>
        <w:t>PSU</w:t>
      </w:r>
      <w:r>
        <w:tab/>
      </w:r>
      <w:r w:rsidR="007D36C8">
        <w:tab/>
      </w:r>
      <w:r>
        <w:t>Practical Salinity Unity</w:t>
      </w:r>
    </w:p>
    <w:p w14:paraId="17C5DE7C" w14:textId="3922F693" w:rsidR="001758C6" w:rsidRPr="00F339E7" w:rsidRDefault="001758C6" w:rsidP="007D36C8">
      <w:pPr>
        <w:spacing w:before="0" w:after="120"/>
      </w:pPr>
      <w:r w:rsidRPr="00F339E7">
        <w:t xml:space="preserve">QLD </w:t>
      </w:r>
      <w:r w:rsidRPr="00F339E7">
        <w:tab/>
        <w:t xml:space="preserve"> </w:t>
      </w:r>
      <w:r w:rsidR="007D36C8">
        <w:tab/>
      </w:r>
      <w:r w:rsidRPr="00F339E7">
        <w:t>Queensland</w:t>
      </w:r>
    </w:p>
    <w:p w14:paraId="1CF4F62B" w14:textId="40309632" w:rsidR="001758C6" w:rsidRPr="00F339E7" w:rsidRDefault="001758C6" w:rsidP="007D36C8">
      <w:pPr>
        <w:spacing w:before="0" w:after="120"/>
      </w:pPr>
      <w:r w:rsidRPr="00F339E7">
        <w:t xml:space="preserve">SE </w:t>
      </w:r>
      <w:r w:rsidRPr="00F339E7">
        <w:tab/>
        <w:t xml:space="preserve"> </w:t>
      </w:r>
      <w:r w:rsidR="007D36C8">
        <w:tab/>
      </w:r>
      <w:r w:rsidRPr="00F339E7">
        <w:t>Standard Error</w:t>
      </w:r>
    </w:p>
    <w:p w14:paraId="7C948F28" w14:textId="3552063C" w:rsidR="001758C6" w:rsidRPr="00F339E7" w:rsidRDefault="001758C6" w:rsidP="007D36C8">
      <w:pPr>
        <w:spacing w:before="0" w:after="120"/>
      </w:pPr>
      <w:r w:rsidRPr="00F339E7">
        <w:t xml:space="preserve">TSS </w:t>
      </w:r>
      <w:r w:rsidRPr="00F339E7">
        <w:tab/>
        <w:t xml:space="preserve"> </w:t>
      </w:r>
      <w:r w:rsidR="007D36C8">
        <w:tab/>
      </w:r>
      <w:r w:rsidRPr="00F339E7">
        <w:t>Total suspended solids</w:t>
      </w:r>
    </w:p>
    <w:p w14:paraId="722888F9" w14:textId="77777777" w:rsidR="008D3A01" w:rsidRPr="007557A2" w:rsidRDefault="008D3A01" w:rsidP="007557A2">
      <w:pPr>
        <w:pStyle w:val="Heading1"/>
      </w:pPr>
      <w:bookmarkStart w:id="6" w:name="_Toc410584186"/>
      <w:bookmarkStart w:id="7" w:name="_Toc416533837"/>
      <w:bookmarkStart w:id="8" w:name="_Toc443299669"/>
      <w:bookmarkStart w:id="9" w:name="_Toc454304688"/>
      <w:r w:rsidRPr="007557A2">
        <w:lastRenderedPageBreak/>
        <w:t>About this Report</w:t>
      </w:r>
      <w:bookmarkEnd w:id="6"/>
      <w:bookmarkEnd w:id="7"/>
      <w:bookmarkEnd w:id="8"/>
      <w:bookmarkEnd w:id="9"/>
    </w:p>
    <w:p w14:paraId="181BA39B" w14:textId="0AF6D843" w:rsidR="008D3A01" w:rsidRDefault="008D3A01" w:rsidP="008D3A01">
      <w:r w:rsidRPr="00F339E7">
        <w:t>This report</w:t>
      </w:r>
      <w:r w:rsidR="002453C9" w:rsidRPr="00F339E7">
        <w:t xml:space="preserve"> provides a </w:t>
      </w:r>
      <w:r w:rsidRPr="00F339E7">
        <w:t>synthesis of the key findings of research conducted</w:t>
      </w:r>
      <w:r w:rsidR="002453C9" w:rsidRPr="00F339E7">
        <w:t xml:space="preserve"> on </w:t>
      </w:r>
      <w:r w:rsidR="00F339E7" w:rsidRPr="00F339E7">
        <w:t>water quality collected through the 201</w:t>
      </w:r>
      <w:r w:rsidR="00076DB4">
        <w:t>3</w:t>
      </w:r>
      <w:r w:rsidR="00F339E7" w:rsidRPr="00F339E7">
        <w:t>/201</w:t>
      </w:r>
      <w:r w:rsidR="00076DB4">
        <w:t>4</w:t>
      </w:r>
      <w:r w:rsidR="00F339E7" w:rsidRPr="00F339E7">
        <w:t xml:space="preserve"> wet season </w:t>
      </w:r>
      <w:r w:rsidR="002453C9" w:rsidRPr="00F339E7">
        <w:t>s in the Great Barrier Reef and is designed</w:t>
      </w:r>
      <w:r w:rsidR="00A01C78" w:rsidRPr="00F339E7">
        <w:t xml:space="preserve"> to update the previous </w:t>
      </w:r>
      <w:r w:rsidR="00F339E7" w:rsidRPr="00F339E7">
        <w:t>reports submitted under the Marine Monitoring Program.</w:t>
      </w:r>
      <w:r w:rsidR="002453C9" w:rsidRPr="00F339E7">
        <w:t xml:space="preserve"> The report was commissioned and supported by </w:t>
      </w:r>
      <w:r w:rsidR="00F339E7" w:rsidRPr="00F339E7">
        <w:t>Government funding under the Australian Government Reef Program</w:t>
      </w:r>
      <w:r w:rsidR="007D36C8">
        <w:t>me</w:t>
      </w:r>
      <w:r w:rsidR="00F339E7" w:rsidRPr="00F339E7">
        <w:t xml:space="preserve"> and m</w:t>
      </w:r>
      <w:r w:rsidR="00F339E7">
        <w:t>anaged by</w:t>
      </w:r>
      <w:r w:rsidR="00F339E7" w:rsidRPr="00F339E7">
        <w:t xml:space="preserve"> the Great Barrier Reef Marine Park Authority.</w:t>
      </w:r>
      <w:r w:rsidR="00F339E7">
        <w:t xml:space="preserve"> </w:t>
      </w:r>
    </w:p>
    <w:p w14:paraId="3AD32E8C" w14:textId="6EA6399C" w:rsidR="007557A2" w:rsidRDefault="007557A2" w:rsidP="008D3A01"/>
    <w:p w14:paraId="6D4C3946" w14:textId="77777777" w:rsidR="007557A2" w:rsidRPr="007557A2" w:rsidRDefault="007557A2" w:rsidP="007557A2">
      <w:pPr>
        <w:pStyle w:val="Heading1"/>
      </w:pPr>
      <w:bookmarkStart w:id="10" w:name="_Toc454304689"/>
      <w:r w:rsidRPr="007557A2">
        <w:lastRenderedPageBreak/>
        <w:t>Acknowledgments</w:t>
      </w:r>
      <w:bookmarkEnd w:id="10"/>
    </w:p>
    <w:p w14:paraId="203E1869" w14:textId="77777777" w:rsidR="007557A2" w:rsidRDefault="007557A2" w:rsidP="007557A2">
      <w:r>
        <w:t xml:space="preserve">We acknowledge the Australian Government funding under the Australian Government Reef Programme and specifically thank the Great Barrier Reef Marine Park Authority (GBRMPA) and Department of the Environment for financial and technical support under this program. We acknowledge the efforts of Katherine Martin and Carol Marshall in overall program management. We thank all the amazing people involved in our field work and all who have helped us through sampling of in some very extreme conditions. We particularly thank Jason Shearer and Bec Rowlands from Mission Beach Charters who have been involved in our long term sampling of the Tully and Russell-Mulgrave marine waters, and who have been a key part of our program for over ten years. Thanks to all the other MMP providers from JCU, AIMS and UQ; it’s a great team of people to be a part of and thanks for all the good discussions.  Thank you to the TropWATER laboratory that have analysed thousands of samples for us. Thank you to CSIRO, particularly Thomas Schroeder and Vittorio Brando, who have provided advice and data for our ocean colour map. Thanks to the Bureau of Meteorology for the implementation of the WQ dashboard where we can now access remote sensed data. Finally, thank you to a great team of people at TropWATER James Cook University, particularly the Catchment to Reef Research Group, a small but wonderful team of people. </w:t>
      </w:r>
    </w:p>
    <w:p w14:paraId="093B46CB" w14:textId="77777777" w:rsidR="007557A2" w:rsidRDefault="007557A2" w:rsidP="007557A2"/>
    <w:p w14:paraId="081ADBF2" w14:textId="77777777" w:rsidR="007557A2" w:rsidRDefault="007557A2" w:rsidP="008D3A01"/>
    <w:p w14:paraId="6DE59BD9" w14:textId="77777777" w:rsidR="007557A2" w:rsidRPr="002C6A6F" w:rsidRDefault="007557A2" w:rsidP="008D3A01"/>
    <w:p w14:paraId="7760418E" w14:textId="77777777" w:rsidR="008D3A01" w:rsidRPr="00FD22CB" w:rsidRDefault="008D3A01" w:rsidP="008D3A01">
      <w:pPr>
        <w:pStyle w:val="Heading1"/>
        <w:sectPr w:rsidR="008D3A01" w:rsidRPr="00FD22CB" w:rsidSect="00F40529">
          <w:footerReference w:type="even" r:id="rId29"/>
          <w:footerReference w:type="default" r:id="rId30"/>
          <w:pgSz w:w="11907" w:h="16840" w:code="9"/>
          <w:pgMar w:top="1418" w:right="1418" w:bottom="1418" w:left="1418" w:header="720" w:footer="720" w:gutter="0"/>
          <w:pgNumType w:fmt="lowerRoman"/>
          <w:cols w:space="720"/>
          <w:docGrid w:linePitch="360"/>
        </w:sectPr>
      </w:pPr>
    </w:p>
    <w:p w14:paraId="42BFD308" w14:textId="77777777" w:rsidR="008D3A01" w:rsidRDefault="008D3A01" w:rsidP="00A76577">
      <w:pPr>
        <w:pStyle w:val="Heading1"/>
        <w:numPr>
          <w:ilvl w:val="0"/>
          <w:numId w:val="3"/>
        </w:numPr>
        <w:spacing w:after="240" w:line="80" w:lineRule="atLeast"/>
      </w:pPr>
      <w:bookmarkStart w:id="11" w:name="_Toc410584187"/>
      <w:bookmarkStart w:id="12" w:name="_Toc416533838"/>
      <w:bookmarkStart w:id="13" w:name="_Toc443299670"/>
      <w:bookmarkStart w:id="14" w:name="_Toc454304690"/>
      <w:r>
        <w:lastRenderedPageBreak/>
        <w:t>Executive summary</w:t>
      </w:r>
      <w:bookmarkEnd w:id="11"/>
      <w:bookmarkEnd w:id="12"/>
      <w:bookmarkEnd w:id="13"/>
      <w:bookmarkEnd w:id="14"/>
    </w:p>
    <w:p w14:paraId="540FA9DB" w14:textId="77777777" w:rsidR="008D3A01" w:rsidRPr="008D3A01" w:rsidRDefault="008D3A01" w:rsidP="00B46AF9">
      <w:pPr>
        <w:pStyle w:val="Heading2"/>
        <w:numPr>
          <w:ilvl w:val="1"/>
          <w:numId w:val="3"/>
        </w:numPr>
      </w:pPr>
      <w:bookmarkStart w:id="15" w:name="_Toc416533839"/>
      <w:bookmarkStart w:id="16" w:name="_Toc443299458"/>
      <w:bookmarkStart w:id="17" w:name="_Toc443299671"/>
      <w:bookmarkStart w:id="18" w:name="_Toc454304691"/>
      <w:r>
        <w:t>Scope of report</w:t>
      </w:r>
      <w:bookmarkEnd w:id="15"/>
      <w:bookmarkEnd w:id="16"/>
      <w:bookmarkEnd w:id="17"/>
      <w:bookmarkEnd w:id="18"/>
    </w:p>
    <w:p w14:paraId="77F40920" w14:textId="3C1711B5" w:rsidR="00E838DF" w:rsidRPr="008926B3" w:rsidRDefault="00E838DF" w:rsidP="00E838DF">
      <w:bookmarkStart w:id="19" w:name="_Toc410584188"/>
      <w:r w:rsidRPr="008926B3">
        <w:t xml:space="preserve">The </w:t>
      </w:r>
      <w:r w:rsidR="00F339E7" w:rsidRPr="00F339E7">
        <w:t>Australian Government Reef Program</w:t>
      </w:r>
      <w:r w:rsidR="004C5612">
        <w:t>me</w:t>
      </w:r>
      <w:r w:rsidR="00F339E7" w:rsidRPr="00F339E7">
        <w:t xml:space="preserve"> </w:t>
      </w:r>
      <w:r w:rsidRPr="008926B3">
        <w:t xml:space="preserve">Marine Monitoring Program (herein referred to as the MMP) undertaken in the Great Barrier Reef (GBR) lagoon assesses the long-term effectiveness of the Australian and Queensland Government’s Reef Water Quality Protection Plan and the Australian Government Reef </w:t>
      </w:r>
      <w:r w:rsidR="00434EFC">
        <w:t>Programme</w:t>
      </w:r>
      <w:r w:rsidR="00434EFC" w:rsidRPr="008926B3">
        <w:t xml:space="preserve"> </w:t>
      </w:r>
      <w:r w:rsidRPr="008926B3">
        <w:t xml:space="preserve">initiative. The MMP was established in 2005 to help assess the long-term status and health of GBR ecosystems and is a critical component in the assessment of regional water quality as land management practices are improved across GBR catchments. The program forms an integral part of the Reef Plan Paddock to Reef Integrated Monitoring, </w:t>
      </w:r>
      <w:r w:rsidR="004C5612">
        <w:t>Modelling and Reporting Program</w:t>
      </w:r>
      <w:r w:rsidRPr="008926B3">
        <w:t xml:space="preserve">. This report details the sampling that has taken place under the </w:t>
      </w:r>
      <w:r w:rsidR="009935EC">
        <w:t xml:space="preserve">MMP component related to terrestrial runoff to the GBR </w:t>
      </w:r>
      <w:r w:rsidRPr="008926B3">
        <w:t xml:space="preserve">for the </w:t>
      </w:r>
      <w:r w:rsidR="00EB10D9" w:rsidRPr="008926B3">
        <w:t>201</w:t>
      </w:r>
      <w:r w:rsidR="00EB10D9">
        <w:t>3</w:t>
      </w:r>
      <w:r w:rsidR="00920D23">
        <w:t>-20</w:t>
      </w:r>
      <w:r w:rsidR="00EB10D9" w:rsidRPr="008926B3">
        <w:t>1</w:t>
      </w:r>
      <w:r w:rsidR="00EB10D9">
        <w:t>4</w:t>
      </w:r>
      <w:r w:rsidR="00EB10D9" w:rsidRPr="008926B3">
        <w:t xml:space="preserve"> </w:t>
      </w:r>
      <w:r w:rsidRPr="008926B3">
        <w:t xml:space="preserve">sampling year, led by James Cook University (JCU). The sampling in the </w:t>
      </w:r>
      <w:r w:rsidR="00EB10D9" w:rsidRPr="008926B3">
        <w:t>201</w:t>
      </w:r>
      <w:r w:rsidR="00EB10D9">
        <w:t>3</w:t>
      </w:r>
      <w:r w:rsidRPr="008926B3">
        <w:t>-</w:t>
      </w:r>
      <w:r w:rsidR="00EB10D9" w:rsidRPr="008926B3">
        <w:t>201</w:t>
      </w:r>
      <w:r w:rsidR="00EB10D9">
        <w:t>4</w:t>
      </w:r>
      <w:r w:rsidR="00EB10D9" w:rsidRPr="008926B3">
        <w:t xml:space="preserve"> </w:t>
      </w:r>
      <w:r w:rsidRPr="008926B3">
        <w:t>wet season was carried out in conjunction with CSIRO and</w:t>
      </w:r>
      <w:r w:rsidR="007E5614">
        <w:t xml:space="preserve"> the</w:t>
      </w:r>
      <w:r w:rsidRPr="008926B3">
        <w:t xml:space="preserve"> eReefs</w:t>
      </w:r>
      <w:r w:rsidR="007E5614">
        <w:t xml:space="preserve"> program </w:t>
      </w:r>
      <w:r w:rsidRPr="008926B3">
        <w:t>which allowed us to sample with increased frequency over much larger spatial scales</w:t>
      </w:r>
      <w:r w:rsidR="004C5612">
        <w:t>.</w:t>
      </w:r>
      <w:r w:rsidRPr="008926B3">
        <w:t xml:space="preserve"> </w:t>
      </w:r>
    </w:p>
    <w:p w14:paraId="680F1745" w14:textId="2D5854D0" w:rsidR="00E838DF" w:rsidRPr="003B4D09" w:rsidRDefault="00E838DF" w:rsidP="00E838DF">
      <w:r w:rsidRPr="003B4D09">
        <w:t>The main objective of wet season monitoring under the MMP is to describe water quality (WQ) concentrations within wet season conditions</w:t>
      </w:r>
      <w:r>
        <w:t xml:space="preserve">, characterise the spatial and temporal variability </w:t>
      </w:r>
      <w:r w:rsidR="004C5612">
        <w:t xml:space="preserve">of WQ conditions </w:t>
      </w:r>
      <w:r>
        <w:t>associated with flood plumes</w:t>
      </w:r>
      <w:r w:rsidR="004C5612">
        <w:t>,</w:t>
      </w:r>
      <w:r>
        <w:t xml:space="preserve"> and </w:t>
      </w:r>
      <w:r w:rsidRPr="003B4D09">
        <w:t>produce maps of river plumes</w:t>
      </w:r>
      <w:r>
        <w:t xml:space="preserve"> and </w:t>
      </w:r>
      <w:r w:rsidRPr="003B4D09">
        <w:t>models that summari</w:t>
      </w:r>
      <w:r w:rsidR="004C5612">
        <w:t>se land-sourced contaminant</w:t>
      </w:r>
      <w:r w:rsidRPr="003B4D09">
        <w:t xml:space="preserve"> transport</w:t>
      </w:r>
      <w:r>
        <w:t>. Ultimately</w:t>
      </w:r>
      <w:r w:rsidR="004C5612">
        <w:t>,</w:t>
      </w:r>
      <w:r>
        <w:t xml:space="preserve"> the integration of all these methods in a</w:t>
      </w:r>
      <w:r w:rsidRPr="003B4D09">
        <w:t xml:space="preserve"> single risk assessment framework </w:t>
      </w:r>
      <w:r>
        <w:t>would provide a baseline to</w:t>
      </w:r>
      <w:r w:rsidRPr="003B4D09">
        <w:t xml:space="preserve"> evaluate the susceptibility of GBR key ecosystems to river plume/pollutants exposure i.e., to model the risk of GBR ecosystem due to exposure to river plumes</w:t>
      </w:r>
      <w:r>
        <w:t xml:space="preserve"> and acute water quality conditions</w:t>
      </w:r>
      <w:r w:rsidRPr="003B4D09">
        <w:t>.</w:t>
      </w:r>
      <w:r w:rsidR="004C5612">
        <w:t xml:space="preserve"> </w:t>
      </w:r>
      <w:r w:rsidR="0051672D">
        <w:t>Investigation of the</w:t>
      </w:r>
      <w:r w:rsidR="004C5612">
        <w:t xml:space="preserve"> latter component </w:t>
      </w:r>
      <w:r w:rsidR="0051672D">
        <w:t>commenced</w:t>
      </w:r>
      <w:r w:rsidR="004C5612">
        <w:t xml:space="preserve"> in this reporting period.</w:t>
      </w:r>
    </w:p>
    <w:p w14:paraId="25FC9BA4" w14:textId="77777777" w:rsidR="008D3A01" w:rsidRDefault="00D90EA7" w:rsidP="00B46AF9">
      <w:pPr>
        <w:pStyle w:val="Heading2"/>
        <w:numPr>
          <w:ilvl w:val="1"/>
          <w:numId w:val="3"/>
        </w:numPr>
      </w:pPr>
      <w:bookmarkStart w:id="20" w:name="_Toc443299459"/>
      <w:bookmarkStart w:id="21" w:name="_Toc443299672"/>
      <w:bookmarkStart w:id="22" w:name="_Toc454304692"/>
      <w:bookmarkEnd w:id="19"/>
      <w:r>
        <w:t>Characteristics of the 2013-2014 wet season</w:t>
      </w:r>
      <w:bookmarkEnd w:id="20"/>
      <w:bookmarkEnd w:id="21"/>
      <w:bookmarkEnd w:id="22"/>
    </w:p>
    <w:p w14:paraId="66EBB9CB" w14:textId="4202BE59" w:rsidR="00FF78D9" w:rsidRPr="00FF78D9" w:rsidRDefault="00271DA2" w:rsidP="002D1F86">
      <w:r w:rsidRPr="00FF78D9">
        <w:t>The wet season 2014 was characterised by neutral (neither El Niño nor La Niña) climatic conditions</w:t>
      </w:r>
      <w:r w:rsidR="004D1AC5">
        <w:t>,</w:t>
      </w:r>
      <w:r w:rsidRPr="00FF78D9">
        <w:t xml:space="preserve"> and tropical cyclone activity for the </w:t>
      </w:r>
      <w:r w:rsidR="005006CE">
        <w:t>2013-2014</w:t>
      </w:r>
      <w:r w:rsidRPr="00FF78D9">
        <w:t xml:space="preserve"> wet season was </w:t>
      </w:r>
      <w:r w:rsidR="004D1AC5">
        <w:t xml:space="preserve">similar to </w:t>
      </w:r>
      <w:r w:rsidRPr="00FF78D9">
        <w:t xml:space="preserve">average activity </w:t>
      </w:r>
      <w:r w:rsidR="004D1AC5">
        <w:t>in</w:t>
      </w:r>
      <w:r w:rsidRPr="00FF78D9">
        <w:t xml:space="preserve"> Queensland. After a late start to the wet season, Queensland’s NRM regions experienced two minor flood events around the 26 January </w:t>
      </w:r>
      <w:r w:rsidR="004D1AC5">
        <w:t xml:space="preserve">2014 </w:t>
      </w:r>
      <w:r w:rsidRPr="00FF78D9">
        <w:t xml:space="preserve">to 17 February </w:t>
      </w:r>
      <w:r w:rsidR="004D1AC5">
        <w:t xml:space="preserve">2014, </w:t>
      </w:r>
      <w:r w:rsidRPr="00FF78D9">
        <w:t xml:space="preserve">and around 19 March </w:t>
      </w:r>
      <w:r w:rsidR="004D1AC5">
        <w:t>2014</w:t>
      </w:r>
      <w:r w:rsidR="009935EC">
        <w:t xml:space="preserve"> </w:t>
      </w:r>
      <w:r w:rsidRPr="00FF78D9">
        <w:t xml:space="preserve">to 6 April </w:t>
      </w:r>
      <w:r w:rsidR="004D1AC5">
        <w:t xml:space="preserve">2014. This was followed by a </w:t>
      </w:r>
      <w:r w:rsidRPr="00FF78D9">
        <w:t xml:space="preserve">more </w:t>
      </w:r>
      <w:r w:rsidR="004D1AC5">
        <w:t>significant</w:t>
      </w:r>
      <w:r w:rsidRPr="00FF78D9">
        <w:t xml:space="preserve"> flood event under the influence of Tropical Cyclone Ita which developed </w:t>
      </w:r>
      <w:r w:rsidR="00203216">
        <w:t>in the northern GBR in mid-</w:t>
      </w:r>
      <w:r w:rsidRPr="00FF78D9">
        <w:t>April</w:t>
      </w:r>
      <w:r w:rsidR="00FF78D9">
        <w:t xml:space="preserve"> 2014. Cyclone Ita </w:t>
      </w:r>
      <w:r w:rsidR="00A7721F">
        <w:t>became a</w:t>
      </w:r>
      <w:r w:rsidR="00FF78D9">
        <w:t xml:space="preserve"> </w:t>
      </w:r>
      <w:r w:rsidR="00FF78D9" w:rsidRPr="00FF78D9">
        <w:t>Category 5 severe tropical cyclone early on</w:t>
      </w:r>
      <w:r w:rsidR="003F74E5">
        <w:t xml:space="preserve"> </w:t>
      </w:r>
      <w:r w:rsidR="00FF78D9" w:rsidRPr="00FF78D9">
        <w:t>11</w:t>
      </w:r>
      <w:r w:rsidR="00A7721F">
        <w:t xml:space="preserve"> </w:t>
      </w:r>
      <w:r w:rsidR="00FF78D9" w:rsidRPr="00FF78D9">
        <w:t>April</w:t>
      </w:r>
      <w:r w:rsidR="00FF78D9">
        <w:t xml:space="preserve"> 2014</w:t>
      </w:r>
      <w:r w:rsidR="00203216">
        <w:t>, and w</w:t>
      </w:r>
      <w:r w:rsidR="00FF78D9" w:rsidRPr="00FF78D9">
        <w:t xml:space="preserve">inds were estimated to have reached 215 km/h (130 mph). The storm weakened before making </w:t>
      </w:r>
      <w:hyperlink r:id="rId31" w:tooltip="Landfall (meteorology)" w:history="1">
        <w:r w:rsidR="00FF78D9" w:rsidRPr="00FF78D9">
          <w:t>landfall</w:t>
        </w:r>
      </w:hyperlink>
      <w:r w:rsidR="00FF78D9" w:rsidRPr="00FF78D9">
        <w:t xml:space="preserve"> near </w:t>
      </w:r>
      <w:hyperlink r:id="rId32" w:tooltip="Cape Flattery (Queensland)" w:history="1">
        <w:r w:rsidR="00FF78D9" w:rsidRPr="00FF78D9">
          <w:t>Cape Flattery</w:t>
        </w:r>
      </w:hyperlink>
      <w:r w:rsidR="00FF78D9" w:rsidRPr="00FF78D9">
        <w:t xml:space="preserve"> as a Category 4 later on 11</w:t>
      </w:r>
      <w:r w:rsidR="00A7721F">
        <w:t xml:space="preserve"> </w:t>
      </w:r>
      <w:r w:rsidR="00FF78D9" w:rsidRPr="00FF78D9">
        <w:t>April</w:t>
      </w:r>
      <w:r w:rsidR="00A7721F">
        <w:t xml:space="preserve"> 2014</w:t>
      </w:r>
      <w:r w:rsidR="00FF78D9" w:rsidRPr="00FF78D9">
        <w:t xml:space="preserve">. The greatest impact from </w:t>
      </w:r>
      <w:r w:rsidR="00A7721F">
        <w:t xml:space="preserve">cyclone </w:t>
      </w:r>
      <w:r w:rsidR="00FF78D9" w:rsidRPr="00FF78D9">
        <w:t xml:space="preserve">Ita resulted from heavy rains, with many areas receiving up to 300 mm in 24 hours. </w:t>
      </w:r>
      <w:hyperlink r:id="rId33" w:tooltip="Cardwell, Queensland" w:history="1">
        <w:r w:rsidR="00FF78D9" w:rsidRPr="00FF78D9">
          <w:t>Cardwell</w:t>
        </w:r>
      </w:hyperlink>
      <w:r w:rsidR="00FF78D9" w:rsidRPr="00FF78D9">
        <w:t xml:space="preserve"> reported 307</w:t>
      </w:r>
      <w:r w:rsidR="00A7721F" w:rsidRPr="00FF78D9">
        <w:t> </w:t>
      </w:r>
      <w:r w:rsidR="00FF78D9" w:rsidRPr="00FF78D9">
        <w:t xml:space="preserve">mm of rain in 24 hours, while in </w:t>
      </w:r>
      <w:hyperlink r:id="rId34" w:tooltip="Tully, Queensland" w:history="1">
        <w:r w:rsidR="00FF78D9" w:rsidRPr="00FF78D9">
          <w:t>Tully</w:t>
        </w:r>
      </w:hyperlink>
      <w:r w:rsidR="00A7721F">
        <w:t xml:space="preserve"> 312</w:t>
      </w:r>
      <w:r w:rsidR="00FF78D9" w:rsidRPr="00FF78D9">
        <w:t xml:space="preserve"> mm of rain fell over two days, causing moderate flooding in both towns. In </w:t>
      </w:r>
      <w:hyperlink r:id="rId35" w:tooltip="Bowen, Queensland" w:history="1">
        <w:r w:rsidR="00FF78D9" w:rsidRPr="00FF78D9">
          <w:t>Bowen</w:t>
        </w:r>
      </w:hyperlink>
      <w:r w:rsidR="00FF78D9" w:rsidRPr="00FF78D9">
        <w:t xml:space="preserve">, 110 mm fell in one-hour, triggering a </w:t>
      </w:r>
      <w:hyperlink r:id="rId36" w:tooltip="Flash flood" w:history="1">
        <w:r w:rsidR="00FF78D9" w:rsidRPr="00FF78D9">
          <w:t>flash flood</w:t>
        </w:r>
      </w:hyperlink>
      <w:r w:rsidR="00FF78D9" w:rsidRPr="00FF78D9">
        <w:t xml:space="preserve"> through the town</w:t>
      </w:r>
      <w:r w:rsidR="00FF78D9">
        <w:t>’</w:t>
      </w:r>
      <w:r w:rsidR="00FF78D9" w:rsidRPr="00FF78D9">
        <w:t>s main street. Cooktown receive</w:t>
      </w:r>
      <w:r w:rsidR="00A7721F">
        <w:t>d 19</w:t>
      </w:r>
      <w:r w:rsidR="00FF78D9" w:rsidRPr="00FF78D9">
        <w:t xml:space="preserve">8 mm of rain over a three-day span. The </w:t>
      </w:r>
      <w:hyperlink r:id="rId37" w:tooltip="Daintree River" w:history="1">
        <w:r w:rsidR="00FF78D9" w:rsidRPr="00FF78D9">
          <w:t>Daintree</w:t>
        </w:r>
      </w:hyperlink>
      <w:r w:rsidR="00FF78D9" w:rsidRPr="00FF78D9">
        <w:t xml:space="preserve">, </w:t>
      </w:r>
      <w:hyperlink r:id="rId38" w:tooltip="Mulgrave River" w:history="1">
        <w:r w:rsidR="00FF78D9" w:rsidRPr="00FF78D9">
          <w:t>Mulgrave</w:t>
        </w:r>
      </w:hyperlink>
      <w:r w:rsidR="00FF78D9" w:rsidRPr="00FF78D9">
        <w:t xml:space="preserve">, </w:t>
      </w:r>
      <w:hyperlink r:id="rId39" w:tooltip="Haughton River" w:history="1">
        <w:r w:rsidR="00FF78D9" w:rsidRPr="00FF78D9">
          <w:t>Haughton</w:t>
        </w:r>
      </w:hyperlink>
      <w:r w:rsidR="00FF78D9" w:rsidRPr="00FF78D9">
        <w:t xml:space="preserve">, and </w:t>
      </w:r>
      <w:hyperlink r:id="rId40" w:tooltip="Herbert River" w:history="1">
        <w:r w:rsidR="00FF78D9" w:rsidRPr="00FF78D9">
          <w:t>Herbert</w:t>
        </w:r>
      </w:hyperlink>
      <w:r w:rsidR="00FF78D9" w:rsidRPr="00FF78D9">
        <w:t xml:space="preserve"> rivers all experienced major flooding. </w:t>
      </w:r>
      <w:hyperlink r:id="rId41" w:tooltip="Townsville" w:history="1">
        <w:r w:rsidR="00FF78D9" w:rsidRPr="00FF78D9">
          <w:t>Townsville</w:t>
        </w:r>
      </w:hyperlink>
      <w:r w:rsidR="00FF78D9" w:rsidRPr="00FF78D9">
        <w:t xml:space="preserve"> reported 214 mm of rain and wind gusts of up to 93 km/h (58 mph) causing only minor damage.</w:t>
      </w:r>
    </w:p>
    <w:p w14:paraId="7C438B11" w14:textId="77777777" w:rsidR="008D3A01" w:rsidRDefault="00E838DF" w:rsidP="00B46AF9">
      <w:pPr>
        <w:pStyle w:val="Heading2"/>
        <w:numPr>
          <w:ilvl w:val="1"/>
          <w:numId w:val="3"/>
        </w:numPr>
      </w:pPr>
      <w:bookmarkStart w:id="23" w:name="_Toc443299460"/>
      <w:bookmarkStart w:id="24" w:name="_Toc443299673"/>
      <w:bookmarkStart w:id="25" w:name="_Toc454304693"/>
      <w:r w:rsidRPr="008576A9">
        <w:rPr>
          <w:i/>
        </w:rPr>
        <w:t>In</w:t>
      </w:r>
      <w:r w:rsidRPr="00FF78D9">
        <w:t>-Situ</w:t>
      </w:r>
      <w:r>
        <w:t xml:space="preserve"> Water Quality</w:t>
      </w:r>
      <w:bookmarkEnd w:id="23"/>
      <w:bookmarkEnd w:id="24"/>
      <w:bookmarkEnd w:id="25"/>
    </w:p>
    <w:p w14:paraId="463B01B6" w14:textId="7356DFFC" w:rsidR="00E838DF" w:rsidRDefault="00E838DF" w:rsidP="002D1F86">
      <w:r w:rsidRPr="007E554A">
        <w:t xml:space="preserve">Sampling of flood plumes was successfully conducted during the </w:t>
      </w:r>
      <w:r w:rsidR="005006CE">
        <w:t>2013-2014</w:t>
      </w:r>
      <w:r w:rsidR="009A2F45" w:rsidRPr="007E554A">
        <w:t xml:space="preserve"> </w:t>
      </w:r>
      <w:r w:rsidRPr="007E554A">
        <w:t xml:space="preserve">wet season </w:t>
      </w:r>
      <w:r w:rsidR="000E56E4">
        <w:t xml:space="preserve">in the </w:t>
      </w:r>
      <w:r w:rsidR="009A2F45">
        <w:t>Cape York</w:t>
      </w:r>
      <w:r w:rsidR="00203216">
        <w:t xml:space="preserve"> and</w:t>
      </w:r>
      <w:r w:rsidR="009A2F45">
        <w:t xml:space="preserve"> </w:t>
      </w:r>
      <w:r w:rsidRPr="007E5614">
        <w:t>Wet Tropi</w:t>
      </w:r>
      <w:r w:rsidR="008A2945">
        <w:t>cs</w:t>
      </w:r>
      <w:r w:rsidR="000E56E4">
        <w:t xml:space="preserve"> Natural Resource Management (NRM) regions</w:t>
      </w:r>
      <w:r w:rsidR="008A2945">
        <w:t xml:space="preserve">. </w:t>
      </w:r>
      <w:r w:rsidRPr="00CF3853">
        <w:t xml:space="preserve">A total of </w:t>
      </w:r>
      <w:r w:rsidR="008A2945">
        <w:t xml:space="preserve">154 sites were visited in the </w:t>
      </w:r>
      <w:r w:rsidR="005006CE">
        <w:t>2013-2014</w:t>
      </w:r>
      <w:r w:rsidRPr="00CF3853">
        <w:t xml:space="preserve"> wet season with </w:t>
      </w:r>
      <w:r w:rsidR="009A2F45" w:rsidRPr="00FF78D9">
        <w:t>9</w:t>
      </w:r>
      <w:r w:rsidR="009A2F45" w:rsidRPr="009A2F45">
        <w:t xml:space="preserve"> </w:t>
      </w:r>
      <w:r w:rsidRPr="00CF3853">
        <w:t>sampled in the Cape York</w:t>
      </w:r>
      <w:r w:rsidR="009A2F45" w:rsidRPr="00FF78D9">
        <w:t xml:space="preserve"> and</w:t>
      </w:r>
      <w:r w:rsidRPr="00CF3853">
        <w:t xml:space="preserve"> </w:t>
      </w:r>
      <w:r w:rsidR="009A2F45" w:rsidRPr="00FF78D9">
        <w:t>145</w:t>
      </w:r>
      <w:r w:rsidR="009A2F45" w:rsidRPr="009A2F45">
        <w:t xml:space="preserve"> </w:t>
      </w:r>
      <w:r w:rsidRPr="00CF3853">
        <w:t>in the Wet Tropics</w:t>
      </w:r>
      <w:r w:rsidR="000E56E4">
        <w:t xml:space="preserve"> (Table 1-1)</w:t>
      </w:r>
      <w:r w:rsidRPr="00FF78D9">
        <w:t xml:space="preserve">. The data from </w:t>
      </w:r>
      <w:r w:rsidR="008A2945">
        <w:t xml:space="preserve">sites sampled in </w:t>
      </w:r>
      <w:r w:rsidRPr="00FF78D9">
        <w:t>the Wet Tropics</w:t>
      </w:r>
      <w:r w:rsidR="008A2945">
        <w:t xml:space="preserve"> NRM region is</w:t>
      </w:r>
      <w:r w:rsidRPr="00FF78D9">
        <w:t xml:space="preserve"> described in this report, with data collected in Cape York analysed and reported in a </w:t>
      </w:r>
      <w:r w:rsidR="00203216" w:rsidRPr="00FF78D9">
        <w:t>stand</w:t>
      </w:r>
      <w:r w:rsidR="00203216">
        <w:t>-</w:t>
      </w:r>
      <w:r w:rsidR="00203216" w:rsidRPr="00FF78D9">
        <w:t>alone</w:t>
      </w:r>
      <w:r w:rsidRPr="00FF78D9">
        <w:t xml:space="preserve"> report </w:t>
      </w:r>
      <w:r w:rsidR="00F339E7" w:rsidRPr="00FF78D9">
        <w:t>(Howley et al., 2015</w:t>
      </w:r>
      <w:r w:rsidRPr="00FF78D9">
        <w:t>)</w:t>
      </w:r>
      <w:r w:rsidR="009A2F45" w:rsidRPr="00FF78D9">
        <w:t>.</w:t>
      </w:r>
    </w:p>
    <w:p w14:paraId="60BD8ABE" w14:textId="75C1C4F1" w:rsidR="00E838DF" w:rsidRDefault="00A7721F" w:rsidP="002D1F86">
      <w:r>
        <w:lastRenderedPageBreak/>
        <w:t xml:space="preserve">Field sampling </w:t>
      </w:r>
      <w:r w:rsidR="00E838DF" w:rsidRPr="007E554A">
        <w:t xml:space="preserve">within water associated with </w:t>
      </w:r>
      <w:r w:rsidR="00E838DF">
        <w:t>the formation and transport of river</w:t>
      </w:r>
      <w:r w:rsidR="00E838DF" w:rsidRPr="007E554A">
        <w:t xml:space="preserve"> flood plumes included the collection of water samples</w:t>
      </w:r>
      <w:r w:rsidR="00E838DF">
        <w:t xml:space="preserve"> listed in Table </w:t>
      </w:r>
      <w:r w:rsidR="005F5C7F">
        <w:t>1-</w:t>
      </w:r>
      <w:r w:rsidR="00203216">
        <w:t>2</w:t>
      </w:r>
      <w:r w:rsidR="00E838DF">
        <w:t>. Terminology for each parameter is listed in this table and will be used for the remainder of the report. Some parameters listed in Table</w:t>
      </w:r>
      <w:r w:rsidR="009C4D9F">
        <w:t xml:space="preserve"> 1-</w:t>
      </w:r>
      <w:r w:rsidR="00203216">
        <w:t>2</w:t>
      </w:r>
      <w:r w:rsidR="00E838DF">
        <w:t xml:space="preserve"> </w:t>
      </w:r>
      <w:r>
        <w:t>are</w:t>
      </w:r>
      <w:r w:rsidR="00E838DF">
        <w:t xml:space="preserve"> not reported in this </w:t>
      </w:r>
      <w:r w:rsidR="007E5614">
        <w:t>report, including phytoplankton</w:t>
      </w:r>
      <w:r w:rsidR="009C4D9F">
        <w:t>,</w:t>
      </w:r>
      <w:r w:rsidR="00E838DF">
        <w:t xml:space="preserve"> due to limited number of samples</w:t>
      </w:r>
      <w:r w:rsidR="009C4D9F">
        <w:t>,</w:t>
      </w:r>
      <w:r w:rsidR="007E5614">
        <w:t xml:space="preserve"> and </w:t>
      </w:r>
      <w:r w:rsidR="00E838DF">
        <w:t xml:space="preserve">PSII </w:t>
      </w:r>
      <w:r w:rsidR="00E838DF" w:rsidRPr="005F5C7F">
        <w:t>herbicides</w:t>
      </w:r>
      <w:r>
        <w:t xml:space="preserve"> which are</w:t>
      </w:r>
      <w:r w:rsidR="00E838DF" w:rsidRPr="005F5C7F">
        <w:t xml:space="preserve"> reported in</w:t>
      </w:r>
      <w:r w:rsidR="007E5614" w:rsidRPr="005F5C7F">
        <w:t xml:space="preserve"> detail in </w:t>
      </w:r>
      <w:r w:rsidR="005F5C7F">
        <w:t>Gallen</w:t>
      </w:r>
      <w:r w:rsidR="005031BD" w:rsidRPr="005F5C7F">
        <w:t xml:space="preserve"> et al.</w:t>
      </w:r>
      <w:r w:rsidR="00D23397">
        <w:t xml:space="preserve"> (</w:t>
      </w:r>
      <w:r w:rsidR="005031BD" w:rsidRPr="005F5C7F">
        <w:t>201</w:t>
      </w:r>
      <w:r w:rsidR="005306FA">
        <w:t>4</w:t>
      </w:r>
      <w:r w:rsidR="00D23397">
        <w:t>).</w:t>
      </w:r>
    </w:p>
    <w:p w14:paraId="1D5795AC" w14:textId="77777777" w:rsidR="007557A2" w:rsidRDefault="007557A2" w:rsidP="007557A2">
      <w:pPr>
        <w:rPr>
          <w:lang w:val="en-US"/>
        </w:rPr>
      </w:pPr>
      <w:r>
        <w:rPr>
          <w:lang w:val="en-US"/>
        </w:rPr>
        <w:t>Sampling</w:t>
      </w:r>
      <w:r w:rsidRPr="00B433B0">
        <w:rPr>
          <w:lang w:val="en-US"/>
        </w:rPr>
        <w:t xml:space="preserve"> campaigns were carried out in areas under the influence of the </w:t>
      </w:r>
      <w:r>
        <w:rPr>
          <w:lang w:val="en-US"/>
        </w:rPr>
        <w:t>Tully and Russell-Mulgrave</w:t>
      </w:r>
      <w:r w:rsidRPr="00B433B0">
        <w:rPr>
          <w:lang w:val="en-US"/>
        </w:rPr>
        <w:t xml:space="preserve"> River</w:t>
      </w:r>
      <w:r>
        <w:rPr>
          <w:lang w:val="en-US"/>
        </w:rPr>
        <w:t>s</w:t>
      </w:r>
      <w:r w:rsidRPr="00B433B0">
        <w:rPr>
          <w:lang w:val="en-US"/>
        </w:rPr>
        <w:t xml:space="preserve"> (Wet Tropics</w:t>
      </w:r>
      <w:r>
        <w:rPr>
          <w:lang w:val="en-US"/>
        </w:rPr>
        <w:t xml:space="preserve"> NRM region</w:t>
      </w:r>
      <w:r w:rsidRPr="00B433B0">
        <w:rPr>
          <w:lang w:val="en-US"/>
        </w:rPr>
        <w:t>)</w:t>
      </w:r>
      <w:r>
        <w:rPr>
          <w:lang w:val="en-US"/>
        </w:rPr>
        <w:t>. O</w:t>
      </w:r>
      <w:r w:rsidRPr="00B433B0">
        <w:rPr>
          <w:lang w:val="en-US"/>
        </w:rPr>
        <w:t xml:space="preserve">ver the period of </w:t>
      </w:r>
      <w:r>
        <w:rPr>
          <w:lang w:val="en-US"/>
        </w:rPr>
        <w:t>the passage of the Ex-tropical C</w:t>
      </w:r>
      <w:r w:rsidRPr="00B433B0">
        <w:rPr>
          <w:lang w:val="en-US"/>
        </w:rPr>
        <w:t>yclone Ita</w:t>
      </w:r>
      <w:r>
        <w:rPr>
          <w:lang w:val="en-US"/>
        </w:rPr>
        <w:t xml:space="preserve">, extra samples were taken in the waters of the </w:t>
      </w:r>
      <w:r w:rsidRPr="00B433B0">
        <w:rPr>
          <w:lang w:val="en-US"/>
        </w:rPr>
        <w:t>Normanby River (Cape York</w:t>
      </w:r>
      <w:r>
        <w:rPr>
          <w:lang w:val="en-US"/>
        </w:rPr>
        <w:t xml:space="preserve"> NRM region</w:t>
      </w:r>
      <w:r w:rsidRPr="00B433B0">
        <w:rPr>
          <w:lang w:val="en-US"/>
        </w:rPr>
        <w:t>)</w:t>
      </w:r>
      <w:r>
        <w:rPr>
          <w:lang w:val="en-US"/>
        </w:rPr>
        <w:t xml:space="preserve"> and the Herbert River (Wet Tropics NRM region).</w:t>
      </w:r>
      <w:r w:rsidRPr="00B433B0">
        <w:rPr>
          <w:lang w:val="en-US"/>
        </w:rPr>
        <w:t xml:space="preserve"> </w:t>
      </w:r>
    </w:p>
    <w:p w14:paraId="62807CE1" w14:textId="502B4136" w:rsidR="00110A7F" w:rsidRPr="00C6470A" w:rsidRDefault="00110A7F" w:rsidP="00C6470A">
      <w:pPr>
        <w:pStyle w:val="Caption"/>
      </w:pPr>
      <w:bookmarkStart w:id="26" w:name="_Toc454304598"/>
      <w:r w:rsidRPr="00C6470A">
        <w:t xml:space="preserve">Table </w:t>
      </w:r>
      <w:r w:rsidR="00445BD2">
        <w:fldChar w:fldCharType="begin"/>
      </w:r>
      <w:r w:rsidR="00445BD2">
        <w:instrText xml:space="preserve"> STYLEREF 1 \s </w:instrText>
      </w:r>
      <w:r w:rsidR="00445BD2">
        <w:fldChar w:fldCharType="separate"/>
      </w:r>
      <w:r w:rsidR="000E22F3">
        <w:rPr>
          <w:noProof/>
        </w:rPr>
        <w:t>1</w:t>
      </w:r>
      <w:r w:rsidR="00445BD2">
        <w:fldChar w:fldCharType="end"/>
      </w:r>
      <w:r w:rsidR="00445BD2">
        <w:noBreakHyphen/>
      </w:r>
      <w:r w:rsidR="00445BD2">
        <w:fldChar w:fldCharType="begin"/>
      </w:r>
      <w:r w:rsidR="00445BD2">
        <w:instrText xml:space="preserve"> SEQ Table \* ARABIC \s 1 </w:instrText>
      </w:r>
      <w:r w:rsidR="00445BD2">
        <w:fldChar w:fldCharType="separate"/>
      </w:r>
      <w:r w:rsidR="000E22F3">
        <w:rPr>
          <w:noProof/>
        </w:rPr>
        <w:t>1</w:t>
      </w:r>
      <w:r w:rsidR="00445BD2">
        <w:fldChar w:fldCharType="end"/>
      </w:r>
      <w:r w:rsidRPr="00C6470A">
        <w:t xml:space="preserve">: Summary of the sampling effort carried out in the </w:t>
      </w:r>
      <w:r w:rsidR="005006CE">
        <w:t>2013-2014</w:t>
      </w:r>
      <w:r w:rsidR="009A2F45" w:rsidRPr="00C6470A">
        <w:t xml:space="preserve"> </w:t>
      </w:r>
      <w:r w:rsidRPr="00C6470A">
        <w:t xml:space="preserve">wet season campaign by NRM, presenting the number of field trips per </w:t>
      </w:r>
      <w:r w:rsidR="007557A2">
        <w:t>r</w:t>
      </w:r>
      <w:r w:rsidRPr="00C6470A">
        <w:t xml:space="preserve">iver/transect, sites sampled and the sampling period. </w:t>
      </w:r>
      <w:r w:rsidR="008A2945" w:rsidRPr="00C6470A">
        <w:t xml:space="preserve">Number in brackets stand </w:t>
      </w:r>
      <w:r w:rsidR="00460824" w:rsidRPr="00C6470A">
        <w:t>to</w:t>
      </w:r>
      <w:r w:rsidR="008A2945" w:rsidRPr="00C6470A">
        <w:t xml:space="preserve"> those sites that also had pesticides and phytoplankton sampling.</w:t>
      </w:r>
      <w:bookmarkEnd w:id="26"/>
    </w:p>
    <w:tbl>
      <w:tblPr>
        <w:tblW w:w="0" w:type="auto"/>
        <w:jc w:val="center"/>
        <w:tblLook w:val="04A0" w:firstRow="1" w:lastRow="0" w:firstColumn="1" w:lastColumn="0" w:noHBand="0" w:noVBand="1"/>
        <w:tblCaption w:val="Summary of the sampling effort carried out in the 2013-2014 wet season campaign"/>
        <w:tblDescription w:val="Summary of the sampling effort carried out in the 2013-2014 wet season campaign by NRM, presenting the number of field trips per river/transect, sites sampled and the sampling period. Number in brackets stand to those sites that also had pesticides and phytoplankton sampling."/>
      </w:tblPr>
      <w:tblGrid>
        <w:gridCol w:w="1257"/>
        <w:gridCol w:w="1607"/>
        <w:gridCol w:w="787"/>
        <w:gridCol w:w="817"/>
        <w:gridCol w:w="1047"/>
      </w:tblGrid>
      <w:tr w:rsidR="009A379F" w:rsidRPr="0097587B" w14:paraId="2D08B19D" w14:textId="77777777" w:rsidTr="00FF78D9">
        <w:trPr>
          <w:trHeight w:val="227"/>
          <w:jc w:val="center"/>
        </w:trPr>
        <w:tc>
          <w:tcPr>
            <w:tcW w:w="0" w:type="auto"/>
            <w:tcBorders>
              <w:top w:val="single" w:sz="4" w:space="0" w:color="auto"/>
              <w:left w:val="nil"/>
              <w:bottom w:val="nil"/>
              <w:right w:val="single" w:sz="4" w:space="0" w:color="auto"/>
            </w:tcBorders>
            <w:shd w:val="clear" w:color="auto" w:fill="auto"/>
            <w:noWrap/>
            <w:vAlign w:val="center"/>
            <w:hideMark/>
          </w:tcPr>
          <w:p w14:paraId="7643A61E" w14:textId="77777777" w:rsidR="009A379F" w:rsidRPr="0097587B" w:rsidRDefault="009A379F" w:rsidP="00861681">
            <w:pPr>
              <w:spacing w:before="0" w:after="0" w:line="360" w:lineRule="auto"/>
              <w:jc w:val="left"/>
              <w:rPr>
                <w:rFonts w:ascii="Arial" w:hAnsi="Arial" w:cs="Arial"/>
                <w:color w:val="000000"/>
                <w:sz w:val="18"/>
              </w:rPr>
            </w:pPr>
          </w:p>
        </w:tc>
        <w:tc>
          <w:tcPr>
            <w:tcW w:w="0" w:type="auto"/>
            <w:gridSpan w:val="4"/>
            <w:tcBorders>
              <w:top w:val="single" w:sz="4" w:space="0" w:color="auto"/>
              <w:left w:val="single" w:sz="4" w:space="0" w:color="auto"/>
              <w:bottom w:val="nil"/>
              <w:right w:val="nil"/>
            </w:tcBorders>
            <w:shd w:val="clear" w:color="auto" w:fill="auto"/>
            <w:noWrap/>
            <w:vAlign w:val="center"/>
            <w:hideMark/>
          </w:tcPr>
          <w:p w14:paraId="1C48B9B2" w14:textId="77777777" w:rsidR="009A379F" w:rsidRPr="0097587B" w:rsidRDefault="009A379F" w:rsidP="00861681">
            <w:pPr>
              <w:spacing w:before="0" w:after="0" w:line="360" w:lineRule="auto"/>
              <w:jc w:val="center"/>
              <w:rPr>
                <w:rFonts w:ascii="Arial" w:hAnsi="Arial" w:cs="Arial"/>
                <w:color w:val="000000"/>
                <w:sz w:val="18"/>
              </w:rPr>
            </w:pPr>
            <w:r w:rsidRPr="0097587B">
              <w:rPr>
                <w:rFonts w:ascii="Arial" w:hAnsi="Arial" w:cs="Arial"/>
                <w:color w:val="000000"/>
                <w:sz w:val="18"/>
              </w:rPr>
              <w:t>River</w:t>
            </w:r>
            <w:r>
              <w:rPr>
                <w:rFonts w:ascii="Arial" w:hAnsi="Arial" w:cs="Arial"/>
                <w:color w:val="000000"/>
                <w:sz w:val="18"/>
              </w:rPr>
              <w:t>s</w:t>
            </w:r>
          </w:p>
        </w:tc>
      </w:tr>
      <w:tr w:rsidR="009A379F" w:rsidRPr="0097587B" w14:paraId="695AF353" w14:textId="77777777" w:rsidTr="00FF78D9">
        <w:trPr>
          <w:trHeight w:val="227"/>
          <w:jc w:val="center"/>
        </w:trPr>
        <w:tc>
          <w:tcPr>
            <w:tcW w:w="0" w:type="auto"/>
            <w:tcBorders>
              <w:top w:val="nil"/>
              <w:left w:val="nil"/>
              <w:bottom w:val="single" w:sz="4" w:space="0" w:color="auto"/>
              <w:right w:val="single" w:sz="4" w:space="0" w:color="auto"/>
            </w:tcBorders>
            <w:shd w:val="clear" w:color="auto" w:fill="auto"/>
            <w:noWrap/>
            <w:vAlign w:val="center"/>
            <w:hideMark/>
          </w:tcPr>
          <w:p w14:paraId="4192A69B" w14:textId="77777777" w:rsidR="009A379F" w:rsidRPr="0097587B" w:rsidRDefault="009A379F" w:rsidP="00861681">
            <w:pPr>
              <w:spacing w:before="0" w:after="0" w:line="360" w:lineRule="auto"/>
              <w:jc w:val="left"/>
              <w:rPr>
                <w:rFonts w:ascii="Arial" w:hAnsi="Arial" w:cs="Arial"/>
                <w:color w:val="000000"/>
                <w:sz w:val="18"/>
              </w:rPr>
            </w:pPr>
            <w:r w:rsidRPr="0097587B">
              <w:rPr>
                <w:rFonts w:ascii="Arial" w:hAnsi="Arial" w:cs="Arial"/>
                <w:color w:val="000000"/>
                <w:sz w:val="18"/>
              </w:rPr>
              <w:t>Sample Date</w:t>
            </w:r>
          </w:p>
        </w:tc>
        <w:tc>
          <w:tcPr>
            <w:tcW w:w="0" w:type="auto"/>
            <w:tcBorders>
              <w:top w:val="nil"/>
              <w:left w:val="single" w:sz="4" w:space="0" w:color="auto"/>
              <w:bottom w:val="single" w:sz="4" w:space="0" w:color="auto"/>
              <w:right w:val="nil"/>
            </w:tcBorders>
            <w:shd w:val="clear" w:color="auto" w:fill="auto"/>
            <w:noWrap/>
            <w:vAlign w:val="center"/>
            <w:hideMark/>
          </w:tcPr>
          <w:p w14:paraId="320E6898" w14:textId="77777777" w:rsidR="009A379F" w:rsidRPr="0097587B" w:rsidRDefault="009A379F" w:rsidP="00861681">
            <w:pPr>
              <w:spacing w:before="0" w:after="0" w:line="360" w:lineRule="auto"/>
              <w:jc w:val="center"/>
              <w:rPr>
                <w:rFonts w:ascii="Arial" w:hAnsi="Arial" w:cs="Arial"/>
                <w:color w:val="000000"/>
                <w:sz w:val="18"/>
              </w:rPr>
            </w:pPr>
            <w:r w:rsidRPr="0097587B">
              <w:rPr>
                <w:rFonts w:ascii="Arial" w:hAnsi="Arial" w:cs="Arial"/>
                <w:color w:val="000000"/>
                <w:sz w:val="18"/>
              </w:rPr>
              <w:t>Russell-Mulgrave</w:t>
            </w:r>
          </w:p>
        </w:tc>
        <w:tc>
          <w:tcPr>
            <w:tcW w:w="0" w:type="auto"/>
            <w:tcBorders>
              <w:top w:val="nil"/>
              <w:left w:val="nil"/>
              <w:bottom w:val="single" w:sz="4" w:space="0" w:color="auto"/>
              <w:right w:val="nil"/>
            </w:tcBorders>
            <w:shd w:val="clear" w:color="auto" w:fill="auto"/>
            <w:noWrap/>
            <w:vAlign w:val="center"/>
            <w:hideMark/>
          </w:tcPr>
          <w:p w14:paraId="6DCF525A" w14:textId="77777777" w:rsidR="009A379F" w:rsidRPr="0097587B" w:rsidRDefault="009A379F" w:rsidP="00861681">
            <w:pPr>
              <w:spacing w:before="0" w:after="0" w:line="360" w:lineRule="auto"/>
              <w:jc w:val="center"/>
              <w:rPr>
                <w:rFonts w:ascii="Arial" w:hAnsi="Arial" w:cs="Arial"/>
                <w:color w:val="000000"/>
                <w:sz w:val="18"/>
              </w:rPr>
            </w:pPr>
            <w:r w:rsidRPr="0097587B">
              <w:rPr>
                <w:rFonts w:ascii="Arial" w:hAnsi="Arial" w:cs="Arial"/>
                <w:color w:val="000000"/>
                <w:sz w:val="18"/>
              </w:rPr>
              <w:t>Tully</w:t>
            </w:r>
          </w:p>
        </w:tc>
        <w:tc>
          <w:tcPr>
            <w:tcW w:w="0" w:type="auto"/>
            <w:tcBorders>
              <w:top w:val="nil"/>
              <w:left w:val="nil"/>
              <w:bottom w:val="single" w:sz="4" w:space="0" w:color="auto"/>
              <w:right w:val="nil"/>
            </w:tcBorders>
            <w:shd w:val="clear" w:color="auto" w:fill="auto"/>
            <w:noWrap/>
            <w:vAlign w:val="center"/>
            <w:hideMark/>
          </w:tcPr>
          <w:p w14:paraId="45973D4F" w14:textId="77777777" w:rsidR="009A379F" w:rsidRPr="0097587B" w:rsidRDefault="009A379F" w:rsidP="00861681">
            <w:pPr>
              <w:spacing w:before="0" w:after="0" w:line="360" w:lineRule="auto"/>
              <w:jc w:val="center"/>
              <w:rPr>
                <w:rFonts w:ascii="Arial" w:hAnsi="Arial" w:cs="Arial"/>
                <w:color w:val="000000"/>
                <w:sz w:val="18"/>
              </w:rPr>
            </w:pPr>
            <w:r w:rsidRPr="0097587B">
              <w:rPr>
                <w:rFonts w:ascii="Arial" w:hAnsi="Arial" w:cs="Arial"/>
                <w:color w:val="000000"/>
                <w:sz w:val="18"/>
              </w:rPr>
              <w:t>Herbert</w:t>
            </w:r>
          </w:p>
        </w:tc>
        <w:tc>
          <w:tcPr>
            <w:tcW w:w="0" w:type="auto"/>
            <w:tcBorders>
              <w:top w:val="nil"/>
              <w:left w:val="nil"/>
              <w:bottom w:val="single" w:sz="4" w:space="0" w:color="auto"/>
              <w:right w:val="nil"/>
            </w:tcBorders>
            <w:shd w:val="clear" w:color="auto" w:fill="auto"/>
            <w:noWrap/>
            <w:vAlign w:val="center"/>
            <w:hideMark/>
          </w:tcPr>
          <w:p w14:paraId="5617C7DB" w14:textId="77777777" w:rsidR="009A379F" w:rsidRPr="0097587B" w:rsidRDefault="009A379F" w:rsidP="00861681">
            <w:pPr>
              <w:spacing w:before="0" w:after="0" w:line="360" w:lineRule="auto"/>
              <w:jc w:val="center"/>
              <w:rPr>
                <w:rFonts w:ascii="Arial" w:hAnsi="Arial" w:cs="Arial"/>
                <w:color w:val="000000"/>
                <w:sz w:val="18"/>
              </w:rPr>
            </w:pPr>
            <w:r w:rsidRPr="0097587B">
              <w:rPr>
                <w:rFonts w:ascii="Arial" w:hAnsi="Arial" w:cs="Arial"/>
                <w:color w:val="000000"/>
                <w:sz w:val="18"/>
              </w:rPr>
              <w:t>Normanby</w:t>
            </w:r>
          </w:p>
        </w:tc>
      </w:tr>
      <w:tr w:rsidR="009A379F" w:rsidRPr="0097587B" w14:paraId="729331DF" w14:textId="77777777" w:rsidTr="00FF78D9">
        <w:trPr>
          <w:trHeight w:val="227"/>
          <w:jc w:val="center"/>
        </w:trPr>
        <w:tc>
          <w:tcPr>
            <w:tcW w:w="0" w:type="auto"/>
            <w:tcBorders>
              <w:top w:val="nil"/>
              <w:left w:val="nil"/>
              <w:bottom w:val="nil"/>
              <w:right w:val="single" w:sz="4" w:space="0" w:color="auto"/>
            </w:tcBorders>
            <w:shd w:val="clear" w:color="auto" w:fill="auto"/>
            <w:noWrap/>
            <w:vAlign w:val="bottom"/>
            <w:hideMark/>
          </w:tcPr>
          <w:p w14:paraId="61359E07" w14:textId="77777777" w:rsidR="009A379F" w:rsidRPr="0097587B" w:rsidRDefault="009A379F" w:rsidP="00FF78D9">
            <w:pPr>
              <w:spacing w:before="20" w:after="0" w:line="360" w:lineRule="auto"/>
              <w:jc w:val="center"/>
              <w:rPr>
                <w:rFonts w:ascii="Arial" w:hAnsi="Arial" w:cs="Arial"/>
                <w:color w:val="000000"/>
                <w:sz w:val="18"/>
              </w:rPr>
            </w:pPr>
            <w:r w:rsidRPr="0097587B">
              <w:rPr>
                <w:rFonts w:ascii="Arial" w:hAnsi="Arial" w:cs="Arial"/>
                <w:color w:val="000000"/>
                <w:sz w:val="18"/>
              </w:rPr>
              <w:t>2013-11-08</w:t>
            </w:r>
          </w:p>
        </w:tc>
        <w:tc>
          <w:tcPr>
            <w:tcW w:w="0" w:type="auto"/>
            <w:tcBorders>
              <w:top w:val="nil"/>
              <w:left w:val="single" w:sz="4" w:space="0" w:color="auto"/>
              <w:bottom w:val="nil"/>
              <w:right w:val="nil"/>
            </w:tcBorders>
            <w:shd w:val="clear" w:color="auto" w:fill="auto"/>
            <w:noWrap/>
            <w:vAlign w:val="bottom"/>
            <w:hideMark/>
          </w:tcPr>
          <w:p w14:paraId="60FC5B71" w14:textId="77777777" w:rsidR="009A379F" w:rsidRPr="0097587B" w:rsidRDefault="009A379F" w:rsidP="00FF78D9">
            <w:pPr>
              <w:spacing w:before="2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bottom"/>
            <w:hideMark/>
          </w:tcPr>
          <w:p w14:paraId="4C4CE347" w14:textId="77777777" w:rsidR="009A379F" w:rsidRPr="0097587B" w:rsidRDefault="009A379F" w:rsidP="00FF78D9">
            <w:pPr>
              <w:spacing w:before="20" w:after="0" w:line="360" w:lineRule="auto"/>
              <w:jc w:val="center"/>
              <w:rPr>
                <w:rFonts w:ascii="Arial" w:hAnsi="Arial" w:cs="Arial"/>
                <w:color w:val="000000"/>
                <w:sz w:val="18"/>
              </w:rPr>
            </w:pPr>
            <w:r w:rsidRPr="0097587B">
              <w:rPr>
                <w:rFonts w:ascii="Arial" w:hAnsi="Arial" w:cs="Arial"/>
                <w:color w:val="000000"/>
                <w:sz w:val="18"/>
              </w:rPr>
              <w:t>9 (3)</w:t>
            </w:r>
          </w:p>
        </w:tc>
        <w:tc>
          <w:tcPr>
            <w:tcW w:w="0" w:type="auto"/>
            <w:tcBorders>
              <w:top w:val="nil"/>
              <w:left w:val="nil"/>
              <w:bottom w:val="nil"/>
              <w:right w:val="nil"/>
            </w:tcBorders>
            <w:shd w:val="clear" w:color="auto" w:fill="auto"/>
            <w:noWrap/>
            <w:vAlign w:val="bottom"/>
            <w:hideMark/>
          </w:tcPr>
          <w:p w14:paraId="3CB803D8" w14:textId="77777777" w:rsidR="009A379F" w:rsidRPr="0097587B" w:rsidRDefault="009A379F" w:rsidP="00FF78D9">
            <w:pPr>
              <w:spacing w:before="2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bottom"/>
            <w:hideMark/>
          </w:tcPr>
          <w:p w14:paraId="7A784244" w14:textId="77777777" w:rsidR="009A379F" w:rsidRPr="0097587B" w:rsidRDefault="009A379F" w:rsidP="00FF78D9">
            <w:pPr>
              <w:spacing w:before="20" w:after="0" w:line="360" w:lineRule="auto"/>
              <w:jc w:val="center"/>
              <w:rPr>
                <w:rFonts w:ascii="Arial" w:hAnsi="Arial" w:cs="Arial"/>
                <w:color w:val="000000"/>
                <w:sz w:val="18"/>
              </w:rPr>
            </w:pPr>
          </w:p>
        </w:tc>
      </w:tr>
      <w:tr w:rsidR="009A379F" w:rsidRPr="0097587B" w14:paraId="56C43E81" w14:textId="77777777" w:rsidTr="00FF78D9">
        <w:trPr>
          <w:trHeight w:val="227"/>
          <w:jc w:val="center"/>
        </w:trPr>
        <w:tc>
          <w:tcPr>
            <w:tcW w:w="0" w:type="auto"/>
            <w:tcBorders>
              <w:top w:val="nil"/>
              <w:left w:val="nil"/>
              <w:bottom w:val="nil"/>
              <w:right w:val="single" w:sz="4" w:space="0" w:color="auto"/>
            </w:tcBorders>
            <w:shd w:val="clear" w:color="auto" w:fill="auto"/>
            <w:noWrap/>
            <w:vAlign w:val="bottom"/>
            <w:hideMark/>
          </w:tcPr>
          <w:p w14:paraId="13ED2BEE" w14:textId="77777777" w:rsidR="009A379F" w:rsidRPr="0097587B" w:rsidRDefault="009A379F" w:rsidP="00FF78D9">
            <w:pPr>
              <w:spacing w:before="20" w:after="0" w:line="360" w:lineRule="auto"/>
              <w:jc w:val="center"/>
              <w:rPr>
                <w:rFonts w:ascii="Arial" w:hAnsi="Arial" w:cs="Arial"/>
                <w:color w:val="000000"/>
                <w:sz w:val="18"/>
              </w:rPr>
            </w:pPr>
            <w:r w:rsidRPr="0097587B">
              <w:rPr>
                <w:rFonts w:ascii="Arial" w:hAnsi="Arial" w:cs="Arial"/>
                <w:color w:val="000000"/>
                <w:sz w:val="18"/>
              </w:rPr>
              <w:t>2013-11-20</w:t>
            </w:r>
          </w:p>
        </w:tc>
        <w:tc>
          <w:tcPr>
            <w:tcW w:w="0" w:type="auto"/>
            <w:tcBorders>
              <w:top w:val="nil"/>
              <w:left w:val="single" w:sz="4" w:space="0" w:color="auto"/>
              <w:bottom w:val="nil"/>
              <w:right w:val="nil"/>
            </w:tcBorders>
            <w:shd w:val="clear" w:color="auto" w:fill="auto"/>
            <w:noWrap/>
            <w:vAlign w:val="bottom"/>
            <w:hideMark/>
          </w:tcPr>
          <w:p w14:paraId="0CBAFCF1" w14:textId="77777777" w:rsidR="009A379F" w:rsidRPr="0097587B" w:rsidRDefault="009A379F" w:rsidP="00FF78D9">
            <w:pPr>
              <w:spacing w:before="2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bottom"/>
            <w:hideMark/>
          </w:tcPr>
          <w:p w14:paraId="7C8654DB" w14:textId="77777777" w:rsidR="009A379F" w:rsidRPr="0097587B" w:rsidRDefault="009A379F" w:rsidP="00FF78D9">
            <w:pPr>
              <w:spacing w:before="20" w:after="0" w:line="360" w:lineRule="auto"/>
              <w:jc w:val="center"/>
              <w:rPr>
                <w:rFonts w:ascii="Arial" w:hAnsi="Arial" w:cs="Arial"/>
                <w:color w:val="000000"/>
                <w:sz w:val="18"/>
              </w:rPr>
            </w:pPr>
            <w:r w:rsidRPr="0097587B">
              <w:rPr>
                <w:rFonts w:ascii="Arial" w:hAnsi="Arial" w:cs="Arial"/>
                <w:color w:val="000000"/>
                <w:sz w:val="18"/>
              </w:rPr>
              <w:t>8 (4)</w:t>
            </w:r>
          </w:p>
        </w:tc>
        <w:tc>
          <w:tcPr>
            <w:tcW w:w="0" w:type="auto"/>
            <w:tcBorders>
              <w:top w:val="nil"/>
              <w:left w:val="nil"/>
              <w:bottom w:val="nil"/>
              <w:right w:val="nil"/>
            </w:tcBorders>
            <w:shd w:val="clear" w:color="auto" w:fill="auto"/>
            <w:noWrap/>
            <w:vAlign w:val="bottom"/>
            <w:hideMark/>
          </w:tcPr>
          <w:p w14:paraId="48725550" w14:textId="77777777" w:rsidR="009A379F" w:rsidRPr="0097587B" w:rsidRDefault="009A379F" w:rsidP="00FF78D9">
            <w:pPr>
              <w:spacing w:before="2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bottom"/>
            <w:hideMark/>
          </w:tcPr>
          <w:p w14:paraId="653FAC5C" w14:textId="77777777" w:rsidR="009A379F" w:rsidRPr="0097587B" w:rsidRDefault="009A379F" w:rsidP="00FF78D9">
            <w:pPr>
              <w:spacing w:before="20" w:after="0" w:line="360" w:lineRule="auto"/>
              <w:jc w:val="center"/>
              <w:rPr>
                <w:rFonts w:ascii="Arial" w:hAnsi="Arial" w:cs="Arial"/>
                <w:color w:val="000000"/>
                <w:sz w:val="18"/>
              </w:rPr>
            </w:pPr>
          </w:p>
        </w:tc>
      </w:tr>
      <w:tr w:rsidR="009A379F" w:rsidRPr="0097587B" w14:paraId="1CFC8646" w14:textId="77777777" w:rsidTr="00FF78D9">
        <w:trPr>
          <w:trHeight w:val="227"/>
          <w:jc w:val="center"/>
        </w:trPr>
        <w:tc>
          <w:tcPr>
            <w:tcW w:w="0" w:type="auto"/>
            <w:tcBorders>
              <w:top w:val="nil"/>
              <w:left w:val="nil"/>
              <w:bottom w:val="nil"/>
              <w:right w:val="single" w:sz="4" w:space="0" w:color="auto"/>
            </w:tcBorders>
            <w:shd w:val="clear" w:color="auto" w:fill="auto"/>
            <w:noWrap/>
            <w:vAlign w:val="bottom"/>
            <w:hideMark/>
          </w:tcPr>
          <w:p w14:paraId="419EC915" w14:textId="77777777" w:rsidR="009A379F" w:rsidRPr="0097587B" w:rsidRDefault="009A379F" w:rsidP="00FF78D9">
            <w:pPr>
              <w:spacing w:before="20" w:after="0" w:line="360" w:lineRule="auto"/>
              <w:jc w:val="center"/>
              <w:rPr>
                <w:rFonts w:ascii="Arial" w:hAnsi="Arial" w:cs="Arial"/>
                <w:color w:val="000000"/>
                <w:sz w:val="18"/>
              </w:rPr>
            </w:pPr>
            <w:r w:rsidRPr="0097587B">
              <w:rPr>
                <w:rFonts w:ascii="Arial" w:hAnsi="Arial" w:cs="Arial"/>
                <w:color w:val="000000"/>
                <w:sz w:val="18"/>
              </w:rPr>
              <w:t>2013-11-21</w:t>
            </w:r>
          </w:p>
        </w:tc>
        <w:tc>
          <w:tcPr>
            <w:tcW w:w="0" w:type="auto"/>
            <w:tcBorders>
              <w:top w:val="nil"/>
              <w:left w:val="single" w:sz="4" w:space="0" w:color="auto"/>
              <w:bottom w:val="nil"/>
              <w:right w:val="nil"/>
            </w:tcBorders>
            <w:shd w:val="clear" w:color="auto" w:fill="auto"/>
            <w:noWrap/>
            <w:vAlign w:val="bottom"/>
            <w:hideMark/>
          </w:tcPr>
          <w:p w14:paraId="03950BE4" w14:textId="77777777" w:rsidR="009A379F" w:rsidRPr="0097587B" w:rsidRDefault="009A379F" w:rsidP="00FF78D9">
            <w:pPr>
              <w:spacing w:before="20" w:after="0" w:line="360" w:lineRule="auto"/>
              <w:jc w:val="center"/>
              <w:rPr>
                <w:rFonts w:ascii="Arial" w:hAnsi="Arial" w:cs="Arial"/>
                <w:color w:val="000000"/>
                <w:sz w:val="18"/>
              </w:rPr>
            </w:pPr>
            <w:r w:rsidRPr="0097587B">
              <w:rPr>
                <w:rFonts w:ascii="Arial" w:hAnsi="Arial" w:cs="Arial"/>
                <w:color w:val="000000"/>
                <w:sz w:val="18"/>
              </w:rPr>
              <w:t>10 (3)</w:t>
            </w:r>
          </w:p>
        </w:tc>
        <w:tc>
          <w:tcPr>
            <w:tcW w:w="0" w:type="auto"/>
            <w:tcBorders>
              <w:top w:val="nil"/>
              <w:left w:val="nil"/>
              <w:bottom w:val="nil"/>
              <w:right w:val="nil"/>
            </w:tcBorders>
            <w:shd w:val="clear" w:color="auto" w:fill="auto"/>
            <w:noWrap/>
            <w:vAlign w:val="bottom"/>
            <w:hideMark/>
          </w:tcPr>
          <w:p w14:paraId="07F5D477" w14:textId="77777777" w:rsidR="009A379F" w:rsidRPr="0097587B" w:rsidRDefault="009A379F" w:rsidP="00FF78D9">
            <w:pPr>
              <w:spacing w:before="2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bottom"/>
            <w:hideMark/>
          </w:tcPr>
          <w:p w14:paraId="7CE49A44" w14:textId="77777777" w:rsidR="009A379F" w:rsidRPr="0097587B" w:rsidRDefault="009A379F" w:rsidP="00FF78D9">
            <w:pPr>
              <w:spacing w:before="2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bottom"/>
            <w:hideMark/>
          </w:tcPr>
          <w:p w14:paraId="68FF1604" w14:textId="77777777" w:rsidR="009A379F" w:rsidRPr="0097587B" w:rsidRDefault="009A379F" w:rsidP="00FF78D9">
            <w:pPr>
              <w:spacing w:before="20" w:after="0" w:line="360" w:lineRule="auto"/>
              <w:jc w:val="center"/>
              <w:rPr>
                <w:rFonts w:ascii="Arial" w:hAnsi="Arial" w:cs="Arial"/>
                <w:color w:val="000000"/>
                <w:sz w:val="18"/>
              </w:rPr>
            </w:pPr>
          </w:p>
        </w:tc>
      </w:tr>
      <w:tr w:rsidR="009A379F" w:rsidRPr="0097587B" w14:paraId="5B3033F7" w14:textId="77777777" w:rsidTr="00FF78D9">
        <w:trPr>
          <w:trHeight w:val="227"/>
          <w:jc w:val="center"/>
        </w:trPr>
        <w:tc>
          <w:tcPr>
            <w:tcW w:w="0" w:type="auto"/>
            <w:tcBorders>
              <w:top w:val="nil"/>
              <w:left w:val="nil"/>
              <w:bottom w:val="nil"/>
              <w:right w:val="single" w:sz="4" w:space="0" w:color="auto"/>
            </w:tcBorders>
            <w:shd w:val="clear" w:color="auto" w:fill="auto"/>
            <w:noWrap/>
            <w:vAlign w:val="bottom"/>
            <w:hideMark/>
          </w:tcPr>
          <w:p w14:paraId="1EB7F7B6" w14:textId="77777777" w:rsidR="009A379F" w:rsidRPr="0097587B" w:rsidRDefault="009A379F" w:rsidP="00FF78D9">
            <w:pPr>
              <w:spacing w:before="20" w:after="0" w:line="360" w:lineRule="auto"/>
              <w:jc w:val="center"/>
              <w:rPr>
                <w:rFonts w:ascii="Arial" w:hAnsi="Arial" w:cs="Arial"/>
                <w:color w:val="000000"/>
                <w:sz w:val="18"/>
              </w:rPr>
            </w:pPr>
            <w:r w:rsidRPr="0097587B">
              <w:rPr>
                <w:rFonts w:ascii="Arial" w:hAnsi="Arial" w:cs="Arial"/>
                <w:color w:val="000000"/>
                <w:sz w:val="18"/>
              </w:rPr>
              <w:t>2013-12-04</w:t>
            </w:r>
          </w:p>
        </w:tc>
        <w:tc>
          <w:tcPr>
            <w:tcW w:w="0" w:type="auto"/>
            <w:tcBorders>
              <w:top w:val="nil"/>
              <w:left w:val="single" w:sz="4" w:space="0" w:color="auto"/>
              <w:bottom w:val="nil"/>
              <w:right w:val="nil"/>
            </w:tcBorders>
            <w:shd w:val="clear" w:color="auto" w:fill="auto"/>
            <w:noWrap/>
            <w:vAlign w:val="bottom"/>
            <w:hideMark/>
          </w:tcPr>
          <w:p w14:paraId="12A6B126" w14:textId="77777777" w:rsidR="009A379F" w:rsidRPr="0097587B" w:rsidRDefault="009A379F" w:rsidP="00FF78D9">
            <w:pPr>
              <w:spacing w:before="2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bottom"/>
            <w:hideMark/>
          </w:tcPr>
          <w:p w14:paraId="1FE6C2D8" w14:textId="77777777" w:rsidR="009A379F" w:rsidRPr="0097587B" w:rsidRDefault="009A379F" w:rsidP="00FF78D9">
            <w:pPr>
              <w:spacing w:before="20" w:after="0" w:line="360" w:lineRule="auto"/>
              <w:jc w:val="center"/>
              <w:rPr>
                <w:rFonts w:ascii="Arial" w:hAnsi="Arial" w:cs="Arial"/>
                <w:color w:val="000000"/>
                <w:sz w:val="18"/>
              </w:rPr>
            </w:pPr>
            <w:r w:rsidRPr="0097587B">
              <w:rPr>
                <w:rFonts w:ascii="Arial" w:hAnsi="Arial" w:cs="Arial"/>
                <w:color w:val="000000"/>
                <w:sz w:val="18"/>
              </w:rPr>
              <w:t>8 (4)</w:t>
            </w:r>
          </w:p>
        </w:tc>
        <w:tc>
          <w:tcPr>
            <w:tcW w:w="0" w:type="auto"/>
            <w:tcBorders>
              <w:top w:val="nil"/>
              <w:left w:val="nil"/>
              <w:bottom w:val="nil"/>
              <w:right w:val="nil"/>
            </w:tcBorders>
            <w:shd w:val="clear" w:color="auto" w:fill="auto"/>
            <w:noWrap/>
            <w:vAlign w:val="bottom"/>
            <w:hideMark/>
          </w:tcPr>
          <w:p w14:paraId="72CD893F" w14:textId="77777777" w:rsidR="009A379F" w:rsidRPr="0097587B" w:rsidRDefault="009A379F" w:rsidP="00FF78D9">
            <w:pPr>
              <w:spacing w:before="2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bottom"/>
            <w:hideMark/>
          </w:tcPr>
          <w:p w14:paraId="5217193E" w14:textId="77777777" w:rsidR="009A379F" w:rsidRPr="0097587B" w:rsidRDefault="009A379F" w:rsidP="00FF78D9">
            <w:pPr>
              <w:spacing w:before="20" w:after="0" w:line="360" w:lineRule="auto"/>
              <w:jc w:val="center"/>
              <w:rPr>
                <w:rFonts w:ascii="Arial" w:hAnsi="Arial" w:cs="Arial"/>
                <w:color w:val="000000"/>
                <w:sz w:val="18"/>
              </w:rPr>
            </w:pPr>
          </w:p>
        </w:tc>
      </w:tr>
      <w:tr w:rsidR="009A379F" w:rsidRPr="0097587B" w14:paraId="0D9F32B6" w14:textId="77777777" w:rsidTr="00FF78D9">
        <w:trPr>
          <w:trHeight w:val="227"/>
          <w:jc w:val="center"/>
        </w:trPr>
        <w:tc>
          <w:tcPr>
            <w:tcW w:w="0" w:type="auto"/>
            <w:tcBorders>
              <w:top w:val="nil"/>
              <w:left w:val="nil"/>
              <w:bottom w:val="nil"/>
              <w:right w:val="single" w:sz="4" w:space="0" w:color="auto"/>
            </w:tcBorders>
            <w:shd w:val="clear" w:color="auto" w:fill="auto"/>
            <w:noWrap/>
            <w:vAlign w:val="bottom"/>
            <w:hideMark/>
          </w:tcPr>
          <w:p w14:paraId="63467FC4" w14:textId="77777777" w:rsidR="009A379F" w:rsidRPr="0097587B" w:rsidRDefault="009A379F" w:rsidP="00FF78D9">
            <w:pPr>
              <w:spacing w:before="20" w:after="0" w:line="360" w:lineRule="auto"/>
              <w:jc w:val="center"/>
              <w:rPr>
                <w:rFonts w:ascii="Arial" w:hAnsi="Arial" w:cs="Arial"/>
                <w:color w:val="000000"/>
                <w:sz w:val="18"/>
              </w:rPr>
            </w:pPr>
            <w:r w:rsidRPr="0097587B">
              <w:rPr>
                <w:rFonts w:ascii="Arial" w:hAnsi="Arial" w:cs="Arial"/>
                <w:color w:val="000000"/>
                <w:sz w:val="18"/>
              </w:rPr>
              <w:t>2013-12-05</w:t>
            </w:r>
          </w:p>
        </w:tc>
        <w:tc>
          <w:tcPr>
            <w:tcW w:w="0" w:type="auto"/>
            <w:tcBorders>
              <w:top w:val="nil"/>
              <w:left w:val="single" w:sz="4" w:space="0" w:color="auto"/>
              <w:bottom w:val="nil"/>
              <w:right w:val="nil"/>
            </w:tcBorders>
            <w:shd w:val="clear" w:color="auto" w:fill="auto"/>
            <w:noWrap/>
            <w:vAlign w:val="bottom"/>
            <w:hideMark/>
          </w:tcPr>
          <w:p w14:paraId="22A077C5" w14:textId="77777777" w:rsidR="009A379F" w:rsidRPr="0097587B" w:rsidRDefault="009A379F" w:rsidP="00FF78D9">
            <w:pPr>
              <w:spacing w:before="20" w:after="0" w:line="360" w:lineRule="auto"/>
              <w:jc w:val="center"/>
              <w:rPr>
                <w:rFonts w:ascii="Arial" w:hAnsi="Arial" w:cs="Arial"/>
                <w:color w:val="000000"/>
                <w:sz w:val="18"/>
              </w:rPr>
            </w:pPr>
            <w:r w:rsidRPr="0097587B">
              <w:rPr>
                <w:rFonts w:ascii="Arial" w:hAnsi="Arial" w:cs="Arial"/>
                <w:color w:val="000000"/>
                <w:sz w:val="18"/>
              </w:rPr>
              <w:t>10 (3)</w:t>
            </w:r>
          </w:p>
        </w:tc>
        <w:tc>
          <w:tcPr>
            <w:tcW w:w="0" w:type="auto"/>
            <w:tcBorders>
              <w:top w:val="nil"/>
              <w:left w:val="nil"/>
              <w:bottom w:val="nil"/>
              <w:right w:val="nil"/>
            </w:tcBorders>
            <w:shd w:val="clear" w:color="auto" w:fill="auto"/>
            <w:noWrap/>
            <w:vAlign w:val="bottom"/>
            <w:hideMark/>
          </w:tcPr>
          <w:p w14:paraId="011F73D2" w14:textId="77777777" w:rsidR="009A379F" w:rsidRPr="0097587B" w:rsidRDefault="009A379F" w:rsidP="00FF78D9">
            <w:pPr>
              <w:spacing w:before="2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bottom"/>
            <w:hideMark/>
          </w:tcPr>
          <w:p w14:paraId="2EAAFC0F" w14:textId="77777777" w:rsidR="009A379F" w:rsidRPr="0097587B" w:rsidRDefault="009A379F" w:rsidP="00FF78D9">
            <w:pPr>
              <w:spacing w:before="2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bottom"/>
            <w:hideMark/>
          </w:tcPr>
          <w:p w14:paraId="70948AD6" w14:textId="77777777" w:rsidR="009A379F" w:rsidRPr="0097587B" w:rsidRDefault="009A379F" w:rsidP="00FF78D9">
            <w:pPr>
              <w:spacing w:before="20" w:after="0" w:line="360" w:lineRule="auto"/>
              <w:jc w:val="center"/>
              <w:rPr>
                <w:rFonts w:ascii="Arial" w:hAnsi="Arial" w:cs="Arial"/>
                <w:color w:val="000000"/>
                <w:sz w:val="18"/>
              </w:rPr>
            </w:pPr>
          </w:p>
        </w:tc>
      </w:tr>
      <w:tr w:rsidR="009A379F" w:rsidRPr="0097587B" w14:paraId="1B572695" w14:textId="77777777" w:rsidTr="00FF78D9">
        <w:trPr>
          <w:trHeight w:val="227"/>
          <w:jc w:val="center"/>
        </w:trPr>
        <w:tc>
          <w:tcPr>
            <w:tcW w:w="0" w:type="auto"/>
            <w:tcBorders>
              <w:top w:val="nil"/>
              <w:left w:val="nil"/>
              <w:bottom w:val="nil"/>
              <w:right w:val="single" w:sz="4" w:space="0" w:color="auto"/>
            </w:tcBorders>
            <w:shd w:val="clear" w:color="auto" w:fill="auto"/>
            <w:noWrap/>
            <w:vAlign w:val="bottom"/>
            <w:hideMark/>
          </w:tcPr>
          <w:p w14:paraId="2F692ED5" w14:textId="77777777" w:rsidR="009A379F" w:rsidRPr="0097587B" w:rsidRDefault="009A379F" w:rsidP="00FF78D9">
            <w:pPr>
              <w:spacing w:before="20" w:after="0" w:line="360" w:lineRule="auto"/>
              <w:jc w:val="center"/>
              <w:rPr>
                <w:rFonts w:ascii="Arial" w:hAnsi="Arial" w:cs="Arial"/>
                <w:color w:val="000000"/>
                <w:sz w:val="18"/>
              </w:rPr>
            </w:pPr>
            <w:r w:rsidRPr="0097587B">
              <w:rPr>
                <w:rFonts w:ascii="Arial" w:hAnsi="Arial" w:cs="Arial"/>
                <w:color w:val="000000"/>
                <w:sz w:val="18"/>
              </w:rPr>
              <w:t>2013-12-22</w:t>
            </w:r>
          </w:p>
        </w:tc>
        <w:tc>
          <w:tcPr>
            <w:tcW w:w="0" w:type="auto"/>
            <w:tcBorders>
              <w:top w:val="nil"/>
              <w:left w:val="single" w:sz="4" w:space="0" w:color="auto"/>
              <w:bottom w:val="nil"/>
              <w:right w:val="nil"/>
            </w:tcBorders>
            <w:shd w:val="clear" w:color="auto" w:fill="auto"/>
            <w:noWrap/>
            <w:vAlign w:val="bottom"/>
            <w:hideMark/>
          </w:tcPr>
          <w:p w14:paraId="71367C7D" w14:textId="77777777" w:rsidR="009A379F" w:rsidRPr="0097587B" w:rsidRDefault="009A379F" w:rsidP="00FF78D9">
            <w:pPr>
              <w:spacing w:before="2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bottom"/>
            <w:hideMark/>
          </w:tcPr>
          <w:p w14:paraId="5252C2D1" w14:textId="77777777" w:rsidR="009A379F" w:rsidRPr="0097587B" w:rsidRDefault="009A379F" w:rsidP="00FF78D9">
            <w:pPr>
              <w:spacing w:before="20" w:after="0" w:line="360" w:lineRule="auto"/>
              <w:jc w:val="center"/>
              <w:rPr>
                <w:rFonts w:ascii="Arial" w:hAnsi="Arial" w:cs="Arial"/>
                <w:color w:val="000000"/>
                <w:sz w:val="18"/>
              </w:rPr>
            </w:pPr>
            <w:r w:rsidRPr="0097587B">
              <w:rPr>
                <w:rFonts w:ascii="Arial" w:hAnsi="Arial" w:cs="Arial"/>
                <w:color w:val="000000"/>
                <w:sz w:val="18"/>
              </w:rPr>
              <w:t>8 (4)</w:t>
            </w:r>
          </w:p>
        </w:tc>
        <w:tc>
          <w:tcPr>
            <w:tcW w:w="0" w:type="auto"/>
            <w:tcBorders>
              <w:top w:val="nil"/>
              <w:left w:val="nil"/>
              <w:bottom w:val="nil"/>
              <w:right w:val="nil"/>
            </w:tcBorders>
            <w:shd w:val="clear" w:color="auto" w:fill="auto"/>
            <w:noWrap/>
            <w:vAlign w:val="bottom"/>
            <w:hideMark/>
          </w:tcPr>
          <w:p w14:paraId="4C08AC0F" w14:textId="77777777" w:rsidR="009A379F" w:rsidRPr="0097587B" w:rsidRDefault="009A379F" w:rsidP="00FF78D9">
            <w:pPr>
              <w:spacing w:before="2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bottom"/>
            <w:hideMark/>
          </w:tcPr>
          <w:p w14:paraId="03BD9704" w14:textId="77777777" w:rsidR="009A379F" w:rsidRPr="0097587B" w:rsidRDefault="009A379F" w:rsidP="00FF78D9">
            <w:pPr>
              <w:spacing w:before="20" w:after="0" w:line="360" w:lineRule="auto"/>
              <w:jc w:val="center"/>
              <w:rPr>
                <w:rFonts w:ascii="Arial" w:hAnsi="Arial" w:cs="Arial"/>
                <w:color w:val="000000"/>
                <w:sz w:val="18"/>
              </w:rPr>
            </w:pPr>
          </w:p>
        </w:tc>
      </w:tr>
      <w:tr w:rsidR="009A379F" w:rsidRPr="0097587B" w14:paraId="6A441BE8" w14:textId="77777777" w:rsidTr="00FF78D9">
        <w:trPr>
          <w:trHeight w:val="227"/>
          <w:jc w:val="center"/>
        </w:trPr>
        <w:tc>
          <w:tcPr>
            <w:tcW w:w="0" w:type="auto"/>
            <w:tcBorders>
              <w:top w:val="nil"/>
              <w:left w:val="nil"/>
              <w:bottom w:val="nil"/>
              <w:right w:val="single" w:sz="4" w:space="0" w:color="auto"/>
            </w:tcBorders>
            <w:shd w:val="clear" w:color="auto" w:fill="auto"/>
            <w:noWrap/>
            <w:vAlign w:val="bottom"/>
            <w:hideMark/>
          </w:tcPr>
          <w:p w14:paraId="796FE975" w14:textId="77777777" w:rsidR="009A379F" w:rsidRPr="0097587B" w:rsidRDefault="009A379F" w:rsidP="00FF78D9">
            <w:pPr>
              <w:spacing w:before="20" w:after="0" w:line="360" w:lineRule="auto"/>
              <w:jc w:val="center"/>
              <w:rPr>
                <w:rFonts w:ascii="Arial" w:hAnsi="Arial" w:cs="Arial"/>
                <w:color w:val="000000"/>
                <w:sz w:val="18"/>
              </w:rPr>
            </w:pPr>
            <w:r w:rsidRPr="0097587B">
              <w:rPr>
                <w:rFonts w:ascii="Arial" w:hAnsi="Arial" w:cs="Arial"/>
                <w:color w:val="000000"/>
                <w:sz w:val="18"/>
              </w:rPr>
              <w:t>2013-12-23</w:t>
            </w:r>
          </w:p>
        </w:tc>
        <w:tc>
          <w:tcPr>
            <w:tcW w:w="0" w:type="auto"/>
            <w:tcBorders>
              <w:top w:val="nil"/>
              <w:left w:val="single" w:sz="4" w:space="0" w:color="auto"/>
              <w:bottom w:val="nil"/>
              <w:right w:val="nil"/>
            </w:tcBorders>
            <w:shd w:val="clear" w:color="auto" w:fill="auto"/>
            <w:noWrap/>
            <w:vAlign w:val="bottom"/>
            <w:hideMark/>
          </w:tcPr>
          <w:p w14:paraId="555C2AB5" w14:textId="77777777" w:rsidR="009A379F" w:rsidRPr="0097587B" w:rsidRDefault="009A379F" w:rsidP="00FF78D9">
            <w:pPr>
              <w:spacing w:before="20" w:after="0" w:line="360" w:lineRule="auto"/>
              <w:jc w:val="center"/>
              <w:rPr>
                <w:rFonts w:ascii="Arial" w:hAnsi="Arial" w:cs="Arial"/>
                <w:color w:val="000000"/>
                <w:sz w:val="18"/>
              </w:rPr>
            </w:pPr>
            <w:r w:rsidRPr="0097587B">
              <w:rPr>
                <w:rFonts w:ascii="Arial" w:hAnsi="Arial" w:cs="Arial"/>
                <w:color w:val="000000"/>
                <w:sz w:val="18"/>
              </w:rPr>
              <w:t>9 (3)</w:t>
            </w:r>
          </w:p>
        </w:tc>
        <w:tc>
          <w:tcPr>
            <w:tcW w:w="0" w:type="auto"/>
            <w:tcBorders>
              <w:top w:val="nil"/>
              <w:left w:val="nil"/>
              <w:bottom w:val="nil"/>
              <w:right w:val="nil"/>
            </w:tcBorders>
            <w:shd w:val="clear" w:color="auto" w:fill="auto"/>
            <w:noWrap/>
            <w:vAlign w:val="bottom"/>
            <w:hideMark/>
          </w:tcPr>
          <w:p w14:paraId="4BDF4FAC" w14:textId="77777777" w:rsidR="009A379F" w:rsidRPr="0097587B" w:rsidRDefault="009A379F" w:rsidP="00FF78D9">
            <w:pPr>
              <w:spacing w:before="2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bottom"/>
            <w:hideMark/>
          </w:tcPr>
          <w:p w14:paraId="5100653B" w14:textId="77777777" w:rsidR="009A379F" w:rsidRPr="0097587B" w:rsidRDefault="009A379F" w:rsidP="00FF78D9">
            <w:pPr>
              <w:spacing w:before="2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bottom"/>
            <w:hideMark/>
          </w:tcPr>
          <w:p w14:paraId="173869EB" w14:textId="77777777" w:rsidR="009A379F" w:rsidRPr="0097587B" w:rsidRDefault="009A379F" w:rsidP="00FF78D9">
            <w:pPr>
              <w:spacing w:before="20" w:after="0" w:line="360" w:lineRule="auto"/>
              <w:jc w:val="center"/>
              <w:rPr>
                <w:rFonts w:ascii="Arial" w:hAnsi="Arial" w:cs="Arial"/>
                <w:color w:val="000000"/>
                <w:sz w:val="18"/>
              </w:rPr>
            </w:pPr>
          </w:p>
        </w:tc>
      </w:tr>
      <w:tr w:rsidR="009A379F" w:rsidRPr="0097587B" w14:paraId="57692732" w14:textId="77777777" w:rsidTr="00FF78D9">
        <w:trPr>
          <w:trHeight w:val="227"/>
          <w:jc w:val="center"/>
        </w:trPr>
        <w:tc>
          <w:tcPr>
            <w:tcW w:w="0" w:type="auto"/>
            <w:tcBorders>
              <w:top w:val="nil"/>
              <w:left w:val="nil"/>
              <w:bottom w:val="nil"/>
              <w:right w:val="single" w:sz="4" w:space="0" w:color="auto"/>
            </w:tcBorders>
            <w:shd w:val="clear" w:color="auto" w:fill="auto"/>
            <w:noWrap/>
            <w:vAlign w:val="bottom"/>
            <w:hideMark/>
          </w:tcPr>
          <w:p w14:paraId="51EF94AE" w14:textId="77777777" w:rsidR="009A379F" w:rsidRPr="0097587B" w:rsidRDefault="009A379F" w:rsidP="00FF78D9">
            <w:pPr>
              <w:spacing w:before="20" w:after="0" w:line="360" w:lineRule="auto"/>
              <w:jc w:val="center"/>
              <w:rPr>
                <w:rFonts w:ascii="Arial" w:hAnsi="Arial" w:cs="Arial"/>
                <w:color w:val="000000"/>
                <w:sz w:val="18"/>
              </w:rPr>
            </w:pPr>
            <w:r w:rsidRPr="0097587B">
              <w:rPr>
                <w:rFonts w:ascii="Arial" w:hAnsi="Arial" w:cs="Arial"/>
                <w:color w:val="000000"/>
                <w:sz w:val="18"/>
              </w:rPr>
              <w:t>2014-02-05</w:t>
            </w:r>
          </w:p>
        </w:tc>
        <w:tc>
          <w:tcPr>
            <w:tcW w:w="0" w:type="auto"/>
            <w:tcBorders>
              <w:top w:val="nil"/>
              <w:left w:val="single" w:sz="4" w:space="0" w:color="auto"/>
              <w:bottom w:val="nil"/>
              <w:right w:val="nil"/>
            </w:tcBorders>
            <w:shd w:val="clear" w:color="auto" w:fill="auto"/>
            <w:noWrap/>
            <w:vAlign w:val="bottom"/>
            <w:hideMark/>
          </w:tcPr>
          <w:p w14:paraId="6F27CBA6" w14:textId="77777777" w:rsidR="009A379F" w:rsidRPr="0097587B" w:rsidRDefault="009A379F" w:rsidP="00FF78D9">
            <w:pPr>
              <w:spacing w:before="2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bottom"/>
            <w:hideMark/>
          </w:tcPr>
          <w:p w14:paraId="64BC837B" w14:textId="77777777" w:rsidR="009A379F" w:rsidRPr="0097587B" w:rsidRDefault="009A379F" w:rsidP="00FF78D9">
            <w:pPr>
              <w:spacing w:before="20" w:after="0" w:line="360" w:lineRule="auto"/>
              <w:jc w:val="center"/>
              <w:rPr>
                <w:rFonts w:ascii="Arial" w:hAnsi="Arial" w:cs="Arial"/>
                <w:color w:val="000000"/>
                <w:sz w:val="18"/>
              </w:rPr>
            </w:pPr>
            <w:r w:rsidRPr="0097587B">
              <w:rPr>
                <w:rFonts w:ascii="Arial" w:hAnsi="Arial" w:cs="Arial"/>
                <w:color w:val="000000"/>
                <w:sz w:val="18"/>
              </w:rPr>
              <w:t>8 (4)</w:t>
            </w:r>
          </w:p>
        </w:tc>
        <w:tc>
          <w:tcPr>
            <w:tcW w:w="0" w:type="auto"/>
            <w:tcBorders>
              <w:top w:val="nil"/>
              <w:left w:val="nil"/>
              <w:bottom w:val="nil"/>
              <w:right w:val="nil"/>
            </w:tcBorders>
            <w:shd w:val="clear" w:color="auto" w:fill="auto"/>
            <w:noWrap/>
            <w:vAlign w:val="bottom"/>
            <w:hideMark/>
          </w:tcPr>
          <w:p w14:paraId="2F0D0058" w14:textId="77777777" w:rsidR="009A379F" w:rsidRPr="0097587B" w:rsidRDefault="009A379F" w:rsidP="00FF78D9">
            <w:pPr>
              <w:spacing w:before="2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bottom"/>
            <w:hideMark/>
          </w:tcPr>
          <w:p w14:paraId="20D2F0B6" w14:textId="77777777" w:rsidR="009A379F" w:rsidRPr="0097587B" w:rsidRDefault="009A379F" w:rsidP="00FF78D9">
            <w:pPr>
              <w:spacing w:before="20" w:after="0" w:line="360" w:lineRule="auto"/>
              <w:jc w:val="center"/>
              <w:rPr>
                <w:rFonts w:ascii="Arial" w:hAnsi="Arial" w:cs="Arial"/>
                <w:color w:val="000000"/>
                <w:sz w:val="18"/>
              </w:rPr>
            </w:pPr>
          </w:p>
        </w:tc>
      </w:tr>
      <w:tr w:rsidR="009A379F" w:rsidRPr="0097587B" w14:paraId="038FE35A" w14:textId="77777777" w:rsidTr="00FF78D9">
        <w:trPr>
          <w:trHeight w:val="227"/>
          <w:jc w:val="center"/>
        </w:trPr>
        <w:tc>
          <w:tcPr>
            <w:tcW w:w="0" w:type="auto"/>
            <w:tcBorders>
              <w:top w:val="nil"/>
              <w:left w:val="nil"/>
              <w:bottom w:val="nil"/>
              <w:right w:val="single" w:sz="4" w:space="0" w:color="auto"/>
            </w:tcBorders>
            <w:shd w:val="clear" w:color="auto" w:fill="auto"/>
            <w:noWrap/>
            <w:vAlign w:val="bottom"/>
            <w:hideMark/>
          </w:tcPr>
          <w:p w14:paraId="78118207" w14:textId="77777777" w:rsidR="009A379F" w:rsidRPr="0097587B" w:rsidRDefault="009A379F" w:rsidP="00FF78D9">
            <w:pPr>
              <w:spacing w:before="20" w:after="0" w:line="360" w:lineRule="auto"/>
              <w:jc w:val="center"/>
              <w:rPr>
                <w:rFonts w:ascii="Arial" w:hAnsi="Arial" w:cs="Arial"/>
                <w:color w:val="000000"/>
                <w:sz w:val="18"/>
              </w:rPr>
            </w:pPr>
            <w:r w:rsidRPr="0097587B">
              <w:rPr>
                <w:rFonts w:ascii="Arial" w:hAnsi="Arial" w:cs="Arial"/>
                <w:color w:val="000000"/>
                <w:sz w:val="18"/>
              </w:rPr>
              <w:t>2014-02-06</w:t>
            </w:r>
          </w:p>
        </w:tc>
        <w:tc>
          <w:tcPr>
            <w:tcW w:w="0" w:type="auto"/>
            <w:tcBorders>
              <w:top w:val="nil"/>
              <w:left w:val="single" w:sz="4" w:space="0" w:color="auto"/>
              <w:bottom w:val="nil"/>
              <w:right w:val="nil"/>
            </w:tcBorders>
            <w:shd w:val="clear" w:color="auto" w:fill="auto"/>
            <w:noWrap/>
            <w:vAlign w:val="bottom"/>
            <w:hideMark/>
          </w:tcPr>
          <w:p w14:paraId="52B630B7" w14:textId="77777777" w:rsidR="009A379F" w:rsidRPr="0097587B" w:rsidRDefault="009A379F" w:rsidP="00FF78D9">
            <w:pPr>
              <w:spacing w:before="20" w:after="0" w:line="360" w:lineRule="auto"/>
              <w:jc w:val="center"/>
              <w:rPr>
                <w:rFonts w:ascii="Arial" w:hAnsi="Arial" w:cs="Arial"/>
                <w:color w:val="000000"/>
                <w:sz w:val="18"/>
              </w:rPr>
            </w:pPr>
            <w:r w:rsidRPr="0097587B">
              <w:rPr>
                <w:rFonts w:ascii="Arial" w:hAnsi="Arial" w:cs="Arial"/>
                <w:color w:val="000000"/>
                <w:sz w:val="18"/>
              </w:rPr>
              <w:t>10 (3)</w:t>
            </w:r>
          </w:p>
        </w:tc>
        <w:tc>
          <w:tcPr>
            <w:tcW w:w="0" w:type="auto"/>
            <w:tcBorders>
              <w:top w:val="nil"/>
              <w:left w:val="nil"/>
              <w:bottom w:val="nil"/>
              <w:right w:val="nil"/>
            </w:tcBorders>
            <w:shd w:val="clear" w:color="auto" w:fill="auto"/>
            <w:noWrap/>
            <w:vAlign w:val="bottom"/>
            <w:hideMark/>
          </w:tcPr>
          <w:p w14:paraId="3277C528" w14:textId="77777777" w:rsidR="009A379F" w:rsidRPr="0097587B" w:rsidRDefault="009A379F" w:rsidP="00FF78D9">
            <w:pPr>
              <w:spacing w:before="2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bottom"/>
            <w:hideMark/>
          </w:tcPr>
          <w:p w14:paraId="37D35FDB" w14:textId="77777777" w:rsidR="009A379F" w:rsidRPr="0097587B" w:rsidRDefault="009A379F" w:rsidP="00FF78D9">
            <w:pPr>
              <w:spacing w:before="2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bottom"/>
            <w:hideMark/>
          </w:tcPr>
          <w:p w14:paraId="4311239C" w14:textId="77777777" w:rsidR="009A379F" w:rsidRPr="0097587B" w:rsidRDefault="009A379F" w:rsidP="00FF78D9">
            <w:pPr>
              <w:spacing w:before="20" w:after="0" w:line="360" w:lineRule="auto"/>
              <w:jc w:val="center"/>
              <w:rPr>
                <w:rFonts w:ascii="Arial" w:hAnsi="Arial" w:cs="Arial"/>
                <w:color w:val="000000"/>
                <w:sz w:val="18"/>
              </w:rPr>
            </w:pPr>
          </w:p>
        </w:tc>
      </w:tr>
      <w:tr w:rsidR="009A379F" w:rsidRPr="0097587B" w14:paraId="77D930D8" w14:textId="77777777" w:rsidTr="00FF78D9">
        <w:trPr>
          <w:trHeight w:val="227"/>
          <w:jc w:val="center"/>
        </w:trPr>
        <w:tc>
          <w:tcPr>
            <w:tcW w:w="0" w:type="auto"/>
            <w:tcBorders>
              <w:top w:val="nil"/>
              <w:left w:val="nil"/>
              <w:bottom w:val="nil"/>
              <w:right w:val="single" w:sz="4" w:space="0" w:color="auto"/>
            </w:tcBorders>
            <w:shd w:val="clear" w:color="auto" w:fill="auto"/>
            <w:noWrap/>
            <w:vAlign w:val="bottom"/>
            <w:hideMark/>
          </w:tcPr>
          <w:p w14:paraId="4211B8B4" w14:textId="77777777" w:rsidR="009A379F" w:rsidRPr="0097587B" w:rsidRDefault="009A379F" w:rsidP="00FF78D9">
            <w:pPr>
              <w:spacing w:before="20" w:after="0" w:line="360" w:lineRule="auto"/>
              <w:jc w:val="center"/>
              <w:rPr>
                <w:rFonts w:ascii="Arial" w:hAnsi="Arial" w:cs="Arial"/>
                <w:color w:val="000000"/>
                <w:sz w:val="18"/>
              </w:rPr>
            </w:pPr>
            <w:r w:rsidRPr="0097587B">
              <w:rPr>
                <w:rFonts w:ascii="Arial" w:hAnsi="Arial" w:cs="Arial"/>
                <w:color w:val="000000"/>
                <w:sz w:val="18"/>
              </w:rPr>
              <w:t>2014-02-19</w:t>
            </w:r>
          </w:p>
        </w:tc>
        <w:tc>
          <w:tcPr>
            <w:tcW w:w="0" w:type="auto"/>
            <w:tcBorders>
              <w:top w:val="nil"/>
              <w:left w:val="single" w:sz="4" w:space="0" w:color="auto"/>
              <w:bottom w:val="nil"/>
              <w:right w:val="nil"/>
            </w:tcBorders>
            <w:shd w:val="clear" w:color="auto" w:fill="auto"/>
            <w:noWrap/>
            <w:vAlign w:val="bottom"/>
            <w:hideMark/>
          </w:tcPr>
          <w:p w14:paraId="3CE7B665" w14:textId="77777777" w:rsidR="009A379F" w:rsidRPr="0097587B" w:rsidRDefault="009A379F" w:rsidP="00FF78D9">
            <w:pPr>
              <w:spacing w:before="2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bottom"/>
            <w:hideMark/>
          </w:tcPr>
          <w:p w14:paraId="204D14D7" w14:textId="77777777" w:rsidR="009A379F" w:rsidRPr="0097587B" w:rsidRDefault="009A379F" w:rsidP="00FF78D9">
            <w:pPr>
              <w:spacing w:before="20" w:after="0" w:line="360" w:lineRule="auto"/>
              <w:jc w:val="center"/>
              <w:rPr>
                <w:rFonts w:ascii="Arial" w:hAnsi="Arial" w:cs="Arial"/>
                <w:color w:val="000000"/>
                <w:sz w:val="18"/>
              </w:rPr>
            </w:pPr>
            <w:r w:rsidRPr="0097587B">
              <w:rPr>
                <w:rFonts w:ascii="Arial" w:hAnsi="Arial" w:cs="Arial"/>
                <w:color w:val="000000"/>
                <w:sz w:val="18"/>
              </w:rPr>
              <w:t>8 (4)</w:t>
            </w:r>
          </w:p>
        </w:tc>
        <w:tc>
          <w:tcPr>
            <w:tcW w:w="0" w:type="auto"/>
            <w:tcBorders>
              <w:top w:val="nil"/>
              <w:left w:val="nil"/>
              <w:bottom w:val="nil"/>
              <w:right w:val="nil"/>
            </w:tcBorders>
            <w:shd w:val="clear" w:color="auto" w:fill="auto"/>
            <w:noWrap/>
            <w:vAlign w:val="bottom"/>
            <w:hideMark/>
          </w:tcPr>
          <w:p w14:paraId="48252EE8" w14:textId="77777777" w:rsidR="009A379F" w:rsidRPr="0097587B" w:rsidRDefault="009A379F" w:rsidP="00FF78D9">
            <w:pPr>
              <w:spacing w:before="2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bottom"/>
            <w:hideMark/>
          </w:tcPr>
          <w:p w14:paraId="558559F7" w14:textId="77777777" w:rsidR="009A379F" w:rsidRPr="0097587B" w:rsidRDefault="009A379F" w:rsidP="00FF78D9">
            <w:pPr>
              <w:spacing w:before="20" w:after="0" w:line="360" w:lineRule="auto"/>
              <w:jc w:val="center"/>
              <w:rPr>
                <w:rFonts w:ascii="Arial" w:hAnsi="Arial" w:cs="Arial"/>
                <w:color w:val="000000"/>
                <w:sz w:val="18"/>
              </w:rPr>
            </w:pPr>
          </w:p>
        </w:tc>
      </w:tr>
      <w:tr w:rsidR="009A379F" w:rsidRPr="0097587B" w14:paraId="4B4A0040" w14:textId="77777777" w:rsidTr="00FF78D9">
        <w:trPr>
          <w:trHeight w:val="227"/>
          <w:jc w:val="center"/>
        </w:trPr>
        <w:tc>
          <w:tcPr>
            <w:tcW w:w="0" w:type="auto"/>
            <w:tcBorders>
              <w:top w:val="nil"/>
              <w:left w:val="nil"/>
              <w:bottom w:val="nil"/>
              <w:right w:val="single" w:sz="4" w:space="0" w:color="auto"/>
            </w:tcBorders>
            <w:shd w:val="clear" w:color="auto" w:fill="auto"/>
            <w:noWrap/>
            <w:vAlign w:val="bottom"/>
            <w:hideMark/>
          </w:tcPr>
          <w:p w14:paraId="6233BFAF" w14:textId="77777777" w:rsidR="009A379F" w:rsidRPr="0097587B" w:rsidRDefault="009A379F" w:rsidP="00FF78D9">
            <w:pPr>
              <w:spacing w:before="20" w:after="0" w:line="360" w:lineRule="auto"/>
              <w:jc w:val="center"/>
              <w:rPr>
                <w:rFonts w:ascii="Arial" w:hAnsi="Arial" w:cs="Arial"/>
                <w:color w:val="000000"/>
                <w:sz w:val="18"/>
              </w:rPr>
            </w:pPr>
            <w:r w:rsidRPr="0097587B">
              <w:rPr>
                <w:rFonts w:ascii="Arial" w:hAnsi="Arial" w:cs="Arial"/>
                <w:color w:val="000000"/>
                <w:sz w:val="18"/>
              </w:rPr>
              <w:t>2014-02-20</w:t>
            </w:r>
          </w:p>
        </w:tc>
        <w:tc>
          <w:tcPr>
            <w:tcW w:w="0" w:type="auto"/>
            <w:tcBorders>
              <w:top w:val="nil"/>
              <w:left w:val="single" w:sz="4" w:space="0" w:color="auto"/>
              <w:bottom w:val="nil"/>
              <w:right w:val="nil"/>
            </w:tcBorders>
            <w:shd w:val="clear" w:color="auto" w:fill="auto"/>
            <w:noWrap/>
            <w:vAlign w:val="bottom"/>
            <w:hideMark/>
          </w:tcPr>
          <w:p w14:paraId="764D8818" w14:textId="77777777" w:rsidR="009A379F" w:rsidRPr="0097587B" w:rsidRDefault="009A379F" w:rsidP="00FF78D9">
            <w:pPr>
              <w:spacing w:before="20" w:after="0" w:line="360" w:lineRule="auto"/>
              <w:jc w:val="center"/>
              <w:rPr>
                <w:rFonts w:ascii="Arial" w:hAnsi="Arial" w:cs="Arial"/>
                <w:color w:val="000000"/>
                <w:sz w:val="18"/>
              </w:rPr>
            </w:pPr>
            <w:r w:rsidRPr="0097587B">
              <w:rPr>
                <w:rFonts w:ascii="Arial" w:hAnsi="Arial" w:cs="Arial"/>
                <w:color w:val="000000"/>
                <w:sz w:val="18"/>
              </w:rPr>
              <w:t>10 (3)</w:t>
            </w:r>
          </w:p>
        </w:tc>
        <w:tc>
          <w:tcPr>
            <w:tcW w:w="0" w:type="auto"/>
            <w:tcBorders>
              <w:top w:val="nil"/>
              <w:left w:val="nil"/>
              <w:bottom w:val="nil"/>
              <w:right w:val="nil"/>
            </w:tcBorders>
            <w:shd w:val="clear" w:color="auto" w:fill="auto"/>
            <w:noWrap/>
            <w:vAlign w:val="bottom"/>
            <w:hideMark/>
          </w:tcPr>
          <w:p w14:paraId="176AF3A9" w14:textId="77777777" w:rsidR="009A379F" w:rsidRPr="0097587B" w:rsidRDefault="009A379F" w:rsidP="00FF78D9">
            <w:pPr>
              <w:spacing w:before="2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bottom"/>
            <w:hideMark/>
          </w:tcPr>
          <w:p w14:paraId="7D126671" w14:textId="77777777" w:rsidR="009A379F" w:rsidRPr="0097587B" w:rsidRDefault="009A379F" w:rsidP="00FF78D9">
            <w:pPr>
              <w:spacing w:before="2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bottom"/>
            <w:hideMark/>
          </w:tcPr>
          <w:p w14:paraId="45F10B44" w14:textId="77777777" w:rsidR="009A379F" w:rsidRPr="0097587B" w:rsidRDefault="009A379F" w:rsidP="00FF78D9">
            <w:pPr>
              <w:spacing w:before="20" w:after="0" w:line="360" w:lineRule="auto"/>
              <w:jc w:val="center"/>
              <w:rPr>
                <w:rFonts w:ascii="Arial" w:hAnsi="Arial" w:cs="Arial"/>
                <w:color w:val="000000"/>
                <w:sz w:val="18"/>
              </w:rPr>
            </w:pPr>
          </w:p>
        </w:tc>
      </w:tr>
      <w:tr w:rsidR="009A379F" w:rsidRPr="0097587B" w14:paraId="4C4523DF" w14:textId="77777777" w:rsidTr="00FF78D9">
        <w:trPr>
          <w:trHeight w:val="227"/>
          <w:jc w:val="center"/>
        </w:trPr>
        <w:tc>
          <w:tcPr>
            <w:tcW w:w="0" w:type="auto"/>
            <w:tcBorders>
              <w:top w:val="nil"/>
              <w:left w:val="nil"/>
              <w:bottom w:val="nil"/>
              <w:right w:val="single" w:sz="4" w:space="0" w:color="auto"/>
            </w:tcBorders>
            <w:shd w:val="clear" w:color="auto" w:fill="auto"/>
            <w:noWrap/>
            <w:vAlign w:val="bottom"/>
            <w:hideMark/>
          </w:tcPr>
          <w:p w14:paraId="70F87B34" w14:textId="77777777" w:rsidR="009A379F" w:rsidRPr="0097587B" w:rsidRDefault="009A379F" w:rsidP="00FF78D9">
            <w:pPr>
              <w:spacing w:before="20" w:after="0" w:line="360" w:lineRule="auto"/>
              <w:jc w:val="center"/>
              <w:rPr>
                <w:rFonts w:ascii="Arial" w:hAnsi="Arial" w:cs="Arial"/>
                <w:color w:val="000000"/>
                <w:sz w:val="18"/>
              </w:rPr>
            </w:pPr>
            <w:r w:rsidRPr="0097587B">
              <w:rPr>
                <w:rFonts w:ascii="Arial" w:hAnsi="Arial" w:cs="Arial"/>
                <w:color w:val="000000"/>
                <w:sz w:val="18"/>
              </w:rPr>
              <w:t>2014-03-04</w:t>
            </w:r>
          </w:p>
        </w:tc>
        <w:tc>
          <w:tcPr>
            <w:tcW w:w="0" w:type="auto"/>
            <w:tcBorders>
              <w:top w:val="nil"/>
              <w:left w:val="single" w:sz="4" w:space="0" w:color="auto"/>
              <w:bottom w:val="nil"/>
              <w:right w:val="nil"/>
            </w:tcBorders>
            <w:shd w:val="clear" w:color="auto" w:fill="auto"/>
            <w:noWrap/>
            <w:vAlign w:val="bottom"/>
            <w:hideMark/>
          </w:tcPr>
          <w:p w14:paraId="079B5F92" w14:textId="77777777" w:rsidR="009A379F" w:rsidRPr="0097587B" w:rsidRDefault="009A379F" w:rsidP="00FF78D9">
            <w:pPr>
              <w:spacing w:before="2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bottom"/>
            <w:hideMark/>
          </w:tcPr>
          <w:p w14:paraId="6EAE2A3F" w14:textId="77777777" w:rsidR="009A379F" w:rsidRPr="0097587B" w:rsidRDefault="009A379F" w:rsidP="00FF78D9">
            <w:pPr>
              <w:spacing w:before="20" w:after="0" w:line="360" w:lineRule="auto"/>
              <w:jc w:val="center"/>
              <w:rPr>
                <w:rFonts w:ascii="Arial" w:hAnsi="Arial" w:cs="Arial"/>
                <w:color w:val="000000"/>
                <w:sz w:val="18"/>
              </w:rPr>
            </w:pPr>
            <w:r w:rsidRPr="0097587B">
              <w:rPr>
                <w:rFonts w:ascii="Arial" w:hAnsi="Arial" w:cs="Arial"/>
                <w:color w:val="000000"/>
                <w:sz w:val="18"/>
              </w:rPr>
              <w:t>1 (0)</w:t>
            </w:r>
          </w:p>
        </w:tc>
        <w:tc>
          <w:tcPr>
            <w:tcW w:w="0" w:type="auto"/>
            <w:tcBorders>
              <w:top w:val="nil"/>
              <w:left w:val="nil"/>
              <w:bottom w:val="nil"/>
              <w:right w:val="nil"/>
            </w:tcBorders>
            <w:shd w:val="clear" w:color="auto" w:fill="auto"/>
            <w:noWrap/>
            <w:vAlign w:val="bottom"/>
            <w:hideMark/>
          </w:tcPr>
          <w:p w14:paraId="2A97944C" w14:textId="77777777" w:rsidR="009A379F" w:rsidRPr="0097587B" w:rsidRDefault="009A379F" w:rsidP="00FF78D9">
            <w:pPr>
              <w:spacing w:before="2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bottom"/>
            <w:hideMark/>
          </w:tcPr>
          <w:p w14:paraId="1420E02F" w14:textId="77777777" w:rsidR="009A379F" w:rsidRPr="0097587B" w:rsidRDefault="009A379F" w:rsidP="00FF78D9">
            <w:pPr>
              <w:spacing w:before="20" w:after="0" w:line="360" w:lineRule="auto"/>
              <w:jc w:val="center"/>
              <w:rPr>
                <w:rFonts w:ascii="Arial" w:hAnsi="Arial" w:cs="Arial"/>
                <w:color w:val="000000"/>
                <w:sz w:val="18"/>
              </w:rPr>
            </w:pPr>
          </w:p>
        </w:tc>
      </w:tr>
      <w:tr w:rsidR="009A379F" w:rsidRPr="0097587B" w14:paraId="2567DEFC" w14:textId="77777777" w:rsidTr="00FF78D9">
        <w:trPr>
          <w:trHeight w:val="227"/>
          <w:jc w:val="center"/>
        </w:trPr>
        <w:tc>
          <w:tcPr>
            <w:tcW w:w="0" w:type="auto"/>
            <w:tcBorders>
              <w:top w:val="nil"/>
              <w:left w:val="nil"/>
              <w:bottom w:val="nil"/>
              <w:right w:val="single" w:sz="4" w:space="0" w:color="auto"/>
            </w:tcBorders>
            <w:shd w:val="clear" w:color="auto" w:fill="auto"/>
            <w:noWrap/>
            <w:vAlign w:val="bottom"/>
            <w:hideMark/>
          </w:tcPr>
          <w:p w14:paraId="137DEFB7" w14:textId="77777777" w:rsidR="009A379F" w:rsidRPr="0097587B" w:rsidRDefault="009A379F" w:rsidP="00FF78D9">
            <w:pPr>
              <w:spacing w:before="20" w:after="0" w:line="360" w:lineRule="auto"/>
              <w:jc w:val="center"/>
              <w:rPr>
                <w:rFonts w:ascii="Arial" w:hAnsi="Arial" w:cs="Arial"/>
                <w:color w:val="000000"/>
                <w:sz w:val="18"/>
              </w:rPr>
            </w:pPr>
            <w:r w:rsidRPr="0097587B">
              <w:rPr>
                <w:rFonts w:ascii="Arial" w:hAnsi="Arial" w:cs="Arial"/>
                <w:color w:val="000000"/>
                <w:sz w:val="18"/>
              </w:rPr>
              <w:t>2014-03-24</w:t>
            </w:r>
          </w:p>
        </w:tc>
        <w:tc>
          <w:tcPr>
            <w:tcW w:w="0" w:type="auto"/>
            <w:tcBorders>
              <w:top w:val="nil"/>
              <w:left w:val="single" w:sz="4" w:space="0" w:color="auto"/>
              <w:bottom w:val="nil"/>
              <w:right w:val="nil"/>
            </w:tcBorders>
            <w:shd w:val="clear" w:color="auto" w:fill="auto"/>
            <w:noWrap/>
            <w:vAlign w:val="bottom"/>
            <w:hideMark/>
          </w:tcPr>
          <w:p w14:paraId="616200D1" w14:textId="77777777" w:rsidR="009A379F" w:rsidRPr="0097587B" w:rsidRDefault="009A379F" w:rsidP="00FF78D9">
            <w:pPr>
              <w:spacing w:before="2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bottom"/>
            <w:hideMark/>
          </w:tcPr>
          <w:p w14:paraId="07C63AC1" w14:textId="77777777" w:rsidR="009A379F" w:rsidRPr="0097587B" w:rsidRDefault="009A379F" w:rsidP="00FF78D9">
            <w:pPr>
              <w:spacing w:before="20" w:after="0" w:line="360" w:lineRule="auto"/>
              <w:jc w:val="center"/>
              <w:rPr>
                <w:rFonts w:ascii="Arial" w:hAnsi="Arial" w:cs="Arial"/>
                <w:color w:val="000000"/>
                <w:sz w:val="18"/>
              </w:rPr>
            </w:pPr>
            <w:r w:rsidRPr="0097587B">
              <w:rPr>
                <w:rFonts w:ascii="Arial" w:hAnsi="Arial" w:cs="Arial"/>
                <w:color w:val="000000"/>
                <w:sz w:val="18"/>
              </w:rPr>
              <w:t>8 (4)</w:t>
            </w:r>
          </w:p>
        </w:tc>
        <w:tc>
          <w:tcPr>
            <w:tcW w:w="0" w:type="auto"/>
            <w:tcBorders>
              <w:top w:val="nil"/>
              <w:left w:val="nil"/>
              <w:bottom w:val="nil"/>
              <w:right w:val="nil"/>
            </w:tcBorders>
            <w:shd w:val="clear" w:color="auto" w:fill="auto"/>
            <w:noWrap/>
            <w:vAlign w:val="bottom"/>
            <w:hideMark/>
          </w:tcPr>
          <w:p w14:paraId="5AC8B602" w14:textId="77777777" w:rsidR="009A379F" w:rsidRPr="0097587B" w:rsidRDefault="009A379F" w:rsidP="00FF78D9">
            <w:pPr>
              <w:spacing w:before="2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bottom"/>
            <w:hideMark/>
          </w:tcPr>
          <w:p w14:paraId="60FB57E5" w14:textId="77777777" w:rsidR="009A379F" w:rsidRPr="0097587B" w:rsidRDefault="009A379F" w:rsidP="00FF78D9">
            <w:pPr>
              <w:spacing w:before="20" w:after="0" w:line="360" w:lineRule="auto"/>
              <w:jc w:val="center"/>
              <w:rPr>
                <w:rFonts w:ascii="Arial" w:hAnsi="Arial" w:cs="Arial"/>
                <w:color w:val="000000"/>
                <w:sz w:val="18"/>
              </w:rPr>
            </w:pPr>
          </w:p>
        </w:tc>
      </w:tr>
      <w:tr w:rsidR="009A379F" w:rsidRPr="0097587B" w14:paraId="0001D277" w14:textId="77777777" w:rsidTr="00FF78D9">
        <w:trPr>
          <w:trHeight w:val="227"/>
          <w:jc w:val="center"/>
        </w:trPr>
        <w:tc>
          <w:tcPr>
            <w:tcW w:w="0" w:type="auto"/>
            <w:tcBorders>
              <w:top w:val="nil"/>
              <w:left w:val="nil"/>
              <w:bottom w:val="nil"/>
              <w:right w:val="single" w:sz="4" w:space="0" w:color="auto"/>
            </w:tcBorders>
            <w:shd w:val="clear" w:color="auto" w:fill="auto"/>
            <w:noWrap/>
            <w:vAlign w:val="bottom"/>
            <w:hideMark/>
          </w:tcPr>
          <w:p w14:paraId="1CE22784" w14:textId="77777777" w:rsidR="009A379F" w:rsidRPr="0097587B" w:rsidRDefault="009A379F" w:rsidP="00FF78D9">
            <w:pPr>
              <w:spacing w:before="20" w:after="0" w:line="360" w:lineRule="auto"/>
              <w:jc w:val="center"/>
              <w:rPr>
                <w:rFonts w:ascii="Arial" w:hAnsi="Arial" w:cs="Arial"/>
                <w:color w:val="000000"/>
                <w:sz w:val="18"/>
              </w:rPr>
            </w:pPr>
            <w:r w:rsidRPr="0097587B">
              <w:rPr>
                <w:rFonts w:ascii="Arial" w:hAnsi="Arial" w:cs="Arial"/>
                <w:color w:val="000000"/>
                <w:sz w:val="18"/>
              </w:rPr>
              <w:t>2014-03-25</w:t>
            </w:r>
          </w:p>
        </w:tc>
        <w:tc>
          <w:tcPr>
            <w:tcW w:w="0" w:type="auto"/>
            <w:tcBorders>
              <w:top w:val="nil"/>
              <w:left w:val="single" w:sz="4" w:space="0" w:color="auto"/>
              <w:bottom w:val="nil"/>
              <w:right w:val="nil"/>
            </w:tcBorders>
            <w:shd w:val="clear" w:color="auto" w:fill="auto"/>
            <w:noWrap/>
            <w:vAlign w:val="bottom"/>
            <w:hideMark/>
          </w:tcPr>
          <w:p w14:paraId="2B12AEBF" w14:textId="77777777" w:rsidR="009A379F" w:rsidRPr="0097587B" w:rsidRDefault="009A379F" w:rsidP="00FF78D9">
            <w:pPr>
              <w:spacing w:before="20" w:after="0" w:line="360" w:lineRule="auto"/>
              <w:jc w:val="center"/>
              <w:rPr>
                <w:rFonts w:ascii="Arial" w:hAnsi="Arial" w:cs="Arial"/>
                <w:color w:val="000000"/>
                <w:sz w:val="18"/>
              </w:rPr>
            </w:pPr>
            <w:r w:rsidRPr="0097587B">
              <w:rPr>
                <w:rFonts w:ascii="Arial" w:hAnsi="Arial" w:cs="Arial"/>
                <w:color w:val="000000"/>
                <w:sz w:val="18"/>
              </w:rPr>
              <w:t>10 (3)</w:t>
            </w:r>
          </w:p>
        </w:tc>
        <w:tc>
          <w:tcPr>
            <w:tcW w:w="0" w:type="auto"/>
            <w:tcBorders>
              <w:top w:val="nil"/>
              <w:left w:val="nil"/>
              <w:bottom w:val="nil"/>
              <w:right w:val="nil"/>
            </w:tcBorders>
            <w:shd w:val="clear" w:color="auto" w:fill="auto"/>
            <w:noWrap/>
            <w:vAlign w:val="bottom"/>
            <w:hideMark/>
          </w:tcPr>
          <w:p w14:paraId="06C6AD48" w14:textId="77777777" w:rsidR="009A379F" w:rsidRPr="0097587B" w:rsidRDefault="009A379F" w:rsidP="00FF78D9">
            <w:pPr>
              <w:spacing w:before="2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bottom"/>
            <w:hideMark/>
          </w:tcPr>
          <w:p w14:paraId="0EF2591C" w14:textId="77777777" w:rsidR="009A379F" w:rsidRPr="0097587B" w:rsidRDefault="009A379F" w:rsidP="00FF78D9">
            <w:pPr>
              <w:spacing w:before="2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bottom"/>
            <w:hideMark/>
          </w:tcPr>
          <w:p w14:paraId="02513242" w14:textId="77777777" w:rsidR="009A379F" w:rsidRPr="0097587B" w:rsidRDefault="009A379F" w:rsidP="00FF78D9">
            <w:pPr>
              <w:spacing w:before="20" w:after="0" w:line="360" w:lineRule="auto"/>
              <w:jc w:val="center"/>
              <w:rPr>
                <w:rFonts w:ascii="Arial" w:hAnsi="Arial" w:cs="Arial"/>
                <w:color w:val="000000"/>
                <w:sz w:val="18"/>
              </w:rPr>
            </w:pPr>
          </w:p>
        </w:tc>
      </w:tr>
      <w:tr w:rsidR="009A379F" w:rsidRPr="0097587B" w14:paraId="255340AF" w14:textId="77777777" w:rsidTr="00FF78D9">
        <w:trPr>
          <w:trHeight w:val="227"/>
          <w:jc w:val="center"/>
        </w:trPr>
        <w:tc>
          <w:tcPr>
            <w:tcW w:w="0" w:type="auto"/>
            <w:tcBorders>
              <w:top w:val="nil"/>
              <w:left w:val="nil"/>
              <w:bottom w:val="nil"/>
              <w:right w:val="single" w:sz="4" w:space="0" w:color="auto"/>
            </w:tcBorders>
            <w:shd w:val="clear" w:color="auto" w:fill="auto"/>
            <w:noWrap/>
            <w:vAlign w:val="bottom"/>
            <w:hideMark/>
          </w:tcPr>
          <w:p w14:paraId="60F3D375" w14:textId="77777777" w:rsidR="009A379F" w:rsidRPr="0097587B" w:rsidRDefault="009A379F" w:rsidP="00FF78D9">
            <w:pPr>
              <w:spacing w:before="20" w:after="0" w:line="360" w:lineRule="auto"/>
              <w:jc w:val="center"/>
              <w:rPr>
                <w:rFonts w:ascii="Arial" w:hAnsi="Arial" w:cs="Arial"/>
                <w:color w:val="000000"/>
                <w:sz w:val="18"/>
              </w:rPr>
            </w:pPr>
            <w:r w:rsidRPr="0097587B">
              <w:rPr>
                <w:rFonts w:ascii="Arial" w:hAnsi="Arial" w:cs="Arial"/>
                <w:color w:val="000000"/>
                <w:sz w:val="18"/>
              </w:rPr>
              <w:t>2014-04-16</w:t>
            </w:r>
          </w:p>
        </w:tc>
        <w:tc>
          <w:tcPr>
            <w:tcW w:w="0" w:type="auto"/>
            <w:tcBorders>
              <w:top w:val="nil"/>
              <w:left w:val="single" w:sz="4" w:space="0" w:color="auto"/>
              <w:bottom w:val="nil"/>
              <w:right w:val="nil"/>
            </w:tcBorders>
            <w:shd w:val="clear" w:color="auto" w:fill="auto"/>
            <w:noWrap/>
            <w:vAlign w:val="bottom"/>
            <w:hideMark/>
          </w:tcPr>
          <w:p w14:paraId="05041122" w14:textId="77777777" w:rsidR="009A379F" w:rsidRPr="0097587B" w:rsidRDefault="009A379F" w:rsidP="00FF78D9">
            <w:pPr>
              <w:spacing w:before="2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bottom"/>
            <w:hideMark/>
          </w:tcPr>
          <w:p w14:paraId="0812020C" w14:textId="77777777" w:rsidR="009A379F" w:rsidRPr="0097587B" w:rsidRDefault="009A379F" w:rsidP="00FF78D9">
            <w:pPr>
              <w:spacing w:before="20" w:after="0" w:line="360" w:lineRule="auto"/>
              <w:jc w:val="center"/>
              <w:rPr>
                <w:rFonts w:ascii="Arial" w:hAnsi="Arial" w:cs="Arial"/>
                <w:color w:val="000000"/>
                <w:sz w:val="18"/>
              </w:rPr>
            </w:pPr>
            <w:r w:rsidRPr="0097587B">
              <w:rPr>
                <w:rFonts w:ascii="Arial" w:hAnsi="Arial" w:cs="Arial"/>
                <w:color w:val="000000"/>
                <w:sz w:val="18"/>
              </w:rPr>
              <w:t>9 (4)</w:t>
            </w:r>
          </w:p>
        </w:tc>
        <w:tc>
          <w:tcPr>
            <w:tcW w:w="0" w:type="auto"/>
            <w:tcBorders>
              <w:top w:val="nil"/>
              <w:left w:val="nil"/>
              <w:bottom w:val="nil"/>
              <w:right w:val="nil"/>
            </w:tcBorders>
            <w:shd w:val="clear" w:color="auto" w:fill="auto"/>
            <w:noWrap/>
            <w:vAlign w:val="bottom"/>
            <w:hideMark/>
          </w:tcPr>
          <w:p w14:paraId="35E53EC8" w14:textId="77777777" w:rsidR="009A379F" w:rsidRPr="0097587B" w:rsidRDefault="009A379F" w:rsidP="00FF78D9">
            <w:pPr>
              <w:spacing w:before="2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bottom"/>
            <w:hideMark/>
          </w:tcPr>
          <w:p w14:paraId="36A64FE1" w14:textId="77777777" w:rsidR="009A379F" w:rsidRPr="0097587B" w:rsidRDefault="009A379F" w:rsidP="00FF78D9">
            <w:pPr>
              <w:spacing w:before="20" w:after="0" w:line="360" w:lineRule="auto"/>
              <w:jc w:val="center"/>
              <w:rPr>
                <w:rFonts w:ascii="Arial" w:hAnsi="Arial" w:cs="Arial"/>
                <w:color w:val="000000"/>
                <w:sz w:val="18"/>
              </w:rPr>
            </w:pPr>
            <w:r w:rsidRPr="0097587B">
              <w:rPr>
                <w:rFonts w:ascii="Arial" w:hAnsi="Arial" w:cs="Arial"/>
                <w:color w:val="000000"/>
                <w:sz w:val="18"/>
              </w:rPr>
              <w:t>1 (1)</w:t>
            </w:r>
          </w:p>
        </w:tc>
      </w:tr>
      <w:tr w:rsidR="009A379F" w:rsidRPr="0097587B" w14:paraId="0959F2D2" w14:textId="77777777" w:rsidTr="00FF78D9">
        <w:trPr>
          <w:trHeight w:val="227"/>
          <w:jc w:val="center"/>
        </w:trPr>
        <w:tc>
          <w:tcPr>
            <w:tcW w:w="0" w:type="auto"/>
            <w:tcBorders>
              <w:top w:val="nil"/>
              <w:left w:val="nil"/>
              <w:bottom w:val="nil"/>
              <w:right w:val="single" w:sz="4" w:space="0" w:color="auto"/>
            </w:tcBorders>
            <w:shd w:val="clear" w:color="auto" w:fill="auto"/>
            <w:noWrap/>
            <w:vAlign w:val="bottom"/>
            <w:hideMark/>
          </w:tcPr>
          <w:p w14:paraId="05E53A2B" w14:textId="77777777" w:rsidR="009A379F" w:rsidRPr="0097587B" w:rsidRDefault="009A379F" w:rsidP="00FF78D9">
            <w:pPr>
              <w:spacing w:before="20" w:after="0" w:line="360" w:lineRule="auto"/>
              <w:jc w:val="center"/>
              <w:rPr>
                <w:rFonts w:ascii="Arial" w:hAnsi="Arial" w:cs="Arial"/>
                <w:color w:val="000000"/>
                <w:sz w:val="18"/>
              </w:rPr>
            </w:pPr>
            <w:r w:rsidRPr="0097587B">
              <w:rPr>
                <w:rFonts w:ascii="Arial" w:hAnsi="Arial" w:cs="Arial"/>
                <w:color w:val="000000"/>
                <w:sz w:val="18"/>
              </w:rPr>
              <w:t>2014-04-17</w:t>
            </w:r>
          </w:p>
        </w:tc>
        <w:tc>
          <w:tcPr>
            <w:tcW w:w="0" w:type="auto"/>
            <w:tcBorders>
              <w:top w:val="nil"/>
              <w:left w:val="single" w:sz="4" w:space="0" w:color="auto"/>
              <w:bottom w:val="nil"/>
              <w:right w:val="nil"/>
            </w:tcBorders>
            <w:shd w:val="clear" w:color="auto" w:fill="auto"/>
            <w:noWrap/>
            <w:vAlign w:val="bottom"/>
            <w:hideMark/>
          </w:tcPr>
          <w:p w14:paraId="45F526C3" w14:textId="77777777" w:rsidR="009A379F" w:rsidRPr="0097587B" w:rsidRDefault="009A379F" w:rsidP="00FF78D9">
            <w:pPr>
              <w:spacing w:before="20" w:after="0" w:line="360" w:lineRule="auto"/>
              <w:jc w:val="center"/>
              <w:rPr>
                <w:rFonts w:ascii="Arial" w:hAnsi="Arial" w:cs="Arial"/>
                <w:color w:val="000000"/>
                <w:sz w:val="18"/>
              </w:rPr>
            </w:pPr>
            <w:r w:rsidRPr="0097587B">
              <w:rPr>
                <w:rFonts w:ascii="Arial" w:hAnsi="Arial" w:cs="Arial"/>
                <w:color w:val="000000"/>
                <w:sz w:val="18"/>
              </w:rPr>
              <w:t>9 (2)</w:t>
            </w:r>
          </w:p>
        </w:tc>
        <w:tc>
          <w:tcPr>
            <w:tcW w:w="0" w:type="auto"/>
            <w:tcBorders>
              <w:top w:val="nil"/>
              <w:left w:val="nil"/>
              <w:bottom w:val="nil"/>
              <w:right w:val="nil"/>
            </w:tcBorders>
            <w:shd w:val="clear" w:color="auto" w:fill="auto"/>
            <w:noWrap/>
            <w:vAlign w:val="bottom"/>
            <w:hideMark/>
          </w:tcPr>
          <w:p w14:paraId="68DCE7F2" w14:textId="77777777" w:rsidR="009A379F" w:rsidRPr="0097587B" w:rsidRDefault="009A379F" w:rsidP="00FF78D9">
            <w:pPr>
              <w:spacing w:before="2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bottom"/>
            <w:hideMark/>
          </w:tcPr>
          <w:p w14:paraId="7DBB1856" w14:textId="77777777" w:rsidR="009A379F" w:rsidRPr="0097587B" w:rsidRDefault="009A379F" w:rsidP="00FF78D9">
            <w:pPr>
              <w:spacing w:before="2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bottom"/>
            <w:hideMark/>
          </w:tcPr>
          <w:p w14:paraId="0DA18AE4" w14:textId="77777777" w:rsidR="009A379F" w:rsidRPr="0097587B" w:rsidRDefault="009A379F" w:rsidP="00FF78D9">
            <w:pPr>
              <w:spacing w:before="20" w:after="0" w:line="360" w:lineRule="auto"/>
              <w:jc w:val="center"/>
              <w:rPr>
                <w:rFonts w:ascii="Arial" w:hAnsi="Arial" w:cs="Arial"/>
                <w:color w:val="000000"/>
                <w:sz w:val="18"/>
              </w:rPr>
            </w:pPr>
          </w:p>
        </w:tc>
      </w:tr>
      <w:tr w:rsidR="009A379F" w:rsidRPr="0097587B" w14:paraId="7BCE33EE" w14:textId="77777777" w:rsidTr="00FF78D9">
        <w:trPr>
          <w:trHeight w:val="227"/>
          <w:jc w:val="center"/>
        </w:trPr>
        <w:tc>
          <w:tcPr>
            <w:tcW w:w="0" w:type="auto"/>
            <w:tcBorders>
              <w:top w:val="nil"/>
              <w:left w:val="nil"/>
              <w:bottom w:val="single" w:sz="4" w:space="0" w:color="auto"/>
              <w:right w:val="single" w:sz="4" w:space="0" w:color="auto"/>
            </w:tcBorders>
            <w:shd w:val="clear" w:color="auto" w:fill="auto"/>
            <w:noWrap/>
            <w:vAlign w:val="bottom"/>
            <w:hideMark/>
          </w:tcPr>
          <w:p w14:paraId="5AC51949" w14:textId="77777777" w:rsidR="009A379F" w:rsidRPr="0097587B" w:rsidRDefault="009A379F" w:rsidP="00FF78D9">
            <w:pPr>
              <w:spacing w:before="20" w:after="0" w:line="360" w:lineRule="auto"/>
              <w:jc w:val="center"/>
              <w:rPr>
                <w:rFonts w:ascii="Arial" w:hAnsi="Arial" w:cs="Arial"/>
                <w:color w:val="000000"/>
                <w:sz w:val="18"/>
              </w:rPr>
            </w:pPr>
            <w:r w:rsidRPr="0097587B">
              <w:rPr>
                <w:rFonts w:ascii="Arial" w:hAnsi="Arial" w:cs="Arial"/>
                <w:color w:val="000000"/>
                <w:sz w:val="18"/>
              </w:rPr>
              <w:t>2014-04-18</w:t>
            </w:r>
          </w:p>
        </w:tc>
        <w:tc>
          <w:tcPr>
            <w:tcW w:w="0" w:type="auto"/>
            <w:tcBorders>
              <w:top w:val="nil"/>
              <w:left w:val="single" w:sz="4" w:space="0" w:color="auto"/>
              <w:bottom w:val="single" w:sz="4" w:space="0" w:color="auto"/>
              <w:right w:val="nil"/>
            </w:tcBorders>
            <w:shd w:val="clear" w:color="auto" w:fill="auto"/>
            <w:noWrap/>
            <w:vAlign w:val="bottom"/>
            <w:hideMark/>
          </w:tcPr>
          <w:p w14:paraId="5667EBCC" w14:textId="77777777" w:rsidR="009A379F" w:rsidRPr="0097587B" w:rsidRDefault="009A379F" w:rsidP="00FF78D9">
            <w:pPr>
              <w:spacing w:before="20" w:after="0" w:line="360" w:lineRule="auto"/>
              <w:jc w:val="center"/>
              <w:rPr>
                <w:rFonts w:ascii="Arial" w:hAnsi="Arial" w:cs="Arial"/>
                <w:color w:val="000000"/>
                <w:sz w:val="18"/>
              </w:rPr>
            </w:pPr>
          </w:p>
        </w:tc>
        <w:tc>
          <w:tcPr>
            <w:tcW w:w="0" w:type="auto"/>
            <w:tcBorders>
              <w:top w:val="nil"/>
              <w:left w:val="nil"/>
              <w:bottom w:val="single" w:sz="4" w:space="0" w:color="auto"/>
              <w:right w:val="nil"/>
            </w:tcBorders>
            <w:shd w:val="clear" w:color="auto" w:fill="auto"/>
            <w:noWrap/>
            <w:vAlign w:val="bottom"/>
            <w:hideMark/>
          </w:tcPr>
          <w:p w14:paraId="6BCDC8A0" w14:textId="77777777" w:rsidR="009A379F" w:rsidRPr="0097587B" w:rsidRDefault="009A379F" w:rsidP="00FF78D9">
            <w:pPr>
              <w:spacing w:before="20" w:after="0" w:line="360" w:lineRule="auto"/>
              <w:jc w:val="center"/>
              <w:rPr>
                <w:rFonts w:ascii="Arial" w:hAnsi="Arial" w:cs="Arial"/>
                <w:color w:val="000000"/>
                <w:sz w:val="18"/>
              </w:rPr>
            </w:pPr>
          </w:p>
        </w:tc>
        <w:tc>
          <w:tcPr>
            <w:tcW w:w="0" w:type="auto"/>
            <w:tcBorders>
              <w:top w:val="nil"/>
              <w:left w:val="nil"/>
              <w:bottom w:val="single" w:sz="4" w:space="0" w:color="auto"/>
              <w:right w:val="nil"/>
            </w:tcBorders>
            <w:shd w:val="clear" w:color="auto" w:fill="auto"/>
            <w:noWrap/>
            <w:vAlign w:val="bottom"/>
            <w:hideMark/>
          </w:tcPr>
          <w:p w14:paraId="509681F5" w14:textId="77777777" w:rsidR="009A379F" w:rsidRPr="0097587B" w:rsidRDefault="009A379F" w:rsidP="00FF78D9">
            <w:pPr>
              <w:spacing w:before="20" w:after="0" w:line="360" w:lineRule="auto"/>
              <w:jc w:val="center"/>
              <w:rPr>
                <w:rFonts w:ascii="Arial" w:hAnsi="Arial" w:cs="Arial"/>
                <w:color w:val="000000"/>
                <w:sz w:val="18"/>
              </w:rPr>
            </w:pPr>
            <w:r w:rsidRPr="0097587B">
              <w:rPr>
                <w:rFonts w:ascii="Arial" w:hAnsi="Arial" w:cs="Arial"/>
                <w:color w:val="000000"/>
                <w:sz w:val="18"/>
              </w:rPr>
              <w:t>10 (4)</w:t>
            </w:r>
          </w:p>
        </w:tc>
        <w:tc>
          <w:tcPr>
            <w:tcW w:w="0" w:type="auto"/>
            <w:tcBorders>
              <w:top w:val="nil"/>
              <w:left w:val="nil"/>
              <w:bottom w:val="single" w:sz="4" w:space="0" w:color="auto"/>
              <w:right w:val="nil"/>
            </w:tcBorders>
            <w:shd w:val="clear" w:color="auto" w:fill="auto"/>
            <w:noWrap/>
            <w:vAlign w:val="bottom"/>
            <w:hideMark/>
          </w:tcPr>
          <w:p w14:paraId="39047A22" w14:textId="77777777" w:rsidR="009A379F" w:rsidRPr="0097587B" w:rsidRDefault="009A379F" w:rsidP="00FF78D9">
            <w:pPr>
              <w:spacing w:before="20" w:after="0" w:line="360" w:lineRule="auto"/>
              <w:jc w:val="center"/>
              <w:rPr>
                <w:rFonts w:ascii="Arial" w:hAnsi="Arial" w:cs="Arial"/>
                <w:color w:val="000000"/>
                <w:sz w:val="18"/>
              </w:rPr>
            </w:pPr>
            <w:r w:rsidRPr="0097587B">
              <w:rPr>
                <w:rFonts w:ascii="Arial" w:hAnsi="Arial" w:cs="Arial"/>
                <w:color w:val="000000"/>
                <w:sz w:val="18"/>
              </w:rPr>
              <w:t>8 (8)</w:t>
            </w:r>
          </w:p>
        </w:tc>
      </w:tr>
      <w:tr w:rsidR="009A379F" w:rsidRPr="0097587B" w14:paraId="05DE76E3" w14:textId="77777777" w:rsidTr="00FF78D9">
        <w:trPr>
          <w:trHeight w:val="227"/>
          <w:jc w:val="center"/>
        </w:trPr>
        <w:tc>
          <w:tcPr>
            <w:tcW w:w="0" w:type="auto"/>
            <w:tcBorders>
              <w:top w:val="single" w:sz="4" w:space="0" w:color="auto"/>
              <w:left w:val="nil"/>
              <w:bottom w:val="single" w:sz="4" w:space="0" w:color="auto"/>
              <w:right w:val="single" w:sz="4" w:space="0" w:color="auto"/>
            </w:tcBorders>
            <w:shd w:val="clear" w:color="auto" w:fill="auto"/>
            <w:noWrap/>
            <w:vAlign w:val="center"/>
          </w:tcPr>
          <w:p w14:paraId="30AB198A" w14:textId="77777777" w:rsidR="009A379F" w:rsidRPr="0097587B" w:rsidRDefault="009A379F" w:rsidP="00861681">
            <w:pPr>
              <w:spacing w:before="0" w:after="0" w:line="360" w:lineRule="auto"/>
              <w:jc w:val="left"/>
              <w:rPr>
                <w:rFonts w:ascii="Arial" w:hAnsi="Arial" w:cs="Arial"/>
                <w:i/>
                <w:color w:val="000000"/>
                <w:sz w:val="18"/>
              </w:rPr>
            </w:pPr>
            <w:r w:rsidRPr="0097587B">
              <w:rPr>
                <w:rFonts w:ascii="Arial" w:hAnsi="Arial" w:cs="Arial"/>
                <w:i/>
                <w:color w:val="000000"/>
                <w:sz w:val="18"/>
              </w:rPr>
              <w:t>total</w:t>
            </w:r>
          </w:p>
        </w:tc>
        <w:tc>
          <w:tcPr>
            <w:tcW w:w="0" w:type="auto"/>
            <w:tcBorders>
              <w:top w:val="single" w:sz="4" w:space="0" w:color="auto"/>
              <w:left w:val="single" w:sz="4" w:space="0" w:color="auto"/>
              <w:bottom w:val="single" w:sz="4" w:space="0" w:color="auto"/>
              <w:right w:val="nil"/>
            </w:tcBorders>
            <w:shd w:val="clear" w:color="auto" w:fill="auto"/>
            <w:noWrap/>
            <w:vAlign w:val="center"/>
          </w:tcPr>
          <w:p w14:paraId="2EFF8226" w14:textId="77777777" w:rsidR="009A379F" w:rsidRPr="0097587B" w:rsidRDefault="009A379F" w:rsidP="00861681">
            <w:pPr>
              <w:spacing w:before="0" w:after="0" w:line="360" w:lineRule="auto"/>
              <w:jc w:val="center"/>
              <w:rPr>
                <w:rFonts w:ascii="Arial" w:hAnsi="Arial" w:cs="Arial"/>
                <w:i/>
                <w:color w:val="000000"/>
                <w:sz w:val="18"/>
              </w:rPr>
            </w:pPr>
            <w:r w:rsidRPr="0097587B">
              <w:rPr>
                <w:rFonts w:ascii="Arial" w:hAnsi="Arial" w:cs="Arial"/>
                <w:i/>
                <w:color w:val="000000"/>
                <w:sz w:val="18"/>
              </w:rPr>
              <w:t>68 (20)</w:t>
            </w:r>
          </w:p>
        </w:tc>
        <w:tc>
          <w:tcPr>
            <w:tcW w:w="0" w:type="auto"/>
            <w:tcBorders>
              <w:top w:val="single" w:sz="4" w:space="0" w:color="auto"/>
              <w:left w:val="nil"/>
              <w:bottom w:val="single" w:sz="4" w:space="0" w:color="auto"/>
              <w:right w:val="nil"/>
            </w:tcBorders>
            <w:shd w:val="clear" w:color="auto" w:fill="auto"/>
            <w:noWrap/>
            <w:vAlign w:val="center"/>
          </w:tcPr>
          <w:p w14:paraId="1B30BC6E" w14:textId="77777777" w:rsidR="009A379F" w:rsidRPr="0097587B" w:rsidRDefault="009A379F" w:rsidP="00861681">
            <w:pPr>
              <w:spacing w:before="0" w:after="0" w:line="360" w:lineRule="auto"/>
              <w:jc w:val="center"/>
              <w:rPr>
                <w:rFonts w:ascii="Arial" w:hAnsi="Arial" w:cs="Arial"/>
                <w:i/>
                <w:color w:val="000000"/>
                <w:sz w:val="18"/>
              </w:rPr>
            </w:pPr>
            <w:r w:rsidRPr="0097587B">
              <w:rPr>
                <w:rFonts w:ascii="Arial" w:hAnsi="Arial" w:cs="Arial"/>
                <w:i/>
                <w:color w:val="000000"/>
                <w:sz w:val="18"/>
              </w:rPr>
              <w:t>67 (31)</w:t>
            </w:r>
          </w:p>
        </w:tc>
        <w:tc>
          <w:tcPr>
            <w:tcW w:w="0" w:type="auto"/>
            <w:tcBorders>
              <w:top w:val="single" w:sz="4" w:space="0" w:color="auto"/>
              <w:left w:val="nil"/>
              <w:bottom w:val="single" w:sz="4" w:space="0" w:color="auto"/>
              <w:right w:val="nil"/>
            </w:tcBorders>
            <w:shd w:val="clear" w:color="auto" w:fill="auto"/>
            <w:noWrap/>
            <w:vAlign w:val="center"/>
          </w:tcPr>
          <w:p w14:paraId="37B98C85" w14:textId="77777777" w:rsidR="009A379F" w:rsidRPr="0097587B" w:rsidRDefault="009A379F" w:rsidP="00861681">
            <w:pPr>
              <w:spacing w:before="0" w:after="0" w:line="360" w:lineRule="auto"/>
              <w:jc w:val="center"/>
              <w:rPr>
                <w:rFonts w:ascii="Arial" w:hAnsi="Arial" w:cs="Arial"/>
                <w:i/>
                <w:color w:val="000000"/>
                <w:sz w:val="18"/>
              </w:rPr>
            </w:pPr>
            <w:r w:rsidRPr="0097587B">
              <w:rPr>
                <w:rFonts w:ascii="Arial" w:hAnsi="Arial" w:cs="Arial"/>
                <w:i/>
                <w:color w:val="000000"/>
                <w:sz w:val="18"/>
              </w:rPr>
              <w:t>10 (4)</w:t>
            </w:r>
          </w:p>
        </w:tc>
        <w:tc>
          <w:tcPr>
            <w:tcW w:w="0" w:type="auto"/>
            <w:tcBorders>
              <w:top w:val="single" w:sz="4" w:space="0" w:color="auto"/>
              <w:left w:val="nil"/>
              <w:bottom w:val="single" w:sz="4" w:space="0" w:color="auto"/>
              <w:right w:val="nil"/>
            </w:tcBorders>
            <w:shd w:val="clear" w:color="auto" w:fill="auto"/>
            <w:noWrap/>
            <w:vAlign w:val="center"/>
          </w:tcPr>
          <w:p w14:paraId="6450ABDF" w14:textId="77777777" w:rsidR="009A379F" w:rsidRPr="0097587B" w:rsidRDefault="009A379F" w:rsidP="00861681">
            <w:pPr>
              <w:spacing w:before="0" w:after="0" w:line="360" w:lineRule="auto"/>
              <w:jc w:val="center"/>
              <w:rPr>
                <w:rFonts w:ascii="Arial" w:hAnsi="Arial" w:cs="Arial"/>
                <w:i/>
                <w:color w:val="000000"/>
                <w:sz w:val="18"/>
              </w:rPr>
            </w:pPr>
            <w:r w:rsidRPr="0097587B">
              <w:rPr>
                <w:rFonts w:ascii="Arial" w:hAnsi="Arial" w:cs="Arial"/>
                <w:i/>
                <w:color w:val="000000"/>
                <w:sz w:val="18"/>
              </w:rPr>
              <w:t>9 (9)</w:t>
            </w:r>
          </w:p>
        </w:tc>
      </w:tr>
    </w:tbl>
    <w:p w14:paraId="42839305" w14:textId="77777777" w:rsidR="009A379F" w:rsidRPr="0065493C" w:rsidRDefault="009A379F" w:rsidP="0065493C">
      <w:pPr>
        <w:rPr>
          <w:lang w:val="en-GB" w:eastAsia="en-US"/>
        </w:rPr>
      </w:pPr>
    </w:p>
    <w:p w14:paraId="7F8D7BDC" w14:textId="77777777" w:rsidR="007557A2" w:rsidRDefault="007557A2" w:rsidP="00110A7F">
      <w:pPr>
        <w:pStyle w:val="Caption"/>
      </w:pPr>
      <w:r>
        <w:br w:type="page"/>
      </w:r>
    </w:p>
    <w:p w14:paraId="4CABF544" w14:textId="7A457C49" w:rsidR="00E838DF" w:rsidRDefault="00110A7F" w:rsidP="00110A7F">
      <w:pPr>
        <w:pStyle w:val="Caption"/>
      </w:pPr>
      <w:bookmarkStart w:id="27" w:name="_Toc454304599"/>
      <w:r>
        <w:lastRenderedPageBreak/>
        <w:t xml:space="preserve">Table </w:t>
      </w:r>
      <w:r w:rsidR="00445BD2">
        <w:fldChar w:fldCharType="begin"/>
      </w:r>
      <w:r w:rsidR="00445BD2">
        <w:instrText xml:space="preserve"> STYLEREF 1 \s </w:instrText>
      </w:r>
      <w:r w:rsidR="00445BD2">
        <w:fldChar w:fldCharType="separate"/>
      </w:r>
      <w:r w:rsidR="000E22F3">
        <w:rPr>
          <w:noProof/>
        </w:rPr>
        <w:t>1</w:t>
      </w:r>
      <w:r w:rsidR="00445BD2">
        <w:fldChar w:fldCharType="end"/>
      </w:r>
      <w:r w:rsidR="00445BD2">
        <w:noBreakHyphen/>
      </w:r>
      <w:r w:rsidR="00445BD2">
        <w:fldChar w:fldCharType="begin"/>
      </w:r>
      <w:r w:rsidR="00445BD2">
        <w:instrText xml:space="preserve"> SEQ Table \* ARABIC \s 1 </w:instrText>
      </w:r>
      <w:r w:rsidR="00445BD2">
        <w:fldChar w:fldCharType="separate"/>
      </w:r>
      <w:r w:rsidR="000E22F3">
        <w:rPr>
          <w:noProof/>
        </w:rPr>
        <w:t>2</w:t>
      </w:r>
      <w:r w:rsidR="00445BD2">
        <w:fldChar w:fldCharType="end"/>
      </w:r>
      <w:r>
        <w:t xml:space="preserve">: </w:t>
      </w:r>
      <w:r w:rsidR="00E838DF">
        <w:t xml:space="preserve">List of all parameters collected </w:t>
      </w:r>
      <w:r w:rsidR="007557A2">
        <w:t>in</w:t>
      </w:r>
      <w:r w:rsidR="00E838DF">
        <w:t xml:space="preserve"> the MMP wet season water quality program</w:t>
      </w:r>
      <w:r w:rsidR="00D23397">
        <w:t>.</w:t>
      </w:r>
      <w:bookmarkEnd w:id="27"/>
    </w:p>
    <w:tbl>
      <w:tblPr>
        <w:tblStyle w:val="TableGrid"/>
        <w:tblW w:w="8755" w:type="dxa"/>
        <w:tblLook w:val="04A0" w:firstRow="1" w:lastRow="0" w:firstColumn="1" w:lastColumn="0" w:noHBand="0" w:noVBand="1"/>
        <w:tblCaption w:val="List of all parameters collected in the MMP wet season water quality program."/>
        <w:tblDescription w:val="List of all water quality parameters collected as part of the MMP wet season water quality program."/>
      </w:tblPr>
      <w:tblGrid>
        <w:gridCol w:w="1908"/>
        <w:gridCol w:w="3337"/>
        <w:gridCol w:w="1620"/>
        <w:gridCol w:w="1890"/>
      </w:tblGrid>
      <w:tr w:rsidR="00E838DF" w:rsidRPr="00204978" w14:paraId="34D2A0A6" w14:textId="77777777" w:rsidTr="00B954DC">
        <w:trPr>
          <w:tblHeader/>
        </w:trPr>
        <w:tc>
          <w:tcPr>
            <w:tcW w:w="1908" w:type="dxa"/>
            <w:tcBorders>
              <w:top w:val="single" w:sz="4" w:space="0" w:color="auto"/>
              <w:left w:val="nil"/>
              <w:bottom w:val="single" w:sz="4" w:space="0" w:color="auto"/>
              <w:right w:val="nil"/>
            </w:tcBorders>
          </w:tcPr>
          <w:p w14:paraId="7BED125B" w14:textId="77777777" w:rsidR="00E838DF" w:rsidRPr="00204978" w:rsidRDefault="00E838DF" w:rsidP="00E838DF">
            <w:pPr>
              <w:spacing w:before="0" w:after="0"/>
              <w:rPr>
                <w:rStyle w:val="BookTitle"/>
                <w:rFonts w:asciiTheme="minorHAnsi" w:hAnsiTheme="minorHAnsi"/>
                <w:b/>
              </w:rPr>
            </w:pPr>
            <w:r w:rsidRPr="00204978">
              <w:rPr>
                <w:rStyle w:val="BookTitle"/>
                <w:rFonts w:asciiTheme="minorHAnsi" w:hAnsiTheme="minorHAnsi"/>
                <w:b/>
              </w:rPr>
              <w:t>Condition</w:t>
            </w:r>
          </w:p>
        </w:tc>
        <w:tc>
          <w:tcPr>
            <w:tcW w:w="3337" w:type="dxa"/>
            <w:tcBorders>
              <w:top w:val="single" w:sz="4" w:space="0" w:color="auto"/>
              <w:left w:val="nil"/>
              <w:bottom w:val="single" w:sz="4" w:space="0" w:color="auto"/>
              <w:right w:val="nil"/>
            </w:tcBorders>
          </w:tcPr>
          <w:p w14:paraId="50E63966" w14:textId="77777777" w:rsidR="00E838DF" w:rsidRPr="00204978" w:rsidRDefault="00E838DF" w:rsidP="00E838DF">
            <w:pPr>
              <w:spacing w:before="0" w:after="0"/>
              <w:rPr>
                <w:rStyle w:val="BookTitle"/>
                <w:rFonts w:asciiTheme="minorHAnsi" w:hAnsiTheme="minorHAnsi"/>
                <w:b/>
              </w:rPr>
            </w:pPr>
            <w:r w:rsidRPr="00204978">
              <w:rPr>
                <w:rStyle w:val="BookTitle"/>
                <w:rFonts w:asciiTheme="minorHAnsi" w:hAnsiTheme="minorHAnsi"/>
                <w:b/>
              </w:rPr>
              <w:t>Parameter</w:t>
            </w:r>
          </w:p>
        </w:tc>
        <w:tc>
          <w:tcPr>
            <w:tcW w:w="1620" w:type="dxa"/>
            <w:tcBorders>
              <w:top w:val="single" w:sz="4" w:space="0" w:color="auto"/>
              <w:left w:val="nil"/>
              <w:bottom w:val="single" w:sz="4" w:space="0" w:color="auto"/>
              <w:right w:val="nil"/>
            </w:tcBorders>
          </w:tcPr>
          <w:p w14:paraId="2B34E023" w14:textId="77777777" w:rsidR="00E838DF" w:rsidRPr="00204978" w:rsidRDefault="00E838DF" w:rsidP="00E838DF">
            <w:pPr>
              <w:spacing w:before="0" w:after="0"/>
              <w:rPr>
                <w:rStyle w:val="BookTitle"/>
                <w:rFonts w:asciiTheme="minorHAnsi" w:hAnsiTheme="minorHAnsi"/>
                <w:b/>
              </w:rPr>
            </w:pPr>
            <w:r w:rsidRPr="00204978">
              <w:rPr>
                <w:rStyle w:val="BookTitle"/>
                <w:rFonts w:asciiTheme="minorHAnsi" w:hAnsiTheme="minorHAnsi"/>
                <w:b/>
              </w:rPr>
              <w:t>Terminology</w:t>
            </w:r>
          </w:p>
        </w:tc>
        <w:tc>
          <w:tcPr>
            <w:tcW w:w="1890" w:type="dxa"/>
            <w:tcBorders>
              <w:top w:val="single" w:sz="4" w:space="0" w:color="auto"/>
              <w:left w:val="nil"/>
              <w:bottom w:val="single" w:sz="4" w:space="0" w:color="auto"/>
              <w:right w:val="nil"/>
            </w:tcBorders>
          </w:tcPr>
          <w:p w14:paraId="26876FA4" w14:textId="77777777" w:rsidR="00E838DF" w:rsidRPr="00204978" w:rsidRDefault="00E838DF" w:rsidP="00E838DF">
            <w:pPr>
              <w:spacing w:before="0" w:after="0"/>
              <w:rPr>
                <w:rStyle w:val="BookTitle"/>
                <w:rFonts w:asciiTheme="minorHAnsi" w:hAnsiTheme="minorHAnsi"/>
                <w:b/>
              </w:rPr>
            </w:pPr>
            <w:r w:rsidRPr="00204978">
              <w:rPr>
                <w:rStyle w:val="BookTitle"/>
                <w:rFonts w:asciiTheme="minorHAnsi" w:hAnsiTheme="minorHAnsi"/>
                <w:b/>
              </w:rPr>
              <w:t>Units of Measure</w:t>
            </w:r>
          </w:p>
        </w:tc>
      </w:tr>
      <w:tr w:rsidR="00E838DF" w:rsidRPr="00A7721F" w14:paraId="1421DBBC" w14:textId="77777777" w:rsidTr="00B954DC">
        <w:tc>
          <w:tcPr>
            <w:tcW w:w="1908" w:type="dxa"/>
            <w:tcBorders>
              <w:top w:val="single" w:sz="4" w:space="0" w:color="auto"/>
              <w:left w:val="nil"/>
              <w:bottom w:val="nil"/>
              <w:right w:val="nil"/>
            </w:tcBorders>
          </w:tcPr>
          <w:p w14:paraId="0F69D161" w14:textId="77777777" w:rsidR="00E838DF" w:rsidRPr="00A7721F" w:rsidRDefault="00E838DF" w:rsidP="00E838DF">
            <w:pPr>
              <w:spacing w:before="0" w:after="0"/>
              <w:rPr>
                <w:rStyle w:val="BookTitle"/>
                <w:rFonts w:asciiTheme="minorHAnsi" w:hAnsiTheme="minorHAnsi"/>
              </w:rPr>
            </w:pPr>
            <w:r w:rsidRPr="00A7721F">
              <w:rPr>
                <w:rStyle w:val="BookTitle"/>
                <w:rFonts w:asciiTheme="minorHAnsi" w:hAnsiTheme="minorHAnsi"/>
              </w:rPr>
              <w:t>Physico-chemical</w:t>
            </w:r>
          </w:p>
        </w:tc>
        <w:tc>
          <w:tcPr>
            <w:tcW w:w="3337" w:type="dxa"/>
            <w:tcBorders>
              <w:top w:val="single" w:sz="4" w:space="0" w:color="auto"/>
              <w:left w:val="nil"/>
              <w:bottom w:val="nil"/>
              <w:right w:val="nil"/>
            </w:tcBorders>
          </w:tcPr>
          <w:p w14:paraId="69923E3E" w14:textId="77777777" w:rsidR="00E838DF" w:rsidRPr="00A7721F" w:rsidRDefault="00E838DF" w:rsidP="00E838DF">
            <w:pPr>
              <w:spacing w:before="0" w:after="0"/>
              <w:rPr>
                <w:rStyle w:val="BookTitle"/>
                <w:rFonts w:asciiTheme="minorHAnsi" w:hAnsiTheme="minorHAnsi"/>
              </w:rPr>
            </w:pPr>
            <w:r w:rsidRPr="00A7721F">
              <w:rPr>
                <w:rStyle w:val="BookTitle"/>
                <w:rFonts w:asciiTheme="minorHAnsi" w:hAnsiTheme="minorHAnsi"/>
              </w:rPr>
              <w:t>Salinity</w:t>
            </w:r>
          </w:p>
        </w:tc>
        <w:tc>
          <w:tcPr>
            <w:tcW w:w="1620" w:type="dxa"/>
            <w:tcBorders>
              <w:top w:val="single" w:sz="4" w:space="0" w:color="auto"/>
              <w:left w:val="nil"/>
              <w:bottom w:val="nil"/>
              <w:right w:val="nil"/>
            </w:tcBorders>
          </w:tcPr>
          <w:p w14:paraId="2A6ABFB8" w14:textId="77777777" w:rsidR="00E838DF" w:rsidRPr="00A7721F" w:rsidRDefault="00E838DF" w:rsidP="00E838DF">
            <w:pPr>
              <w:spacing w:before="0" w:after="0"/>
              <w:rPr>
                <w:rStyle w:val="BookTitle"/>
                <w:rFonts w:asciiTheme="minorHAnsi" w:hAnsiTheme="minorHAnsi"/>
              </w:rPr>
            </w:pPr>
            <w:r w:rsidRPr="00A7721F">
              <w:rPr>
                <w:rStyle w:val="BookTitle"/>
                <w:rFonts w:asciiTheme="minorHAnsi" w:hAnsiTheme="minorHAnsi"/>
              </w:rPr>
              <w:t>Salinity</w:t>
            </w:r>
          </w:p>
        </w:tc>
        <w:tc>
          <w:tcPr>
            <w:tcW w:w="1890" w:type="dxa"/>
            <w:tcBorders>
              <w:top w:val="single" w:sz="4" w:space="0" w:color="auto"/>
              <w:left w:val="nil"/>
              <w:bottom w:val="nil"/>
              <w:right w:val="nil"/>
            </w:tcBorders>
          </w:tcPr>
          <w:p w14:paraId="5C49BE99" w14:textId="77777777" w:rsidR="00E838DF" w:rsidRPr="00A7721F" w:rsidRDefault="00D23397" w:rsidP="00E838DF">
            <w:pPr>
              <w:spacing w:before="0" w:after="0"/>
              <w:rPr>
                <w:rStyle w:val="BookTitle"/>
                <w:rFonts w:asciiTheme="minorHAnsi" w:hAnsiTheme="minorHAnsi"/>
              </w:rPr>
            </w:pPr>
            <w:r w:rsidRPr="00A7721F">
              <w:rPr>
                <w:rStyle w:val="BookTitle"/>
                <w:rFonts w:asciiTheme="minorHAnsi" w:hAnsiTheme="minorHAnsi"/>
              </w:rPr>
              <w:t>PSU</w:t>
            </w:r>
          </w:p>
        </w:tc>
      </w:tr>
      <w:tr w:rsidR="00E838DF" w:rsidRPr="00A7721F" w14:paraId="63365D44" w14:textId="77777777" w:rsidTr="00B954DC">
        <w:trPr>
          <w:trHeight w:val="233"/>
        </w:trPr>
        <w:tc>
          <w:tcPr>
            <w:tcW w:w="1908" w:type="dxa"/>
            <w:tcBorders>
              <w:top w:val="nil"/>
              <w:left w:val="nil"/>
              <w:bottom w:val="nil"/>
              <w:right w:val="nil"/>
            </w:tcBorders>
          </w:tcPr>
          <w:p w14:paraId="71F78134" w14:textId="77777777" w:rsidR="00E838DF" w:rsidRPr="00A7721F" w:rsidRDefault="00E838DF" w:rsidP="00E838DF">
            <w:pPr>
              <w:spacing w:before="0" w:after="0"/>
              <w:rPr>
                <w:rStyle w:val="BookTitle"/>
                <w:rFonts w:asciiTheme="minorHAnsi" w:hAnsiTheme="minorHAnsi"/>
              </w:rPr>
            </w:pPr>
          </w:p>
        </w:tc>
        <w:tc>
          <w:tcPr>
            <w:tcW w:w="3337" w:type="dxa"/>
            <w:tcBorders>
              <w:top w:val="nil"/>
              <w:left w:val="nil"/>
              <w:bottom w:val="nil"/>
              <w:right w:val="nil"/>
            </w:tcBorders>
          </w:tcPr>
          <w:p w14:paraId="3F2493CA" w14:textId="77777777" w:rsidR="00E838DF" w:rsidRPr="00A7721F" w:rsidRDefault="00E838DF" w:rsidP="00E838DF">
            <w:pPr>
              <w:spacing w:before="0" w:after="0"/>
              <w:rPr>
                <w:rStyle w:val="BookTitle"/>
                <w:rFonts w:asciiTheme="minorHAnsi" w:hAnsiTheme="minorHAnsi"/>
              </w:rPr>
            </w:pPr>
            <w:r w:rsidRPr="00A7721F">
              <w:rPr>
                <w:rStyle w:val="BookTitle"/>
                <w:rFonts w:asciiTheme="minorHAnsi" w:hAnsiTheme="minorHAnsi"/>
              </w:rPr>
              <w:t>Temperature</w:t>
            </w:r>
          </w:p>
        </w:tc>
        <w:tc>
          <w:tcPr>
            <w:tcW w:w="1620" w:type="dxa"/>
            <w:tcBorders>
              <w:top w:val="nil"/>
              <w:left w:val="nil"/>
              <w:bottom w:val="nil"/>
              <w:right w:val="nil"/>
            </w:tcBorders>
          </w:tcPr>
          <w:p w14:paraId="7946756F" w14:textId="77777777" w:rsidR="00E838DF" w:rsidRPr="00A7721F" w:rsidRDefault="00E838DF" w:rsidP="00E838DF">
            <w:pPr>
              <w:spacing w:before="0" w:after="0"/>
              <w:rPr>
                <w:rStyle w:val="BookTitle"/>
                <w:rFonts w:asciiTheme="minorHAnsi" w:hAnsiTheme="minorHAnsi"/>
              </w:rPr>
            </w:pPr>
            <w:r w:rsidRPr="00A7721F">
              <w:rPr>
                <w:rStyle w:val="BookTitle"/>
                <w:rFonts w:asciiTheme="minorHAnsi" w:hAnsiTheme="minorHAnsi"/>
              </w:rPr>
              <w:t>Temperature</w:t>
            </w:r>
          </w:p>
        </w:tc>
        <w:tc>
          <w:tcPr>
            <w:tcW w:w="1890" w:type="dxa"/>
            <w:tcBorders>
              <w:top w:val="nil"/>
              <w:left w:val="nil"/>
              <w:bottom w:val="nil"/>
              <w:right w:val="nil"/>
            </w:tcBorders>
          </w:tcPr>
          <w:p w14:paraId="1F14275A" w14:textId="77777777" w:rsidR="00E838DF" w:rsidRPr="00A7721F" w:rsidRDefault="00D23397" w:rsidP="00E838DF">
            <w:pPr>
              <w:spacing w:before="0" w:after="0"/>
              <w:rPr>
                <w:rStyle w:val="BookTitle"/>
                <w:rFonts w:asciiTheme="minorHAnsi" w:hAnsiTheme="minorHAnsi"/>
              </w:rPr>
            </w:pPr>
            <w:r w:rsidRPr="00A7721F">
              <w:rPr>
                <w:rStyle w:val="BookTitle"/>
                <w:rFonts w:asciiTheme="minorHAnsi" w:hAnsiTheme="minorHAnsi"/>
              </w:rPr>
              <w:t>Celsius degree</w:t>
            </w:r>
          </w:p>
        </w:tc>
      </w:tr>
      <w:tr w:rsidR="00E838DF" w:rsidRPr="00A7721F" w14:paraId="30B9FE1F" w14:textId="77777777" w:rsidTr="00B954DC">
        <w:tc>
          <w:tcPr>
            <w:tcW w:w="1908" w:type="dxa"/>
            <w:tcBorders>
              <w:top w:val="nil"/>
              <w:left w:val="nil"/>
              <w:bottom w:val="single" w:sz="4" w:space="0" w:color="auto"/>
              <w:right w:val="nil"/>
            </w:tcBorders>
          </w:tcPr>
          <w:p w14:paraId="37A4F509" w14:textId="77777777" w:rsidR="00E838DF" w:rsidRPr="00A7721F" w:rsidRDefault="00E838DF" w:rsidP="00E838DF">
            <w:pPr>
              <w:spacing w:before="0" w:after="0"/>
              <w:rPr>
                <w:rStyle w:val="BookTitle"/>
                <w:rFonts w:asciiTheme="minorHAnsi" w:hAnsiTheme="minorHAnsi"/>
              </w:rPr>
            </w:pPr>
          </w:p>
        </w:tc>
        <w:tc>
          <w:tcPr>
            <w:tcW w:w="3337" w:type="dxa"/>
            <w:tcBorders>
              <w:top w:val="nil"/>
              <w:left w:val="nil"/>
              <w:bottom w:val="single" w:sz="4" w:space="0" w:color="auto"/>
              <w:right w:val="nil"/>
            </w:tcBorders>
          </w:tcPr>
          <w:p w14:paraId="4E59335C" w14:textId="77777777" w:rsidR="00E838DF" w:rsidRPr="00A7721F" w:rsidRDefault="00E838DF" w:rsidP="00E838DF">
            <w:pPr>
              <w:spacing w:before="0" w:after="0"/>
              <w:rPr>
                <w:rStyle w:val="BookTitle"/>
                <w:rFonts w:asciiTheme="minorHAnsi" w:hAnsiTheme="minorHAnsi"/>
              </w:rPr>
            </w:pPr>
            <w:r w:rsidRPr="00A7721F">
              <w:rPr>
                <w:rStyle w:val="BookTitle"/>
                <w:rFonts w:asciiTheme="minorHAnsi" w:hAnsiTheme="minorHAnsi"/>
              </w:rPr>
              <w:t>Dissolved Oxygen</w:t>
            </w:r>
          </w:p>
        </w:tc>
        <w:tc>
          <w:tcPr>
            <w:tcW w:w="1620" w:type="dxa"/>
            <w:tcBorders>
              <w:top w:val="nil"/>
              <w:left w:val="nil"/>
              <w:bottom w:val="single" w:sz="4" w:space="0" w:color="auto"/>
              <w:right w:val="nil"/>
            </w:tcBorders>
          </w:tcPr>
          <w:p w14:paraId="4F142923" w14:textId="77777777" w:rsidR="00E838DF" w:rsidRPr="00A7721F" w:rsidRDefault="00E838DF" w:rsidP="00E838DF">
            <w:pPr>
              <w:spacing w:before="0" w:after="0"/>
              <w:rPr>
                <w:rStyle w:val="BookTitle"/>
                <w:rFonts w:asciiTheme="minorHAnsi" w:hAnsiTheme="minorHAnsi"/>
              </w:rPr>
            </w:pPr>
            <w:r w:rsidRPr="00A7721F">
              <w:rPr>
                <w:rStyle w:val="BookTitle"/>
                <w:rFonts w:asciiTheme="minorHAnsi" w:hAnsiTheme="minorHAnsi"/>
              </w:rPr>
              <w:t>DO</w:t>
            </w:r>
          </w:p>
        </w:tc>
        <w:tc>
          <w:tcPr>
            <w:tcW w:w="1890" w:type="dxa"/>
            <w:tcBorders>
              <w:top w:val="nil"/>
              <w:left w:val="nil"/>
              <w:bottom w:val="single" w:sz="4" w:space="0" w:color="auto"/>
              <w:right w:val="nil"/>
            </w:tcBorders>
          </w:tcPr>
          <w:p w14:paraId="537AFFF3" w14:textId="77777777" w:rsidR="00E838DF" w:rsidRPr="00A7721F" w:rsidRDefault="00D23397" w:rsidP="00E838DF">
            <w:pPr>
              <w:spacing w:before="0" w:after="0"/>
              <w:rPr>
                <w:rStyle w:val="BookTitle"/>
                <w:rFonts w:asciiTheme="minorHAnsi" w:hAnsiTheme="minorHAnsi"/>
              </w:rPr>
            </w:pPr>
            <w:r w:rsidRPr="00A7721F">
              <w:rPr>
                <w:rStyle w:val="BookTitle"/>
                <w:rFonts w:asciiTheme="minorHAnsi" w:hAnsiTheme="minorHAnsi"/>
              </w:rPr>
              <w:t>mg/L</w:t>
            </w:r>
          </w:p>
        </w:tc>
      </w:tr>
      <w:tr w:rsidR="00E838DF" w:rsidRPr="00A7721F" w14:paraId="0637300F" w14:textId="77777777" w:rsidTr="00B954DC">
        <w:tc>
          <w:tcPr>
            <w:tcW w:w="1908" w:type="dxa"/>
            <w:tcBorders>
              <w:top w:val="single" w:sz="4" w:space="0" w:color="auto"/>
              <w:left w:val="nil"/>
              <w:bottom w:val="nil"/>
              <w:right w:val="nil"/>
            </w:tcBorders>
          </w:tcPr>
          <w:p w14:paraId="6A56B3DD" w14:textId="77777777" w:rsidR="00E838DF" w:rsidRPr="00A7721F" w:rsidRDefault="00E838DF" w:rsidP="00E838DF">
            <w:pPr>
              <w:spacing w:before="0" w:after="0"/>
              <w:rPr>
                <w:rStyle w:val="BookTitle"/>
                <w:rFonts w:asciiTheme="minorHAnsi" w:hAnsiTheme="minorHAnsi"/>
              </w:rPr>
            </w:pPr>
            <w:r w:rsidRPr="00A7721F">
              <w:rPr>
                <w:rStyle w:val="BookTitle"/>
                <w:rFonts w:asciiTheme="minorHAnsi" w:hAnsiTheme="minorHAnsi"/>
              </w:rPr>
              <w:t>Turbidity</w:t>
            </w:r>
          </w:p>
        </w:tc>
        <w:tc>
          <w:tcPr>
            <w:tcW w:w="3337" w:type="dxa"/>
            <w:tcBorders>
              <w:top w:val="single" w:sz="4" w:space="0" w:color="auto"/>
              <w:left w:val="nil"/>
              <w:bottom w:val="nil"/>
              <w:right w:val="nil"/>
            </w:tcBorders>
          </w:tcPr>
          <w:p w14:paraId="1B3F25DD" w14:textId="77777777" w:rsidR="00E838DF" w:rsidRPr="00A7721F" w:rsidRDefault="00E838DF" w:rsidP="00E838DF">
            <w:pPr>
              <w:spacing w:before="0" w:after="0"/>
              <w:rPr>
                <w:rStyle w:val="BookTitle"/>
                <w:rFonts w:asciiTheme="minorHAnsi" w:hAnsiTheme="minorHAnsi"/>
              </w:rPr>
            </w:pPr>
            <w:r w:rsidRPr="00A7721F">
              <w:rPr>
                <w:rStyle w:val="BookTitle"/>
                <w:rFonts w:asciiTheme="minorHAnsi" w:hAnsiTheme="minorHAnsi"/>
              </w:rPr>
              <w:t xml:space="preserve">Total Suspended Sediment </w:t>
            </w:r>
          </w:p>
        </w:tc>
        <w:tc>
          <w:tcPr>
            <w:tcW w:w="1620" w:type="dxa"/>
            <w:tcBorders>
              <w:top w:val="single" w:sz="4" w:space="0" w:color="auto"/>
              <w:left w:val="nil"/>
              <w:bottom w:val="nil"/>
              <w:right w:val="nil"/>
            </w:tcBorders>
          </w:tcPr>
          <w:p w14:paraId="609C5D6F" w14:textId="77777777" w:rsidR="00E838DF" w:rsidRPr="00A7721F" w:rsidRDefault="00E838DF" w:rsidP="00E838DF">
            <w:pPr>
              <w:spacing w:before="0" w:after="0"/>
              <w:rPr>
                <w:rStyle w:val="BookTitle"/>
                <w:rFonts w:asciiTheme="minorHAnsi" w:hAnsiTheme="minorHAnsi"/>
              </w:rPr>
            </w:pPr>
            <w:r w:rsidRPr="00A7721F">
              <w:rPr>
                <w:rStyle w:val="BookTitle"/>
                <w:rFonts w:asciiTheme="minorHAnsi" w:hAnsiTheme="minorHAnsi"/>
              </w:rPr>
              <w:t>TSS</w:t>
            </w:r>
          </w:p>
        </w:tc>
        <w:tc>
          <w:tcPr>
            <w:tcW w:w="1890" w:type="dxa"/>
            <w:tcBorders>
              <w:top w:val="single" w:sz="4" w:space="0" w:color="auto"/>
              <w:left w:val="nil"/>
              <w:bottom w:val="nil"/>
              <w:right w:val="nil"/>
            </w:tcBorders>
          </w:tcPr>
          <w:p w14:paraId="69B95678" w14:textId="77777777" w:rsidR="00E838DF" w:rsidRPr="00A7721F" w:rsidRDefault="00E838DF" w:rsidP="00E838DF">
            <w:pPr>
              <w:spacing w:before="0" w:after="0"/>
              <w:rPr>
                <w:rStyle w:val="BookTitle"/>
                <w:rFonts w:asciiTheme="minorHAnsi" w:hAnsiTheme="minorHAnsi"/>
              </w:rPr>
            </w:pPr>
            <w:r w:rsidRPr="00A7721F">
              <w:rPr>
                <w:rStyle w:val="BookTitle"/>
                <w:rFonts w:asciiTheme="minorHAnsi" w:hAnsiTheme="minorHAnsi"/>
              </w:rPr>
              <w:t>mg/L</w:t>
            </w:r>
          </w:p>
        </w:tc>
      </w:tr>
      <w:tr w:rsidR="00E838DF" w:rsidRPr="00A7721F" w14:paraId="7DA84D06" w14:textId="77777777" w:rsidTr="00B954DC">
        <w:tc>
          <w:tcPr>
            <w:tcW w:w="1908" w:type="dxa"/>
            <w:tcBorders>
              <w:top w:val="nil"/>
              <w:left w:val="nil"/>
              <w:bottom w:val="nil"/>
              <w:right w:val="nil"/>
            </w:tcBorders>
          </w:tcPr>
          <w:p w14:paraId="0E3B6999" w14:textId="77777777" w:rsidR="00E838DF" w:rsidRPr="00A7721F" w:rsidRDefault="00E838DF" w:rsidP="00E838DF">
            <w:pPr>
              <w:spacing w:before="0" w:after="0"/>
              <w:rPr>
                <w:rStyle w:val="BookTitle"/>
                <w:rFonts w:asciiTheme="minorHAnsi" w:hAnsiTheme="minorHAnsi"/>
              </w:rPr>
            </w:pPr>
          </w:p>
        </w:tc>
        <w:tc>
          <w:tcPr>
            <w:tcW w:w="3337" w:type="dxa"/>
            <w:tcBorders>
              <w:top w:val="nil"/>
              <w:left w:val="nil"/>
              <w:bottom w:val="nil"/>
              <w:right w:val="nil"/>
            </w:tcBorders>
          </w:tcPr>
          <w:p w14:paraId="184EC443" w14:textId="77777777" w:rsidR="00E838DF" w:rsidRPr="00A7721F" w:rsidRDefault="00E838DF" w:rsidP="00E838DF">
            <w:pPr>
              <w:spacing w:before="0" w:after="0"/>
              <w:rPr>
                <w:rStyle w:val="BookTitle"/>
                <w:rFonts w:asciiTheme="minorHAnsi" w:hAnsiTheme="minorHAnsi"/>
              </w:rPr>
            </w:pPr>
            <w:r w:rsidRPr="00A7721F">
              <w:rPr>
                <w:rStyle w:val="BookTitle"/>
                <w:rFonts w:asciiTheme="minorHAnsi" w:hAnsiTheme="minorHAnsi"/>
              </w:rPr>
              <w:t>Light Attenuation</w:t>
            </w:r>
          </w:p>
        </w:tc>
        <w:tc>
          <w:tcPr>
            <w:tcW w:w="1620" w:type="dxa"/>
            <w:tcBorders>
              <w:top w:val="nil"/>
              <w:left w:val="nil"/>
              <w:bottom w:val="nil"/>
              <w:right w:val="nil"/>
            </w:tcBorders>
          </w:tcPr>
          <w:p w14:paraId="20CC023A" w14:textId="77777777" w:rsidR="00E838DF" w:rsidRPr="00A7721F" w:rsidRDefault="00362A9F" w:rsidP="00E838DF">
            <w:pPr>
              <w:spacing w:before="0" w:after="0"/>
              <w:rPr>
                <w:rStyle w:val="BookTitle"/>
                <w:rFonts w:asciiTheme="minorHAnsi" w:hAnsiTheme="minorHAnsi"/>
              </w:rPr>
            </w:pPr>
            <w:r w:rsidRPr="00A7721F">
              <w:rPr>
                <w:rStyle w:val="BookTitle"/>
                <w:rFonts w:asciiTheme="minorHAnsi" w:hAnsiTheme="minorHAnsi"/>
              </w:rPr>
              <w:t>Kd(PAR)</w:t>
            </w:r>
          </w:p>
        </w:tc>
        <w:tc>
          <w:tcPr>
            <w:tcW w:w="1890" w:type="dxa"/>
            <w:tcBorders>
              <w:top w:val="nil"/>
              <w:left w:val="nil"/>
              <w:bottom w:val="nil"/>
              <w:right w:val="nil"/>
            </w:tcBorders>
          </w:tcPr>
          <w:p w14:paraId="4D7E3446" w14:textId="77777777" w:rsidR="00E838DF" w:rsidRPr="00A7721F" w:rsidRDefault="00E838DF" w:rsidP="00E838DF">
            <w:pPr>
              <w:spacing w:before="0" w:after="0"/>
              <w:rPr>
                <w:rStyle w:val="BookTitle"/>
                <w:rFonts w:asciiTheme="minorHAnsi" w:hAnsiTheme="minorHAnsi"/>
              </w:rPr>
            </w:pPr>
            <w:r w:rsidRPr="00A7721F">
              <w:rPr>
                <w:rStyle w:val="BookTitle"/>
                <w:rFonts w:asciiTheme="minorHAnsi" w:hAnsiTheme="minorHAnsi"/>
              </w:rPr>
              <w:t>m</w:t>
            </w:r>
            <w:r w:rsidRPr="00A7721F">
              <w:rPr>
                <w:rStyle w:val="BookTitle"/>
                <w:rFonts w:asciiTheme="minorHAnsi" w:hAnsiTheme="minorHAnsi"/>
                <w:vertAlign w:val="superscript"/>
              </w:rPr>
              <w:t>-1</w:t>
            </w:r>
          </w:p>
        </w:tc>
      </w:tr>
      <w:tr w:rsidR="00E838DF" w:rsidRPr="00A7721F" w14:paraId="157FC0EA" w14:textId="77777777" w:rsidTr="00B954DC">
        <w:tc>
          <w:tcPr>
            <w:tcW w:w="1908" w:type="dxa"/>
            <w:tcBorders>
              <w:top w:val="nil"/>
              <w:left w:val="nil"/>
              <w:bottom w:val="single" w:sz="4" w:space="0" w:color="auto"/>
              <w:right w:val="nil"/>
            </w:tcBorders>
          </w:tcPr>
          <w:p w14:paraId="3C9FD917" w14:textId="77777777" w:rsidR="00E838DF" w:rsidRPr="00A7721F" w:rsidRDefault="00E838DF" w:rsidP="00E838DF">
            <w:pPr>
              <w:spacing w:before="0" w:after="0"/>
              <w:rPr>
                <w:rStyle w:val="BookTitle"/>
                <w:rFonts w:asciiTheme="minorHAnsi" w:hAnsiTheme="minorHAnsi"/>
              </w:rPr>
            </w:pPr>
          </w:p>
        </w:tc>
        <w:tc>
          <w:tcPr>
            <w:tcW w:w="3337" w:type="dxa"/>
            <w:tcBorders>
              <w:top w:val="nil"/>
              <w:left w:val="nil"/>
              <w:bottom w:val="single" w:sz="4" w:space="0" w:color="auto"/>
              <w:right w:val="nil"/>
            </w:tcBorders>
          </w:tcPr>
          <w:p w14:paraId="5B580F36" w14:textId="77777777" w:rsidR="00E838DF" w:rsidRPr="00A7721F" w:rsidRDefault="00E838DF" w:rsidP="00E838DF">
            <w:pPr>
              <w:spacing w:before="0" w:after="0"/>
              <w:rPr>
                <w:rStyle w:val="BookTitle"/>
                <w:rFonts w:asciiTheme="minorHAnsi" w:hAnsiTheme="minorHAnsi"/>
              </w:rPr>
            </w:pPr>
            <w:r w:rsidRPr="00A7721F">
              <w:rPr>
                <w:rStyle w:val="BookTitle"/>
                <w:rFonts w:asciiTheme="minorHAnsi" w:hAnsiTheme="minorHAnsi"/>
              </w:rPr>
              <w:t>Coloured Dissolved Organic Matter</w:t>
            </w:r>
          </w:p>
        </w:tc>
        <w:tc>
          <w:tcPr>
            <w:tcW w:w="1620" w:type="dxa"/>
            <w:tcBorders>
              <w:top w:val="nil"/>
              <w:left w:val="nil"/>
              <w:bottom w:val="single" w:sz="4" w:space="0" w:color="auto"/>
              <w:right w:val="nil"/>
            </w:tcBorders>
          </w:tcPr>
          <w:p w14:paraId="5C4C6BDF" w14:textId="77777777" w:rsidR="00E838DF" w:rsidRPr="00A7721F" w:rsidRDefault="00E838DF" w:rsidP="00E838DF">
            <w:pPr>
              <w:spacing w:before="0" w:after="0"/>
              <w:rPr>
                <w:rStyle w:val="BookTitle"/>
                <w:rFonts w:asciiTheme="minorHAnsi" w:hAnsiTheme="minorHAnsi"/>
              </w:rPr>
            </w:pPr>
            <w:r w:rsidRPr="00A7721F">
              <w:rPr>
                <w:rStyle w:val="BookTitle"/>
                <w:rFonts w:asciiTheme="minorHAnsi" w:hAnsiTheme="minorHAnsi"/>
              </w:rPr>
              <w:t>CDOM</w:t>
            </w:r>
          </w:p>
        </w:tc>
        <w:tc>
          <w:tcPr>
            <w:tcW w:w="1890" w:type="dxa"/>
            <w:tcBorders>
              <w:top w:val="nil"/>
              <w:left w:val="nil"/>
              <w:bottom w:val="single" w:sz="4" w:space="0" w:color="auto"/>
              <w:right w:val="nil"/>
            </w:tcBorders>
          </w:tcPr>
          <w:p w14:paraId="7AD3415F" w14:textId="77777777" w:rsidR="00E838DF" w:rsidRPr="00A7721F" w:rsidRDefault="00D23397" w:rsidP="00E838DF">
            <w:pPr>
              <w:spacing w:before="0" w:after="0"/>
              <w:rPr>
                <w:rStyle w:val="BookTitle"/>
                <w:rFonts w:asciiTheme="minorHAnsi" w:hAnsiTheme="minorHAnsi"/>
              </w:rPr>
            </w:pPr>
            <w:r w:rsidRPr="00A7721F">
              <w:rPr>
                <w:rStyle w:val="BookTitle"/>
                <w:rFonts w:asciiTheme="minorHAnsi" w:hAnsiTheme="minorHAnsi"/>
              </w:rPr>
              <w:t>m</w:t>
            </w:r>
            <w:r w:rsidR="00E838DF" w:rsidRPr="00A7721F">
              <w:rPr>
                <w:rStyle w:val="BookTitle"/>
                <w:rFonts w:asciiTheme="minorHAnsi" w:hAnsiTheme="minorHAnsi"/>
                <w:vertAlign w:val="superscript"/>
              </w:rPr>
              <w:t>-1</w:t>
            </w:r>
          </w:p>
        </w:tc>
      </w:tr>
      <w:tr w:rsidR="002D69A5" w:rsidRPr="00A7721F" w14:paraId="7DC46563" w14:textId="77777777" w:rsidTr="00B954DC">
        <w:tc>
          <w:tcPr>
            <w:tcW w:w="1908" w:type="dxa"/>
            <w:tcBorders>
              <w:top w:val="single" w:sz="4" w:space="0" w:color="auto"/>
              <w:left w:val="nil"/>
              <w:bottom w:val="nil"/>
              <w:right w:val="nil"/>
            </w:tcBorders>
          </w:tcPr>
          <w:p w14:paraId="61189DF5" w14:textId="77777777" w:rsidR="002D69A5" w:rsidRPr="00A7721F" w:rsidRDefault="002D69A5" w:rsidP="002D69A5">
            <w:pPr>
              <w:spacing w:before="0" w:after="0"/>
              <w:rPr>
                <w:rStyle w:val="BookTitle"/>
                <w:rFonts w:asciiTheme="minorHAnsi" w:hAnsiTheme="minorHAnsi"/>
              </w:rPr>
            </w:pPr>
            <w:r w:rsidRPr="00A7721F">
              <w:rPr>
                <w:rStyle w:val="BookTitle"/>
                <w:rFonts w:asciiTheme="minorHAnsi" w:hAnsiTheme="minorHAnsi"/>
              </w:rPr>
              <w:t>Nutrients</w:t>
            </w:r>
          </w:p>
        </w:tc>
        <w:tc>
          <w:tcPr>
            <w:tcW w:w="3337" w:type="dxa"/>
            <w:tcBorders>
              <w:top w:val="single" w:sz="4" w:space="0" w:color="auto"/>
              <w:left w:val="nil"/>
              <w:bottom w:val="nil"/>
              <w:right w:val="nil"/>
            </w:tcBorders>
          </w:tcPr>
          <w:p w14:paraId="0870AEC0" w14:textId="77777777" w:rsidR="002D69A5" w:rsidRPr="00A7721F" w:rsidRDefault="002D69A5" w:rsidP="002D69A5">
            <w:pPr>
              <w:spacing w:before="0" w:after="0"/>
              <w:rPr>
                <w:rStyle w:val="BookTitle"/>
                <w:rFonts w:asciiTheme="minorHAnsi" w:hAnsiTheme="minorHAnsi"/>
              </w:rPr>
            </w:pPr>
            <w:r w:rsidRPr="00A7721F">
              <w:rPr>
                <w:rStyle w:val="BookTitle"/>
                <w:rFonts w:asciiTheme="minorHAnsi" w:hAnsiTheme="minorHAnsi"/>
              </w:rPr>
              <w:t>Ammonia as N</w:t>
            </w:r>
          </w:p>
        </w:tc>
        <w:tc>
          <w:tcPr>
            <w:tcW w:w="1620" w:type="dxa"/>
            <w:tcBorders>
              <w:top w:val="single" w:sz="4" w:space="0" w:color="auto"/>
              <w:left w:val="nil"/>
              <w:bottom w:val="nil"/>
              <w:right w:val="nil"/>
            </w:tcBorders>
          </w:tcPr>
          <w:p w14:paraId="65ECC10F" w14:textId="77777777" w:rsidR="002D69A5" w:rsidRPr="007A5C85" w:rsidRDefault="002D69A5" w:rsidP="002D69A5">
            <w:pPr>
              <w:spacing w:before="0" w:after="0"/>
              <w:rPr>
                <w:rStyle w:val="BookTitle"/>
                <w:rFonts w:asciiTheme="minorHAnsi" w:hAnsiTheme="minorHAnsi"/>
              </w:rPr>
            </w:pPr>
            <w:r w:rsidRPr="007A5C85">
              <w:rPr>
                <w:rStyle w:val="BookTitle"/>
                <w:rFonts w:asciiTheme="minorHAnsi" w:hAnsiTheme="minorHAnsi"/>
              </w:rPr>
              <w:t>NH</w:t>
            </w:r>
            <w:r w:rsidRPr="002D69A5">
              <w:rPr>
                <w:rStyle w:val="BookTitle"/>
                <w:rFonts w:asciiTheme="minorHAnsi" w:hAnsiTheme="minorHAnsi"/>
                <w:vertAlign w:val="subscript"/>
              </w:rPr>
              <w:t>4</w:t>
            </w:r>
            <w:r w:rsidRPr="002D69A5">
              <w:rPr>
                <w:rStyle w:val="BookTitle"/>
                <w:rFonts w:asciiTheme="minorHAnsi" w:hAnsiTheme="minorHAnsi"/>
                <w:vertAlign w:val="superscript"/>
              </w:rPr>
              <w:t>+</w:t>
            </w:r>
          </w:p>
        </w:tc>
        <w:tc>
          <w:tcPr>
            <w:tcW w:w="1890" w:type="dxa"/>
            <w:tcBorders>
              <w:top w:val="single" w:sz="4" w:space="0" w:color="auto"/>
              <w:left w:val="nil"/>
              <w:bottom w:val="nil"/>
              <w:right w:val="nil"/>
            </w:tcBorders>
          </w:tcPr>
          <w:p w14:paraId="46B736F6" w14:textId="77777777" w:rsidR="002D69A5" w:rsidRPr="00A7721F" w:rsidRDefault="002D69A5" w:rsidP="002D69A5">
            <w:pPr>
              <w:spacing w:before="0" w:after="0"/>
              <w:rPr>
                <w:rStyle w:val="BookTitle"/>
                <w:rFonts w:asciiTheme="minorHAnsi" w:hAnsiTheme="minorHAnsi"/>
              </w:rPr>
            </w:pPr>
            <w:r w:rsidRPr="00A7721F">
              <w:rPr>
                <w:rStyle w:val="BookTitle"/>
                <w:rFonts w:asciiTheme="minorHAnsi" w:hAnsiTheme="minorHAnsi"/>
              </w:rPr>
              <w:t>µM</w:t>
            </w:r>
          </w:p>
        </w:tc>
      </w:tr>
      <w:tr w:rsidR="002D69A5" w:rsidRPr="00A7721F" w14:paraId="64DF4128" w14:textId="77777777" w:rsidTr="00B954DC">
        <w:tc>
          <w:tcPr>
            <w:tcW w:w="1908" w:type="dxa"/>
            <w:tcBorders>
              <w:top w:val="nil"/>
              <w:left w:val="nil"/>
              <w:bottom w:val="nil"/>
              <w:right w:val="nil"/>
            </w:tcBorders>
          </w:tcPr>
          <w:p w14:paraId="727287FD" w14:textId="77777777" w:rsidR="002D69A5" w:rsidRPr="00A7721F" w:rsidRDefault="002D69A5" w:rsidP="002D69A5">
            <w:pPr>
              <w:spacing w:before="0" w:after="0"/>
              <w:rPr>
                <w:rStyle w:val="BookTitle"/>
                <w:rFonts w:asciiTheme="minorHAnsi" w:hAnsiTheme="minorHAnsi"/>
              </w:rPr>
            </w:pPr>
          </w:p>
        </w:tc>
        <w:tc>
          <w:tcPr>
            <w:tcW w:w="3337" w:type="dxa"/>
            <w:tcBorders>
              <w:top w:val="nil"/>
              <w:left w:val="nil"/>
              <w:bottom w:val="nil"/>
              <w:right w:val="nil"/>
            </w:tcBorders>
          </w:tcPr>
          <w:p w14:paraId="2ED7ED06" w14:textId="77777777" w:rsidR="002D69A5" w:rsidRPr="00A7721F" w:rsidRDefault="002D69A5" w:rsidP="002D69A5">
            <w:pPr>
              <w:spacing w:before="0" w:after="0"/>
              <w:rPr>
                <w:rStyle w:val="BookTitle"/>
                <w:rFonts w:asciiTheme="minorHAnsi" w:hAnsiTheme="minorHAnsi"/>
              </w:rPr>
            </w:pPr>
            <w:r w:rsidRPr="00A7721F">
              <w:rPr>
                <w:rStyle w:val="BookTitle"/>
                <w:rFonts w:asciiTheme="minorHAnsi" w:hAnsiTheme="minorHAnsi"/>
              </w:rPr>
              <w:t>Nitrate</w:t>
            </w:r>
          </w:p>
        </w:tc>
        <w:tc>
          <w:tcPr>
            <w:tcW w:w="1620" w:type="dxa"/>
            <w:tcBorders>
              <w:top w:val="nil"/>
              <w:left w:val="nil"/>
              <w:bottom w:val="nil"/>
              <w:right w:val="nil"/>
            </w:tcBorders>
          </w:tcPr>
          <w:p w14:paraId="2CACB940" w14:textId="77777777" w:rsidR="002D69A5" w:rsidRPr="007A5C85" w:rsidRDefault="002D69A5" w:rsidP="002D69A5">
            <w:pPr>
              <w:spacing w:before="0" w:after="0"/>
              <w:rPr>
                <w:rStyle w:val="BookTitle"/>
                <w:rFonts w:asciiTheme="minorHAnsi" w:hAnsiTheme="minorHAnsi"/>
              </w:rPr>
            </w:pPr>
            <w:r w:rsidRPr="007A5C85">
              <w:rPr>
                <w:rStyle w:val="BookTitle"/>
                <w:rFonts w:asciiTheme="minorHAnsi" w:hAnsiTheme="minorHAnsi"/>
              </w:rPr>
              <w:t>N0</w:t>
            </w:r>
            <w:r w:rsidRPr="002D69A5">
              <w:rPr>
                <w:rStyle w:val="BookTitle"/>
                <w:rFonts w:asciiTheme="minorHAnsi" w:hAnsiTheme="minorHAnsi"/>
                <w:vertAlign w:val="subscript"/>
              </w:rPr>
              <w:t>3</w:t>
            </w:r>
            <w:r w:rsidRPr="002D69A5">
              <w:rPr>
                <w:rStyle w:val="BookTitle"/>
                <w:rFonts w:asciiTheme="minorHAnsi" w:hAnsiTheme="minorHAnsi"/>
                <w:vertAlign w:val="superscript"/>
              </w:rPr>
              <w:t>-</w:t>
            </w:r>
          </w:p>
        </w:tc>
        <w:tc>
          <w:tcPr>
            <w:tcW w:w="1890" w:type="dxa"/>
            <w:tcBorders>
              <w:top w:val="nil"/>
              <w:left w:val="nil"/>
              <w:bottom w:val="nil"/>
              <w:right w:val="nil"/>
            </w:tcBorders>
          </w:tcPr>
          <w:p w14:paraId="794B9D52" w14:textId="77777777" w:rsidR="002D69A5" w:rsidRPr="00A7721F" w:rsidRDefault="002D69A5" w:rsidP="002D69A5">
            <w:pPr>
              <w:spacing w:before="0" w:after="0"/>
              <w:rPr>
                <w:rStyle w:val="BookTitle"/>
                <w:rFonts w:asciiTheme="minorHAnsi" w:hAnsiTheme="minorHAnsi"/>
              </w:rPr>
            </w:pPr>
            <w:r w:rsidRPr="00A7721F">
              <w:rPr>
                <w:rStyle w:val="BookTitle"/>
                <w:rFonts w:asciiTheme="minorHAnsi" w:hAnsiTheme="minorHAnsi"/>
              </w:rPr>
              <w:t>µM</w:t>
            </w:r>
          </w:p>
        </w:tc>
      </w:tr>
      <w:tr w:rsidR="002D69A5" w:rsidRPr="00A7721F" w14:paraId="5F40F5F0" w14:textId="77777777" w:rsidTr="00B954DC">
        <w:tc>
          <w:tcPr>
            <w:tcW w:w="1908" w:type="dxa"/>
            <w:tcBorders>
              <w:top w:val="nil"/>
              <w:left w:val="nil"/>
              <w:bottom w:val="nil"/>
              <w:right w:val="nil"/>
            </w:tcBorders>
          </w:tcPr>
          <w:p w14:paraId="63D38ACC" w14:textId="77777777" w:rsidR="002D69A5" w:rsidRPr="00A7721F" w:rsidRDefault="002D69A5" w:rsidP="002D69A5">
            <w:pPr>
              <w:spacing w:before="0" w:after="0"/>
              <w:rPr>
                <w:rStyle w:val="BookTitle"/>
                <w:rFonts w:asciiTheme="minorHAnsi" w:hAnsiTheme="minorHAnsi"/>
              </w:rPr>
            </w:pPr>
          </w:p>
        </w:tc>
        <w:tc>
          <w:tcPr>
            <w:tcW w:w="3337" w:type="dxa"/>
            <w:tcBorders>
              <w:top w:val="nil"/>
              <w:left w:val="nil"/>
              <w:bottom w:val="nil"/>
              <w:right w:val="nil"/>
            </w:tcBorders>
          </w:tcPr>
          <w:p w14:paraId="4580AA32" w14:textId="77777777" w:rsidR="002D69A5" w:rsidRPr="00A7721F" w:rsidRDefault="002D69A5" w:rsidP="002D69A5">
            <w:pPr>
              <w:spacing w:before="0" w:after="0"/>
              <w:rPr>
                <w:rStyle w:val="BookTitle"/>
                <w:rFonts w:asciiTheme="minorHAnsi" w:hAnsiTheme="minorHAnsi"/>
              </w:rPr>
            </w:pPr>
            <w:r w:rsidRPr="00A7721F">
              <w:rPr>
                <w:rStyle w:val="BookTitle"/>
                <w:rFonts w:asciiTheme="minorHAnsi" w:hAnsiTheme="minorHAnsi"/>
              </w:rPr>
              <w:t>Nitrite</w:t>
            </w:r>
          </w:p>
        </w:tc>
        <w:tc>
          <w:tcPr>
            <w:tcW w:w="1620" w:type="dxa"/>
            <w:tcBorders>
              <w:top w:val="nil"/>
              <w:left w:val="nil"/>
              <w:bottom w:val="nil"/>
              <w:right w:val="nil"/>
            </w:tcBorders>
          </w:tcPr>
          <w:p w14:paraId="740E2431" w14:textId="77777777" w:rsidR="002D69A5" w:rsidRPr="007A5C85" w:rsidRDefault="002D69A5" w:rsidP="002D69A5">
            <w:pPr>
              <w:spacing w:before="0" w:after="0"/>
              <w:rPr>
                <w:rStyle w:val="BookTitle"/>
                <w:rFonts w:asciiTheme="minorHAnsi" w:hAnsiTheme="minorHAnsi"/>
              </w:rPr>
            </w:pPr>
            <w:r w:rsidRPr="007A5C85">
              <w:rPr>
                <w:rStyle w:val="BookTitle"/>
                <w:rFonts w:asciiTheme="minorHAnsi" w:hAnsiTheme="minorHAnsi"/>
              </w:rPr>
              <w:t>NO</w:t>
            </w:r>
            <w:r w:rsidRPr="002D69A5">
              <w:rPr>
                <w:rStyle w:val="BookTitle"/>
                <w:rFonts w:asciiTheme="minorHAnsi" w:hAnsiTheme="minorHAnsi"/>
                <w:vertAlign w:val="subscript"/>
              </w:rPr>
              <w:t>2</w:t>
            </w:r>
            <w:r w:rsidRPr="002D69A5">
              <w:rPr>
                <w:rStyle w:val="BookTitle"/>
                <w:rFonts w:asciiTheme="minorHAnsi" w:hAnsiTheme="minorHAnsi"/>
                <w:vertAlign w:val="superscript"/>
              </w:rPr>
              <w:t>-</w:t>
            </w:r>
          </w:p>
        </w:tc>
        <w:tc>
          <w:tcPr>
            <w:tcW w:w="1890" w:type="dxa"/>
            <w:tcBorders>
              <w:top w:val="nil"/>
              <w:left w:val="nil"/>
              <w:bottom w:val="nil"/>
              <w:right w:val="nil"/>
            </w:tcBorders>
          </w:tcPr>
          <w:p w14:paraId="5D8F5872" w14:textId="77777777" w:rsidR="002D69A5" w:rsidRPr="00A7721F" w:rsidRDefault="002D69A5" w:rsidP="002D69A5">
            <w:pPr>
              <w:spacing w:before="0" w:after="0"/>
              <w:rPr>
                <w:rStyle w:val="BookTitle"/>
                <w:rFonts w:asciiTheme="minorHAnsi" w:hAnsiTheme="minorHAnsi"/>
              </w:rPr>
            </w:pPr>
            <w:r w:rsidRPr="00A7721F">
              <w:rPr>
                <w:rStyle w:val="BookTitle"/>
                <w:rFonts w:asciiTheme="minorHAnsi" w:hAnsiTheme="minorHAnsi"/>
              </w:rPr>
              <w:t>µM</w:t>
            </w:r>
          </w:p>
        </w:tc>
      </w:tr>
      <w:tr w:rsidR="00E838DF" w:rsidRPr="00A7721F" w14:paraId="53BF01D8" w14:textId="77777777" w:rsidTr="00B954DC">
        <w:tc>
          <w:tcPr>
            <w:tcW w:w="1908" w:type="dxa"/>
            <w:tcBorders>
              <w:top w:val="nil"/>
              <w:left w:val="nil"/>
              <w:bottom w:val="nil"/>
              <w:right w:val="nil"/>
            </w:tcBorders>
          </w:tcPr>
          <w:p w14:paraId="5A27E0F0" w14:textId="77777777" w:rsidR="00E838DF" w:rsidRPr="00A7721F" w:rsidRDefault="00E838DF" w:rsidP="00E838DF">
            <w:pPr>
              <w:spacing w:before="0" w:after="0"/>
              <w:rPr>
                <w:rStyle w:val="BookTitle"/>
                <w:rFonts w:asciiTheme="minorHAnsi" w:hAnsiTheme="minorHAnsi"/>
              </w:rPr>
            </w:pPr>
          </w:p>
        </w:tc>
        <w:tc>
          <w:tcPr>
            <w:tcW w:w="3337" w:type="dxa"/>
            <w:tcBorders>
              <w:top w:val="nil"/>
              <w:left w:val="nil"/>
              <w:bottom w:val="nil"/>
              <w:right w:val="nil"/>
            </w:tcBorders>
          </w:tcPr>
          <w:p w14:paraId="46ED2E7B" w14:textId="77777777" w:rsidR="00E838DF" w:rsidRPr="00A7721F" w:rsidRDefault="00E838DF" w:rsidP="00E838DF">
            <w:pPr>
              <w:spacing w:before="0" w:after="0"/>
              <w:rPr>
                <w:rStyle w:val="BookTitle"/>
                <w:rFonts w:asciiTheme="minorHAnsi" w:hAnsiTheme="minorHAnsi"/>
              </w:rPr>
            </w:pPr>
            <w:r w:rsidRPr="00A7721F">
              <w:rPr>
                <w:rStyle w:val="BookTitle"/>
                <w:rFonts w:asciiTheme="minorHAnsi" w:hAnsiTheme="minorHAnsi"/>
              </w:rPr>
              <w:t>Dissolved Inorganic Nitrogen</w:t>
            </w:r>
          </w:p>
        </w:tc>
        <w:tc>
          <w:tcPr>
            <w:tcW w:w="1620" w:type="dxa"/>
            <w:tcBorders>
              <w:top w:val="nil"/>
              <w:left w:val="nil"/>
              <w:bottom w:val="nil"/>
              <w:right w:val="nil"/>
            </w:tcBorders>
          </w:tcPr>
          <w:p w14:paraId="141CEF9D" w14:textId="77777777" w:rsidR="00E838DF" w:rsidRPr="00A7721F" w:rsidRDefault="00E838DF" w:rsidP="00E838DF">
            <w:pPr>
              <w:spacing w:before="0" w:after="0"/>
              <w:rPr>
                <w:rStyle w:val="BookTitle"/>
                <w:rFonts w:asciiTheme="minorHAnsi" w:hAnsiTheme="minorHAnsi"/>
              </w:rPr>
            </w:pPr>
            <w:r w:rsidRPr="00A7721F">
              <w:rPr>
                <w:rStyle w:val="BookTitle"/>
                <w:rFonts w:asciiTheme="minorHAnsi" w:hAnsiTheme="minorHAnsi"/>
              </w:rPr>
              <w:t>DIN</w:t>
            </w:r>
          </w:p>
        </w:tc>
        <w:tc>
          <w:tcPr>
            <w:tcW w:w="1890" w:type="dxa"/>
            <w:tcBorders>
              <w:top w:val="nil"/>
              <w:left w:val="nil"/>
              <w:bottom w:val="nil"/>
              <w:right w:val="nil"/>
            </w:tcBorders>
          </w:tcPr>
          <w:p w14:paraId="35212617" w14:textId="77777777" w:rsidR="00E838DF" w:rsidRPr="00A7721F" w:rsidRDefault="00E838DF" w:rsidP="00E838DF">
            <w:pPr>
              <w:spacing w:before="0" w:after="0"/>
              <w:rPr>
                <w:rStyle w:val="BookTitle"/>
                <w:rFonts w:asciiTheme="minorHAnsi" w:hAnsiTheme="minorHAnsi"/>
              </w:rPr>
            </w:pPr>
            <w:r w:rsidRPr="00A7721F">
              <w:rPr>
                <w:rStyle w:val="BookTitle"/>
                <w:rFonts w:asciiTheme="minorHAnsi" w:hAnsiTheme="minorHAnsi"/>
              </w:rPr>
              <w:t>µM</w:t>
            </w:r>
          </w:p>
        </w:tc>
      </w:tr>
      <w:tr w:rsidR="00E838DF" w:rsidRPr="00A7721F" w14:paraId="52ACFCB3" w14:textId="77777777" w:rsidTr="00B954DC">
        <w:tc>
          <w:tcPr>
            <w:tcW w:w="1908" w:type="dxa"/>
            <w:tcBorders>
              <w:top w:val="nil"/>
              <w:left w:val="nil"/>
              <w:bottom w:val="nil"/>
              <w:right w:val="nil"/>
            </w:tcBorders>
          </w:tcPr>
          <w:p w14:paraId="61B68BDD" w14:textId="77777777" w:rsidR="00E838DF" w:rsidRPr="00A7721F" w:rsidRDefault="00E838DF" w:rsidP="00E838DF">
            <w:pPr>
              <w:spacing w:before="0" w:after="0"/>
              <w:rPr>
                <w:rStyle w:val="BookTitle"/>
                <w:rFonts w:asciiTheme="minorHAnsi" w:hAnsiTheme="minorHAnsi"/>
              </w:rPr>
            </w:pPr>
          </w:p>
        </w:tc>
        <w:tc>
          <w:tcPr>
            <w:tcW w:w="3337" w:type="dxa"/>
            <w:tcBorders>
              <w:top w:val="nil"/>
              <w:left w:val="nil"/>
              <w:bottom w:val="nil"/>
              <w:right w:val="nil"/>
            </w:tcBorders>
          </w:tcPr>
          <w:p w14:paraId="332099AB" w14:textId="77777777" w:rsidR="00E838DF" w:rsidRPr="00A7721F" w:rsidRDefault="00E838DF" w:rsidP="00E838DF">
            <w:pPr>
              <w:spacing w:before="0" w:after="0"/>
              <w:rPr>
                <w:rStyle w:val="BookTitle"/>
                <w:rFonts w:asciiTheme="minorHAnsi" w:hAnsiTheme="minorHAnsi"/>
              </w:rPr>
            </w:pPr>
            <w:r w:rsidRPr="00A7721F">
              <w:rPr>
                <w:rStyle w:val="BookTitle"/>
                <w:rFonts w:asciiTheme="minorHAnsi" w:hAnsiTheme="minorHAnsi"/>
              </w:rPr>
              <w:t>Dissolved Inorganic Phosphate</w:t>
            </w:r>
          </w:p>
        </w:tc>
        <w:tc>
          <w:tcPr>
            <w:tcW w:w="1620" w:type="dxa"/>
            <w:tcBorders>
              <w:top w:val="nil"/>
              <w:left w:val="nil"/>
              <w:bottom w:val="nil"/>
              <w:right w:val="nil"/>
            </w:tcBorders>
          </w:tcPr>
          <w:p w14:paraId="04B3FCAE" w14:textId="77777777" w:rsidR="00E838DF" w:rsidRPr="00A7721F" w:rsidRDefault="00E838DF" w:rsidP="00E838DF">
            <w:pPr>
              <w:spacing w:before="0" w:after="0"/>
              <w:rPr>
                <w:rStyle w:val="BookTitle"/>
                <w:rFonts w:asciiTheme="minorHAnsi" w:hAnsiTheme="minorHAnsi"/>
              </w:rPr>
            </w:pPr>
            <w:r w:rsidRPr="00A7721F">
              <w:rPr>
                <w:rStyle w:val="BookTitle"/>
                <w:rFonts w:asciiTheme="minorHAnsi" w:hAnsiTheme="minorHAnsi"/>
              </w:rPr>
              <w:t>DIP</w:t>
            </w:r>
          </w:p>
        </w:tc>
        <w:tc>
          <w:tcPr>
            <w:tcW w:w="1890" w:type="dxa"/>
            <w:tcBorders>
              <w:top w:val="nil"/>
              <w:left w:val="nil"/>
              <w:bottom w:val="nil"/>
              <w:right w:val="nil"/>
            </w:tcBorders>
          </w:tcPr>
          <w:p w14:paraId="07F16499" w14:textId="77777777" w:rsidR="00E838DF" w:rsidRPr="00A7721F" w:rsidRDefault="00E838DF" w:rsidP="00E838DF">
            <w:pPr>
              <w:spacing w:before="0" w:after="0"/>
              <w:rPr>
                <w:rStyle w:val="BookTitle"/>
                <w:rFonts w:asciiTheme="minorHAnsi" w:hAnsiTheme="minorHAnsi"/>
              </w:rPr>
            </w:pPr>
            <w:r w:rsidRPr="00A7721F">
              <w:rPr>
                <w:rStyle w:val="BookTitle"/>
                <w:rFonts w:asciiTheme="minorHAnsi" w:hAnsiTheme="minorHAnsi"/>
              </w:rPr>
              <w:t>µM</w:t>
            </w:r>
          </w:p>
        </w:tc>
      </w:tr>
      <w:tr w:rsidR="008A2945" w:rsidRPr="00A7721F" w14:paraId="2362975A" w14:textId="77777777" w:rsidTr="00B954DC">
        <w:tc>
          <w:tcPr>
            <w:tcW w:w="1908" w:type="dxa"/>
            <w:tcBorders>
              <w:top w:val="nil"/>
              <w:left w:val="nil"/>
              <w:bottom w:val="nil"/>
              <w:right w:val="nil"/>
            </w:tcBorders>
          </w:tcPr>
          <w:p w14:paraId="516744EE" w14:textId="77777777" w:rsidR="008A2945" w:rsidRPr="00A7721F" w:rsidRDefault="008A2945" w:rsidP="00D47A52">
            <w:pPr>
              <w:spacing w:before="0" w:after="0"/>
              <w:rPr>
                <w:rStyle w:val="BookTitle"/>
                <w:rFonts w:asciiTheme="minorHAnsi" w:hAnsiTheme="minorHAnsi"/>
              </w:rPr>
            </w:pPr>
          </w:p>
        </w:tc>
        <w:tc>
          <w:tcPr>
            <w:tcW w:w="3337" w:type="dxa"/>
            <w:tcBorders>
              <w:top w:val="nil"/>
              <w:left w:val="nil"/>
              <w:bottom w:val="nil"/>
              <w:right w:val="nil"/>
            </w:tcBorders>
          </w:tcPr>
          <w:p w14:paraId="01CC3981" w14:textId="77777777" w:rsidR="008A2945" w:rsidRPr="00A7721F" w:rsidRDefault="008A2945" w:rsidP="00D47A52">
            <w:pPr>
              <w:spacing w:before="0" w:after="0"/>
              <w:rPr>
                <w:rStyle w:val="BookTitle"/>
                <w:rFonts w:asciiTheme="minorHAnsi" w:hAnsiTheme="minorHAnsi"/>
              </w:rPr>
            </w:pPr>
            <w:r w:rsidRPr="00A7721F">
              <w:rPr>
                <w:rStyle w:val="BookTitle"/>
                <w:rFonts w:asciiTheme="minorHAnsi" w:hAnsiTheme="minorHAnsi"/>
              </w:rPr>
              <w:t>Particulate Phosphorous</w:t>
            </w:r>
          </w:p>
        </w:tc>
        <w:tc>
          <w:tcPr>
            <w:tcW w:w="1620" w:type="dxa"/>
            <w:tcBorders>
              <w:top w:val="nil"/>
              <w:left w:val="nil"/>
              <w:bottom w:val="nil"/>
              <w:right w:val="nil"/>
            </w:tcBorders>
          </w:tcPr>
          <w:p w14:paraId="12C6B194" w14:textId="77777777" w:rsidR="008A2945" w:rsidRPr="00A7721F" w:rsidRDefault="008A2945" w:rsidP="00D47A52">
            <w:pPr>
              <w:spacing w:before="0" w:after="0"/>
              <w:rPr>
                <w:rStyle w:val="BookTitle"/>
                <w:rFonts w:asciiTheme="minorHAnsi" w:hAnsiTheme="minorHAnsi"/>
              </w:rPr>
            </w:pPr>
            <w:r w:rsidRPr="00A7721F">
              <w:rPr>
                <w:rStyle w:val="BookTitle"/>
                <w:rFonts w:asciiTheme="minorHAnsi" w:hAnsiTheme="minorHAnsi"/>
              </w:rPr>
              <w:t>PP</w:t>
            </w:r>
          </w:p>
        </w:tc>
        <w:tc>
          <w:tcPr>
            <w:tcW w:w="1890" w:type="dxa"/>
            <w:tcBorders>
              <w:top w:val="nil"/>
              <w:left w:val="nil"/>
              <w:bottom w:val="nil"/>
              <w:right w:val="nil"/>
            </w:tcBorders>
          </w:tcPr>
          <w:p w14:paraId="6B973895" w14:textId="77777777" w:rsidR="008A2945" w:rsidRPr="00A7721F" w:rsidRDefault="008A2945" w:rsidP="00D47A52">
            <w:pPr>
              <w:spacing w:before="0" w:after="0"/>
              <w:rPr>
                <w:rStyle w:val="BookTitle"/>
                <w:rFonts w:asciiTheme="minorHAnsi" w:hAnsiTheme="minorHAnsi"/>
              </w:rPr>
            </w:pPr>
            <w:r w:rsidRPr="00A7721F">
              <w:rPr>
                <w:rStyle w:val="BookTitle"/>
                <w:rFonts w:asciiTheme="minorHAnsi" w:hAnsiTheme="minorHAnsi"/>
              </w:rPr>
              <w:t>µM</w:t>
            </w:r>
          </w:p>
        </w:tc>
      </w:tr>
      <w:tr w:rsidR="008A2945" w:rsidRPr="00A7721F" w14:paraId="23D19544" w14:textId="77777777" w:rsidTr="00B954DC">
        <w:tc>
          <w:tcPr>
            <w:tcW w:w="1908" w:type="dxa"/>
            <w:tcBorders>
              <w:top w:val="nil"/>
              <w:left w:val="nil"/>
              <w:bottom w:val="nil"/>
              <w:right w:val="nil"/>
            </w:tcBorders>
          </w:tcPr>
          <w:p w14:paraId="18552ED7" w14:textId="77777777" w:rsidR="008A2945" w:rsidRPr="00A7721F" w:rsidRDefault="008A2945" w:rsidP="00D47A52">
            <w:pPr>
              <w:spacing w:before="0" w:after="0"/>
              <w:rPr>
                <w:rStyle w:val="BookTitle"/>
                <w:rFonts w:asciiTheme="minorHAnsi" w:hAnsiTheme="minorHAnsi"/>
              </w:rPr>
            </w:pPr>
          </w:p>
        </w:tc>
        <w:tc>
          <w:tcPr>
            <w:tcW w:w="3337" w:type="dxa"/>
            <w:tcBorders>
              <w:top w:val="nil"/>
              <w:left w:val="nil"/>
              <w:bottom w:val="nil"/>
              <w:right w:val="nil"/>
            </w:tcBorders>
          </w:tcPr>
          <w:p w14:paraId="16F2AB1A" w14:textId="77777777" w:rsidR="008A2945" w:rsidRPr="00A7721F" w:rsidRDefault="008A2945" w:rsidP="00D47A52">
            <w:pPr>
              <w:spacing w:before="0" w:after="0"/>
              <w:rPr>
                <w:rStyle w:val="BookTitle"/>
                <w:rFonts w:asciiTheme="minorHAnsi" w:hAnsiTheme="minorHAnsi"/>
              </w:rPr>
            </w:pPr>
            <w:r w:rsidRPr="00A7721F">
              <w:rPr>
                <w:rStyle w:val="BookTitle"/>
                <w:rFonts w:asciiTheme="minorHAnsi" w:hAnsiTheme="minorHAnsi"/>
              </w:rPr>
              <w:t>Particulate Nitrogen</w:t>
            </w:r>
          </w:p>
        </w:tc>
        <w:tc>
          <w:tcPr>
            <w:tcW w:w="1620" w:type="dxa"/>
            <w:tcBorders>
              <w:top w:val="nil"/>
              <w:left w:val="nil"/>
              <w:bottom w:val="nil"/>
              <w:right w:val="nil"/>
            </w:tcBorders>
          </w:tcPr>
          <w:p w14:paraId="769AB260" w14:textId="77777777" w:rsidR="008A2945" w:rsidRPr="00A7721F" w:rsidRDefault="008A2945" w:rsidP="00D47A52">
            <w:pPr>
              <w:spacing w:before="0" w:after="0"/>
              <w:rPr>
                <w:rStyle w:val="BookTitle"/>
                <w:rFonts w:asciiTheme="minorHAnsi" w:hAnsiTheme="minorHAnsi"/>
              </w:rPr>
            </w:pPr>
            <w:r w:rsidRPr="00A7721F">
              <w:rPr>
                <w:rStyle w:val="BookTitle"/>
                <w:rFonts w:asciiTheme="minorHAnsi" w:hAnsiTheme="minorHAnsi"/>
              </w:rPr>
              <w:t>PN</w:t>
            </w:r>
          </w:p>
        </w:tc>
        <w:tc>
          <w:tcPr>
            <w:tcW w:w="1890" w:type="dxa"/>
            <w:tcBorders>
              <w:top w:val="nil"/>
              <w:left w:val="nil"/>
              <w:bottom w:val="nil"/>
              <w:right w:val="nil"/>
            </w:tcBorders>
          </w:tcPr>
          <w:p w14:paraId="27B9F3FA" w14:textId="77777777" w:rsidR="008A2945" w:rsidRPr="00A7721F" w:rsidRDefault="008A2945" w:rsidP="00D47A52">
            <w:pPr>
              <w:spacing w:before="0" w:after="0"/>
              <w:rPr>
                <w:rStyle w:val="BookTitle"/>
                <w:rFonts w:asciiTheme="minorHAnsi" w:hAnsiTheme="minorHAnsi"/>
              </w:rPr>
            </w:pPr>
            <w:r w:rsidRPr="00A7721F">
              <w:rPr>
                <w:rStyle w:val="BookTitle"/>
                <w:rFonts w:asciiTheme="minorHAnsi" w:hAnsiTheme="minorHAnsi"/>
              </w:rPr>
              <w:t>µM</w:t>
            </w:r>
          </w:p>
        </w:tc>
      </w:tr>
      <w:tr w:rsidR="008A2945" w:rsidRPr="00A7721F" w14:paraId="62DB1B74" w14:textId="77777777" w:rsidTr="00B954DC">
        <w:tc>
          <w:tcPr>
            <w:tcW w:w="1908" w:type="dxa"/>
            <w:tcBorders>
              <w:top w:val="nil"/>
              <w:left w:val="nil"/>
              <w:bottom w:val="single" w:sz="4" w:space="0" w:color="auto"/>
              <w:right w:val="nil"/>
            </w:tcBorders>
          </w:tcPr>
          <w:p w14:paraId="3A580435" w14:textId="77777777" w:rsidR="008A2945" w:rsidRPr="00A7721F" w:rsidRDefault="008A2945" w:rsidP="00D47A52">
            <w:pPr>
              <w:spacing w:before="0" w:after="0"/>
              <w:rPr>
                <w:rStyle w:val="BookTitle"/>
                <w:rFonts w:asciiTheme="minorHAnsi" w:hAnsiTheme="minorHAnsi"/>
              </w:rPr>
            </w:pPr>
          </w:p>
        </w:tc>
        <w:tc>
          <w:tcPr>
            <w:tcW w:w="3337" w:type="dxa"/>
            <w:tcBorders>
              <w:top w:val="nil"/>
              <w:left w:val="nil"/>
              <w:bottom w:val="single" w:sz="4" w:space="0" w:color="auto"/>
              <w:right w:val="nil"/>
            </w:tcBorders>
          </w:tcPr>
          <w:p w14:paraId="5DA62910" w14:textId="77777777" w:rsidR="008A2945" w:rsidRPr="00A7721F" w:rsidRDefault="008A2945" w:rsidP="00D47A52">
            <w:pPr>
              <w:spacing w:before="0" w:after="0"/>
              <w:rPr>
                <w:rStyle w:val="BookTitle"/>
                <w:rFonts w:asciiTheme="minorHAnsi" w:hAnsiTheme="minorHAnsi"/>
              </w:rPr>
            </w:pPr>
            <w:r w:rsidRPr="00A7721F">
              <w:rPr>
                <w:rStyle w:val="BookTitle"/>
                <w:rFonts w:asciiTheme="minorHAnsi" w:hAnsiTheme="minorHAnsi"/>
              </w:rPr>
              <w:t>Silica</w:t>
            </w:r>
          </w:p>
        </w:tc>
        <w:tc>
          <w:tcPr>
            <w:tcW w:w="1620" w:type="dxa"/>
            <w:tcBorders>
              <w:top w:val="nil"/>
              <w:left w:val="nil"/>
              <w:bottom w:val="single" w:sz="4" w:space="0" w:color="auto"/>
              <w:right w:val="nil"/>
            </w:tcBorders>
          </w:tcPr>
          <w:p w14:paraId="4A823369" w14:textId="77777777" w:rsidR="008A2945" w:rsidRPr="00A7721F" w:rsidRDefault="008A2945" w:rsidP="00D47A52">
            <w:pPr>
              <w:spacing w:before="0" w:after="0"/>
              <w:rPr>
                <w:rStyle w:val="BookTitle"/>
                <w:rFonts w:asciiTheme="minorHAnsi" w:hAnsiTheme="minorHAnsi"/>
              </w:rPr>
            </w:pPr>
            <w:r w:rsidRPr="00A7721F">
              <w:rPr>
                <w:rStyle w:val="BookTitle"/>
                <w:rFonts w:asciiTheme="minorHAnsi" w:hAnsiTheme="minorHAnsi"/>
              </w:rPr>
              <w:t>Si</w:t>
            </w:r>
          </w:p>
        </w:tc>
        <w:tc>
          <w:tcPr>
            <w:tcW w:w="1890" w:type="dxa"/>
            <w:tcBorders>
              <w:top w:val="nil"/>
              <w:left w:val="nil"/>
              <w:bottom w:val="single" w:sz="4" w:space="0" w:color="auto"/>
              <w:right w:val="nil"/>
            </w:tcBorders>
          </w:tcPr>
          <w:p w14:paraId="7FFB32DC" w14:textId="77777777" w:rsidR="008A2945" w:rsidRPr="00A7721F" w:rsidRDefault="008A2945" w:rsidP="00D47A52">
            <w:pPr>
              <w:spacing w:before="0" w:after="0"/>
              <w:rPr>
                <w:rStyle w:val="BookTitle"/>
                <w:rFonts w:asciiTheme="minorHAnsi" w:hAnsiTheme="minorHAnsi"/>
              </w:rPr>
            </w:pPr>
            <w:r w:rsidRPr="00A7721F">
              <w:rPr>
                <w:rStyle w:val="BookTitle"/>
                <w:rFonts w:asciiTheme="minorHAnsi" w:hAnsiTheme="minorHAnsi"/>
              </w:rPr>
              <w:t>µM</w:t>
            </w:r>
          </w:p>
        </w:tc>
      </w:tr>
      <w:tr w:rsidR="00E838DF" w:rsidRPr="00A7721F" w14:paraId="02C15892" w14:textId="77777777" w:rsidTr="00B954DC">
        <w:tc>
          <w:tcPr>
            <w:tcW w:w="1908" w:type="dxa"/>
            <w:tcBorders>
              <w:top w:val="single" w:sz="4" w:space="0" w:color="auto"/>
              <w:left w:val="nil"/>
              <w:bottom w:val="nil"/>
              <w:right w:val="nil"/>
            </w:tcBorders>
          </w:tcPr>
          <w:p w14:paraId="0AB922F6" w14:textId="77777777" w:rsidR="00E838DF" w:rsidRPr="00A7721F" w:rsidRDefault="00E838DF" w:rsidP="00E838DF">
            <w:pPr>
              <w:spacing w:before="0" w:after="0"/>
              <w:rPr>
                <w:rStyle w:val="BookTitle"/>
                <w:rFonts w:asciiTheme="minorHAnsi" w:hAnsiTheme="minorHAnsi"/>
              </w:rPr>
            </w:pPr>
            <w:r w:rsidRPr="00A7721F">
              <w:rPr>
                <w:rStyle w:val="BookTitle"/>
                <w:rFonts w:asciiTheme="minorHAnsi" w:hAnsiTheme="minorHAnsi"/>
              </w:rPr>
              <w:t>Productivity</w:t>
            </w:r>
          </w:p>
        </w:tc>
        <w:tc>
          <w:tcPr>
            <w:tcW w:w="3337" w:type="dxa"/>
            <w:tcBorders>
              <w:top w:val="single" w:sz="4" w:space="0" w:color="auto"/>
              <w:left w:val="nil"/>
              <w:bottom w:val="nil"/>
              <w:right w:val="nil"/>
            </w:tcBorders>
          </w:tcPr>
          <w:p w14:paraId="7B7EE778" w14:textId="77777777" w:rsidR="00E838DF" w:rsidRPr="00A7721F" w:rsidRDefault="00D23397" w:rsidP="00E838DF">
            <w:pPr>
              <w:spacing w:before="0" w:after="0"/>
              <w:rPr>
                <w:rStyle w:val="BookTitle"/>
                <w:rFonts w:asciiTheme="minorHAnsi" w:hAnsiTheme="minorHAnsi"/>
              </w:rPr>
            </w:pPr>
            <w:r w:rsidRPr="00A7721F">
              <w:rPr>
                <w:rStyle w:val="BookTitle"/>
                <w:rFonts w:asciiTheme="minorHAnsi" w:hAnsiTheme="minorHAnsi"/>
              </w:rPr>
              <w:t>Chlorophyll</w:t>
            </w:r>
            <w:r w:rsidR="00E838DF" w:rsidRPr="00A7721F">
              <w:rPr>
                <w:rStyle w:val="BookTitle"/>
                <w:rFonts w:asciiTheme="minorHAnsi" w:hAnsiTheme="minorHAnsi"/>
              </w:rPr>
              <w:t>-a</w:t>
            </w:r>
          </w:p>
        </w:tc>
        <w:tc>
          <w:tcPr>
            <w:tcW w:w="1620" w:type="dxa"/>
            <w:tcBorders>
              <w:top w:val="single" w:sz="4" w:space="0" w:color="auto"/>
              <w:left w:val="nil"/>
              <w:bottom w:val="nil"/>
              <w:right w:val="nil"/>
            </w:tcBorders>
          </w:tcPr>
          <w:p w14:paraId="4E82D7F6" w14:textId="77777777" w:rsidR="00E838DF" w:rsidRPr="00A7721F" w:rsidRDefault="00D23397" w:rsidP="00E838DF">
            <w:pPr>
              <w:spacing w:before="0" w:after="0"/>
              <w:rPr>
                <w:rStyle w:val="BookTitle"/>
                <w:rFonts w:asciiTheme="minorHAnsi" w:hAnsiTheme="minorHAnsi"/>
              </w:rPr>
            </w:pPr>
            <w:r w:rsidRPr="00A7721F">
              <w:rPr>
                <w:rStyle w:val="BookTitle"/>
                <w:rFonts w:asciiTheme="minorHAnsi" w:hAnsiTheme="minorHAnsi"/>
              </w:rPr>
              <w:t>Chl</w:t>
            </w:r>
            <w:r w:rsidR="00E838DF" w:rsidRPr="00A7721F">
              <w:rPr>
                <w:rStyle w:val="BookTitle"/>
                <w:rFonts w:asciiTheme="minorHAnsi" w:hAnsiTheme="minorHAnsi"/>
              </w:rPr>
              <w:t>-a</w:t>
            </w:r>
          </w:p>
        </w:tc>
        <w:tc>
          <w:tcPr>
            <w:tcW w:w="1890" w:type="dxa"/>
            <w:tcBorders>
              <w:top w:val="single" w:sz="4" w:space="0" w:color="auto"/>
              <w:left w:val="nil"/>
              <w:bottom w:val="nil"/>
              <w:right w:val="nil"/>
            </w:tcBorders>
          </w:tcPr>
          <w:p w14:paraId="0CA3CB77" w14:textId="77777777" w:rsidR="00E838DF" w:rsidRPr="00A7721F" w:rsidRDefault="00E838DF" w:rsidP="00E838DF">
            <w:pPr>
              <w:spacing w:before="0" w:after="0"/>
              <w:rPr>
                <w:rStyle w:val="BookTitle"/>
                <w:rFonts w:asciiTheme="minorHAnsi" w:hAnsiTheme="minorHAnsi"/>
              </w:rPr>
            </w:pPr>
            <w:r w:rsidRPr="00A7721F">
              <w:rPr>
                <w:rStyle w:val="BookTitle"/>
                <w:rFonts w:asciiTheme="minorHAnsi" w:hAnsiTheme="minorHAnsi"/>
              </w:rPr>
              <w:t>µg/L</w:t>
            </w:r>
          </w:p>
        </w:tc>
      </w:tr>
      <w:tr w:rsidR="00E838DF" w:rsidRPr="00A7721F" w14:paraId="6D4C0DF4" w14:textId="77777777" w:rsidTr="007557A2">
        <w:tc>
          <w:tcPr>
            <w:tcW w:w="1908" w:type="dxa"/>
            <w:tcBorders>
              <w:top w:val="nil"/>
              <w:left w:val="nil"/>
              <w:bottom w:val="single" w:sz="4" w:space="0" w:color="auto"/>
              <w:right w:val="nil"/>
            </w:tcBorders>
          </w:tcPr>
          <w:p w14:paraId="4E6F7F54" w14:textId="77777777" w:rsidR="00E838DF" w:rsidRPr="00A7721F" w:rsidRDefault="00E838DF" w:rsidP="00E838DF">
            <w:pPr>
              <w:spacing w:before="0" w:after="0"/>
              <w:rPr>
                <w:rStyle w:val="BookTitle"/>
                <w:rFonts w:asciiTheme="minorHAnsi" w:hAnsiTheme="minorHAnsi"/>
              </w:rPr>
            </w:pPr>
          </w:p>
        </w:tc>
        <w:tc>
          <w:tcPr>
            <w:tcW w:w="3337" w:type="dxa"/>
            <w:tcBorders>
              <w:top w:val="nil"/>
              <w:left w:val="nil"/>
              <w:bottom w:val="single" w:sz="4" w:space="0" w:color="auto"/>
              <w:right w:val="nil"/>
            </w:tcBorders>
          </w:tcPr>
          <w:p w14:paraId="26748C64" w14:textId="77777777" w:rsidR="00E838DF" w:rsidRPr="00A7721F" w:rsidRDefault="00E838DF" w:rsidP="00E838DF">
            <w:pPr>
              <w:spacing w:before="0" w:after="0"/>
              <w:rPr>
                <w:rStyle w:val="BookTitle"/>
                <w:rFonts w:asciiTheme="minorHAnsi" w:hAnsiTheme="minorHAnsi"/>
              </w:rPr>
            </w:pPr>
            <w:r w:rsidRPr="00A7721F">
              <w:rPr>
                <w:rStyle w:val="BookTitle"/>
                <w:rFonts w:asciiTheme="minorHAnsi" w:hAnsiTheme="minorHAnsi"/>
              </w:rPr>
              <w:t>Phytoplankton counts</w:t>
            </w:r>
          </w:p>
        </w:tc>
        <w:tc>
          <w:tcPr>
            <w:tcW w:w="1620" w:type="dxa"/>
            <w:tcBorders>
              <w:top w:val="nil"/>
              <w:left w:val="nil"/>
              <w:bottom w:val="single" w:sz="4" w:space="0" w:color="auto"/>
              <w:right w:val="nil"/>
            </w:tcBorders>
          </w:tcPr>
          <w:p w14:paraId="603A9EC2" w14:textId="77777777" w:rsidR="00E838DF" w:rsidRPr="00A7721F" w:rsidRDefault="008A2945" w:rsidP="00E838DF">
            <w:pPr>
              <w:spacing w:before="0" w:after="0"/>
              <w:rPr>
                <w:rStyle w:val="BookTitle"/>
                <w:rFonts w:asciiTheme="minorHAnsi" w:hAnsiTheme="minorHAnsi"/>
              </w:rPr>
            </w:pPr>
            <w:r w:rsidRPr="00A7721F">
              <w:rPr>
                <w:rStyle w:val="BookTitle"/>
                <w:rFonts w:asciiTheme="minorHAnsi" w:hAnsiTheme="minorHAnsi"/>
              </w:rPr>
              <w:t>Phyto</w:t>
            </w:r>
          </w:p>
        </w:tc>
        <w:tc>
          <w:tcPr>
            <w:tcW w:w="1890" w:type="dxa"/>
            <w:tcBorders>
              <w:top w:val="nil"/>
              <w:left w:val="nil"/>
              <w:bottom w:val="single" w:sz="4" w:space="0" w:color="auto"/>
              <w:right w:val="nil"/>
            </w:tcBorders>
          </w:tcPr>
          <w:p w14:paraId="43E96ECA" w14:textId="77777777" w:rsidR="00E838DF" w:rsidRPr="00A7721F" w:rsidRDefault="00E838DF" w:rsidP="00E838DF">
            <w:pPr>
              <w:spacing w:before="0" w:after="0"/>
              <w:rPr>
                <w:rStyle w:val="BookTitle"/>
                <w:rFonts w:asciiTheme="minorHAnsi" w:hAnsiTheme="minorHAnsi"/>
              </w:rPr>
            </w:pPr>
            <w:r w:rsidRPr="00A7721F">
              <w:rPr>
                <w:rStyle w:val="BookTitle"/>
                <w:rFonts w:asciiTheme="minorHAnsi" w:hAnsiTheme="minorHAnsi"/>
              </w:rPr>
              <w:t>Cells/L</w:t>
            </w:r>
          </w:p>
        </w:tc>
      </w:tr>
      <w:tr w:rsidR="00E838DF" w:rsidRPr="00A7721F" w14:paraId="66AC6D0D" w14:textId="77777777" w:rsidTr="007557A2">
        <w:tc>
          <w:tcPr>
            <w:tcW w:w="1908" w:type="dxa"/>
            <w:tcBorders>
              <w:top w:val="single" w:sz="4" w:space="0" w:color="auto"/>
              <w:left w:val="nil"/>
              <w:bottom w:val="single" w:sz="4" w:space="0" w:color="auto"/>
              <w:right w:val="nil"/>
            </w:tcBorders>
          </w:tcPr>
          <w:p w14:paraId="19C029ED" w14:textId="77777777" w:rsidR="00E838DF" w:rsidRPr="00A7721F" w:rsidRDefault="00E838DF" w:rsidP="00E838DF">
            <w:pPr>
              <w:spacing w:before="0" w:after="0"/>
              <w:rPr>
                <w:rStyle w:val="BookTitle"/>
                <w:rFonts w:asciiTheme="minorHAnsi" w:hAnsiTheme="minorHAnsi"/>
              </w:rPr>
            </w:pPr>
            <w:r w:rsidRPr="00A7721F">
              <w:rPr>
                <w:rStyle w:val="BookTitle"/>
                <w:rFonts w:asciiTheme="minorHAnsi" w:hAnsiTheme="minorHAnsi"/>
              </w:rPr>
              <w:t>Pesticides</w:t>
            </w:r>
          </w:p>
        </w:tc>
        <w:tc>
          <w:tcPr>
            <w:tcW w:w="3337" w:type="dxa"/>
            <w:tcBorders>
              <w:top w:val="single" w:sz="4" w:space="0" w:color="auto"/>
              <w:left w:val="nil"/>
              <w:bottom w:val="single" w:sz="4" w:space="0" w:color="auto"/>
              <w:right w:val="nil"/>
            </w:tcBorders>
          </w:tcPr>
          <w:p w14:paraId="7C152C4E" w14:textId="77777777" w:rsidR="00E838DF" w:rsidRPr="00A7721F" w:rsidRDefault="00B954DC" w:rsidP="00E838DF">
            <w:pPr>
              <w:spacing w:before="0" w:after="0"/>
              <w:rPr>
                <w:rStyle w:val="BookTitle"/>
                <w:rFonts w:asciiTheme="minorHAnsi" w:hAnsiTheme="minorHAnsi"/>
              </w:rPr>
            </w:pPr>
            <w:r>
              <w:rPr>
                <w:rStyle w:val="BookTitle"/>
                <w:rFonts w:asciiTheme="minorHAnsi" w:hAnsiTheme="minorHAnsi"/>
              </w:rPr>
              <w:t>P</w:t>
            </w:r>
            <w:r w:rsidR="00E838DF" w:rsidRPr="00A7721F">
              <w:rPr>
                <w:rStyle w:val="BookTitle"/>
                <w:rFonts w:asciiTheme="minorHAnsi" w:hAnsiTheme="minorHAnsi"/>
              </w:rPr>
              <w:t>hotosystem II inhibiting herbicide</w:t>
            </w:r>
          </w:p>
        </w:tc>
        <w:tc>
          <w:tcPr>
            <w:tcW w:w="1620" w:type="dxa"/>
            <w:tcBorders>
              <w:top w:val="single" w:sz="4" w:space="0" w:color="auto"/>
              <w:left w:val="nil"/>
              <w:bottom w:val="single" w:sz="4" w:space="0" w:color="auto"/>
              <w:right w:val="nil"/>
            </w:tcBorders>
          </w:tcPr>
          <w:p w14:paraId="5351A9EA" w14:textId="77777777" w:rsidR="00E838DF" w:rsidRPr="00A7721F" w:rsidRDefault="00E838DF" w:rsidP="00E838DF">
            <w:pPr>
              <w:spacing w:before="0" w:after="0"/>
              <w:rPr>
                <w:rStyle w:val="BookTitle"/>
                <w:rFonts w:asciiTheme="minorHAnsi" w:hAnsiTheme="minorHAnsi"/>
              </w:rPr>
            </w:pPr>
            <w:r w:rsidRPr="00A7721F">
              <w:rPr>
                <w:rStyle w:val="BookTitle"/>
                <w:rFonts w:asciiTheme="minorHAnsi" w:hAnsiTheme="minorHAnsi"/>
              </w:rPr>
              <w:t>PSII herbicides</w:t>
            </w:r>
          </w:p>
        </w:tc>
        <w:tc>
          <w:tcPr>
            <w:tcW w:w="1890" w:type="dxa"/>
            <w:tcBorders>
              <w:top w:val="single" w:sz="4" w:space="0" w:color="auto"/>
              <w:left w:val="nil"/>
              <w:bottom w:val="single" w:sz="4" w:space="0" w:color="auto"/>
              <w:right w:val="nil"/>
            </w:tcBorders>
          </w:tcPr>
          <w:p w14:paraId="7EF06054" w14:textId="77777777" w:rsidR="00E838DF" w:rsidRPr="00A7721F" w:rsidRDefault="00D23397" w:rsidP="00E838DF">
            <w:pPr>
              <w:spacing w:before="0" w:after="0"/>
              <w:rPr>
                <w:rStyle w:val="BookTitle"/>
                <w:rFonts w:asciiTheme="minorHAnsi" w:hAnsiTheme="minorHAnsi"/>
              </w:rPr>
            </w:pPr>
            <w:r w:rsidRPr="00A7721F">
              <w:rPr>
                <w:rStyle w:val="BookTitle"/>
                <w:rFonts w:asciiTheme="minorHAnsi" w:hAnsiTheme="minorHAnsi"/>
              </w:rPr>
              <w:t>ng/L</w:t>
            </w:r>
          </w:p>
        </w:tc>
      </w:tr>
    </w:tbl>
    <w:p w14:paraId="03409E57" w14:textId="574BAB4A" w:rsidR="00CF3853" w:rsidRDefault="00CF3853" w:rsidP="00CF3853">
      <w:pPr>
        <w:rPr>
          <w:lang w:val="en-US"/>
        </w:rPr>
      </w:pPr>
      <w:r w:rsidRPr="00B433B0">
        <w:rPr>
          <w:lang w:val="en-US"/>
        </w:rPr>
        <w:t xml:space="preserve">Using </w:t>
      </w:r>
      <w:r w:rsidR="006B1B41">
        <w:rPr>
          <w:lang w:val="en-US"/>
        </w:rPr>
        <w:t xml:space="preserve">a modified version of </w:t>
      </w:r>
      <w:r w:rsidRPr="00B433B0">
        <w:rPr>
          <w:lang w:val="en-US"/>
        </w:rPr>
        <w:t xml:space="preserve">the </w:t>
      </w:r>
      <w:r w:rsidR="006B1B41">
        <w:rPr>
          <w:lang w:val="en-US"/>
        </w:rPr>
        <w:t xml:space="preserve">dispersion model for end-of-catchment DIN loads </w:t>
      </w:r>
      <w:r w:rsidRPr="00B433B0">
        <w:rPr>
          <w:lang w:val="en-US"/>
        </w:rPr>
        <w:t>(Álvarez-Romero et al</w:t>
      </w:r>
      <w:r w:rsidR="009C3C72">
        <w:rPr>
          <w:lang w:val="en-US"/>
        </w:rPr>
        <w:t>. 2013; da Silva et al., in prep.)</w:t>
      </w:r>
      <w:r w:rsidR="006B1B41">
        <w:rPr>
          <w:lang w:val="en-US"/>
        </w:rPr>
        <w:t xml:space="preserve"> </w:t>
      </w:r>
      <w:r w:rsidR="009C3C72">
        <w:rPr>
          <w:lang w:val="en-US"/>
        </w:rPr>
        <w:t xml:space="preserve">and the </w:t>
      </w:r>
      <w:r w:rsidR="009C3C72" w:rsidRPr="00B433B0">
        <w:rPr>
          <w:lang w:val="en-US"/>
        </w:rPr>
        <w:t xml:space="preserve">sediment load data from Great Barrier Reef Catchment </w:t>
      </w:r>
      <w:r w:rsidR="00203216">
        <w:rPr>
          <w:lang w:val="en-US"/>
        </w:rPr>
        <w:t>L</w:t>
      </w:r>
      <w:r w:rsidR="009C3C72" w:rsidRPr="00B433B0">
        <w:rPr>
          <w:lang w:val="en-US"/>
        </w:rPr>
        <w:t xml:space="preserve">oad </w:t>
      </w:r>
      <w:r w:rsidR="00203216">
        <w:rPr>
          <w:lang w:val="en-US"/>
        </w:rPr>
        <w:t>M</w:t>
      </w:r>
      <w:r w:rsidR="009C3C72" w:rsidRPr="00B433B0">
        <w:rPr>
          <w:lang w:val="en-US"/>
        </w:rPr>
        <w:t xml:space="preserve">onitoring </w:t>
      </w:r>
      <w:r w:rsidR="00203216">
        <w:rPr>
          <w:lang w:val="en-US"/>
        </w:rPr>
        <w:t>P</w:t>
      </w:r>
      <w:r w:rsidR="009C3C72" w:rsidRPr="00B433B0">
        <w:rPr>
          <w:lang w:val="en-US"/>
        </w:rPr>
        <w:t>rogram</w:t>
      </w:r>
      <w:r w:rsidR="009C3C72">
        <w:rPr>
          <w:lang w:val="en-US"/>
        </w:rPr>
        <w:t xml:space="preserve">, </w:t>
      </w:r>
      <w:r w:rsidRPr="00B433B0">
        <w:rPr>
          <w:lang w:val="en-US"/>
        </w:rPr>
        <w:t xml:space="preserve">we </w:t>
      </w:r>
      <w:r w:rsidR="009C3C72">
        <w:rPr>
          <w:lang w:val="en-US"/>
        </w:rPr>
        <w:t>modelled</w:t>
      </w:r>
      <w:r w:rsidRPr="00B433B0">
        <w:rPr>
          <w:lang w:val="en-US"/>
        </w:rPr>
        <w:t xml:space="preserve"> the </w:t>
      </w:r>
      <w:r w:rsidR="009C3C72">
        <w:rPr>
          <w:lang w:val="en-US"/>
        </w:rPr>
        <w:t>dispersion</w:t>
      </w:r>
      <w:r w:rsidRPr="00B433B0">
        <w:rPr>
          <w:lang w:val="en-US"/>
        </w:rPr>
        <w:t xml:space="preserve"> of sediment associated with </w:t>
      </w:r>
      <w:r w:rsidR="009C3C72">
        <w:rPr>
          <w:lang w:val="en-US"/>
        </w:rPr>
        <w:t>the passage of the E</w:t>
      </w:r>
      <w:r w:rsidRPr="00B433B0">
        <w:rPr>
          <w:lang w:val="en-US"/>
        </w:rPr>
        <w:t>x-Tropical Cyclone Ita over a 19</w:t>
      </w:r>
      <w:r w:rsidR="003F74E5">
        <w:rPr>
          <w:lang w:val="en-US"/>
        </w:rPr>
        <w:t>-day</w:t>
      </w:r>
      <w:r w:rsidRPr="00B433B0">
        <w:rPr>
          <w:lang w:val="en-US"/>
        </w:rPr>
        <w:t xml:space="preserve"> period </w:t>
      </w:r>
      <w:r w:rsidR="009C3C72">
        <w:rPr>
          <w:lang w:val="en-US"/>
        </w:rPr>
        <w:t>in April 2014</w:t>
      </w:r>
      <w:r w:rsidR="00204978">
        <w:rPr>
          <w:lang w:val="en-US"/>
        </w:rPr>
        <w:t xml:space="preserve"> to show the extent of influence of the river plume and TSS surface loading</w:t>
      </w:r>
      <w:r w:rsidR="009C3C72">
        <w:rPr>
          <w:lang w:val="en-US"/>
        </w:rPr>
        <w:t>. Sediment dispersion over the GBR and its contribution to each NRM region is presented in Figure 1</w:t>
      </w:r>
      <w:r w:rsidR="00203216">
        <w:rPr>
          <w:lang w:val="en-US"/>
        </w:rPr>
        <w:t>-</w:t>
      </w:r>
      <w:r w:rsidR="009C3C72">
        <w:rPr>
          <w:lang w:val="en-US"/>
        </w:rPr>
        <w:t xml:space="preserve">1 and </w:t>
      </w:r>
      <w:r>
        <w:rPr>
          <w:lang w:val="en-US"/>
        </w:rPr>
        <w:t xml:space="preserve">Table </w:t>
      </w:r>
      <w:r w:rsidR="003A69C4">
        <w:rPr>
          <w:lang w:val="en-US"/>
        </w:rPr>
        <w:t>1</w:t>
      </w:r>
      <w:r w:rsidR="00203216">
        <w:rPr>
          <w:lang w:val="en-US"/>
        </w:rPr>
        <w:t>-</w:t>
      </w:r>
      <w:r w:rsidR="003A69C4">
        <w:rPr>
          <w:lang w:val="en-US"/>
        </w:rPr>
        <w:t>3</w:t>
      </w:r>
      <w:r>
        <w:rPr>
          <w:lang w:val="en-US"/>
        </w:rPr>
        <w:t>,</w:t>
      </w:r>
      <w:r w:rsidR="009C3C72">
        <w:rPr>
          <w:lang w:val="en-US"/>
        </w:rPr>
        <w:t xml:space="preserve"> respectively.</w:t>
      </w:r>
      <w:r w:rsidR="00995C82">
        <w:rPr>
          <w:lang w:val="en-US"/>
        </w:rPr>
        <w:t xml:space="preserve"> This indicates that a large proportion of the load was derived from the Herbert River which is consistent with previous understanding (e.g. Hateley et al. 2014).</w:t>
      </w:r>
    </w:p>
    <w:p w14:paraId="61072BC5" w14:textId="77777777" w:rsidR="009C3C72" w:rsidRPr="00B433B0" w:rsidRDefault="009C3C72" w:rsidP="009C3C72">
      <w:pPr>
        <w:jc w:val="center"/>
        <w:rPr>
          <w:lang w:val="en-US"/>
        </w:rPr>
      </w:pPr>
      <w:r w:rsidRPr="00460824">
        <w:rPr>
          <w:noProof/>
          <w:highlight w:val="yellow"/>
        </w:rPr>
        <w:drawing>
          <wp:inline distT="0" distB="0" distL="0" distR="0" wp14:anchorId="3EAA160A" wp14:editId="5530EC85">
            <wp:extent cx="3484880" cy="3418066"/>
            <wp:effectExtent l="0" t="0" r="1270" b="0"/>
            <wp:docPr id="62" name="Picture 62" descr=" Total suspended solids (TSS) in ton/km2 over the GBR lagoon due to the passage of ex-TC Ita. Contour line indicates TSS equals to 50 ton/km2 (as a point of reference only)." title=" Total suspended solids (TSS) in ton/km2 over the GBR lagoon due to the passage of ex-TC Ita. Contour line indicates TSS equals to 50 ton/km2 (as a point of reference onl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rotWithShape="1">
                    <a:blip r:embed="rId42" cstate="screen">
                      <a:extLst>
                        <a:ext uri="{28A0092B-C50C-407E-A947-70E740481C1C}">
                          <a14:useLocalDpi xmlns:a14="http://schemas.microsoft.com/office/drawing/2010/main"/>
                        </a:ext>
                      </a:extLst>
                    </a:blip>
                    <a:srcRect/>
                    <a:stretch/>
                  </pic:blipFill>
                  <pic:spPr bwMode="auto">
                    <a:xfrm>
                      <a:off x="0" y="0"/>
                      <a:ext cx="3485421" cy="3418597"/>
                    </a:xfrm>
                    <a:prstGeom prst="rect">
                      <a:avLst/>
                    </a:prstGeom>
                    <a:noFill/>
                    <a:ln>
                      <a:noFill/>
                    </a:ln>
                    <a:extLst>
                      <a:ext uri="{53640926-AAD7-44D8-BBD7-CCE9431645EC}">
                        <a14:shadowObscured xmlns:a14="http://schemas.microsoft.com/office/drawing/2010/main"/>
                      </a:ext>
                    </a:extLst>
                  </pic:spPr>
                </pic:pic>
              </a:graphicData>
            </a:graphic>
          </wp:inline>
        </w:drawing>
      </w:r>
    </w:p>
    <w:p w14:paraId="6B271F4D" w14:textId="6E71FD1C" w:rsidR="00CF3853" w:rsidRPr="004C5612" w:rsidRDefault="003A69C4" w:rsidP="004C5612">
      <w:pPr>
        <w:pStyle w:val="Caption"/>
        <w:rPr>
          <w:rStyle w:val="A16"/>
          <w:rFonts w:ascii="Calibri" w:hAnsi="Calibri" w:cs="Times New Roman"/>
          <w:color w:val="17365D" w:themeColor="text2" w:themeShade="BF"/>
          <w:sz w:val="22"/>
          <w:szCs w:val="20"/>
        </w:rPr>
      </w:pPr>
      <w:bookmarkStart w:id="28" w:name="_Toc454303897"/>
      <w:r w:rsidRPr="004C5612">
        <w:t xml:space="preserve">Figure </w:t>
      </w:r>
      <w:r w:rsidR="009F4CB0">
        <w:fldChar w:fldCharType="begin"/>
      </w:r>
      <w:r w:rsidR="009F4CB0">
        <w:instrText xml:space="preserve"> STYLEREF 1 \s </w:instrText>
      </w:r>
      <w:r w:rsidR="009F4CB0">
        <w:fldChar w:fldCharType="separate"/>
      </w:r>
      <w:r w:rsidR="000E22F3">
        <w:rPr>
          <w:noProof/>
        </w:rPr>
        <w:t>1</w:t>
      </w:r>
      <w:r w:rsidR="009F4CB0">
        <w:fldChar w:fldCharType="end"/>
      </w:r>
      <w:r w:rsidR="009F4CB0">
        <w:noBreakHyphen/>
      </w:r>
      <w:r w:rsidR="009F4CB0">
        <w:fldChar w:fldCharType="begin"/>
      </w:r>
      <w:r w:rsidR="009F4CB0">
        <w:instrText xml:space="preserve"> SEQ Figure \* ARABIC \s 1 </w:instrText>
      </w:r>
      <w:r w:rsidR="009F4CB0">
        <w:fldChar w:fldCharType="separate"/>
      </w:r>
      <w:r w:rsidR="000E22F3">
        <w:rPr>
          <w:noProof/>
        </w:rPr>
        <w:t>1</w:t>
      </w:r>
      <w:r w:rsidR="009F4CB0">
        <w:fldChar w:fldCharType="end"/>
      </w:r>
      <w:r w:rsidRPr="004C5612">
        <w:t xml:space="preserve">: </w:t>
      </w:r>
      <w:r w:rsidR="00CF3853" w:rsidRPr="004C5612">
        <w:t>Tota</w:t>
      </w:r>
      <w:r w:rsidR="00460824" w:rsidRPr="004C5612">
        <w:t>l suspended solids (TSS) in ton</w:t>
      </w:r>
      <w:r w:rsidR="00CF3853" w:rsidRPr="004C5612">
        <w:t>/km</w:t>
      </w:r>
      <w:r w:rsidR="00CF3853" w:rsidRPr="00BE394A">
        <w:rPr>
          <w:vertAlign w:val="superscript"/>
        </w:rPr>
        <w:t>2</w:t>
      </w:r>
      <w:r w:rsidR="00CF3853" w:rsidRPr="004C5612">
        <w:t xml:space="preserve"> over the GBR lagoon due to the passage of ex-TC Ita.</w:t>
      </w:r>
      <w:r w:rsidR="00460824" w:rsidRPr="004C5612">
        <w:t xml:space="preserve"> Contour line indicates TSS equals to</w:t>
      </w:r>
      <w:r w:rsidR="00F01B81" w:rsidRPr="004C5612">
        <w:t xml:space="preserve"> </w:t>
      </w:r>
      <w:r w:rsidR="009C3C72" w:rsidRPr="004C5612">
        <w:t>5</w:t>
      </w:r>
      <w:r w:rsidR="00460824" w:rsidRPr="004C5612">
        <w:t>0 ton/km</w:t>
      </w:r>
      <w:r w:rsidR="00460824" w:rsidRPr="004C5612">
        <w:rPr>
          <w:vertAlign w:val="superscript"/>
        </w:rPr>
        <w:t>2</w:t>
      </w:r>
      <w:r w:rsidR="00BE394A">
        <w:t xml:space="preserve"> (as a point of reference only).</w:t>
      </w:r>
      <w:bookmarkEnd w:id="28"/>
    </w:p>
    <w:p w14:paraId="56E8ABAE" w14:textId="44624B97" w:rsidR="003A69C4" w:rsidRPr="00BE394A" w:rsidRDefault="003A69C4" w:rsidP="00BE394A">
      <w:pPr>
        <w:pStyle w:val="Caption"/>
      </w:pPr>
      <w:bookmarkStart w:id="29" w:name="_Toc454304600"/>
      <w:r w:rsidRPr="00BE394A">
        <w:lastRenderedPageBreak/>
        <w:t xml:space="preserve">Table </w:t>
      </w:r>
      <w:r w:rsidR="00445BD2">
        <w:fldChar w:fldCharType="begin"/>
      </w:r>
      <w:r w:rsidR="00445BD2">
        <w:instrText xml:space="preserve"> STYLEREF 1 \s </w:instrText>
      </w:r>
      <w:r w:rsidR="00445BD2">
        <w:fldChar w:fldCharType="separate"/>
      </w:r>
      <w:r w:rsidR="000E22F3">
        <w:rPr>
          <w:noProof/>
        </w:rPr>
        <w:t>1</w:t>
      </w:r>
      <w:r w:rsidR="00445BD2">
        <w:fldChar w:fldCharType="end"/>
      </w:r>
      <w:r w:rsidR="00445BD2">
        <w:noBreakHyphen/>
      </w:r>
      <w:r w:rsidR="00445BD2">
        <w:fldChar w:fldCharType="begin"/>
      </w:r>
      <w:r w:rsidR="00445BD2">
        <w:instrText xml:space="preserve"> SEQ Table \* ARABIC \s 1 </w:instrText>
      </w:r>
      <w:r w:rsidR="00445BD2">
        <w:fldChar w:fldCharType="separate"/>
      </w:r>
      <w:r w:rsidR="000E22F3">
        <w:rPr>
          <w:noProof/>
        </w:rPr>
        <w:t>3</w:t>
      </w:r>
      <w:r w:rsidR="00445BD2">
        <w:fldChar w:fldCharType="end"/>
      </w:r>
      <w:r w:rsidRPr="00BE394A">
        <w:t xml:space="preserve">: </w:t>
      </w:r>
      <w:r w:rsidR="009C3C72" w:rsidRPr="00BE394A">
        <w:t>Total sediment discharged by the major Wet Tropics' rivers due to the 19-day passage of ex-Tropical Cyclone Ita and its mass</w:t>
      </w:r>
      <w:r w:rsidRPr="00BE394A">
        <w:t xml:space="preserve"> contribution to each NRM </w:t>
      </w:r>
      <w:r w:rsidR="009C3C72" w:rsidRPr="00BE394A">
        <w:t>region</w:t>
      </w:r>
      <w:r w:rsidRPr="00BE394A">
        <w:t>.</w:t>
      </w:r>
      <w:bookmarkEnd w:id="29"/>
    </w:p>
    <w:tbl>
      <w:tblPr>
        <w:tblW w:w="0" w:type="auto"/>
        <w:tblInd w:w="93" w:type="dxa"/>
        <w:tblLook w:val="04A0" w:firstRow="1" w:lastRow="0" w:firstColumn="1" w:lastColumn="0" w:noHBand="0" w:noVBand="1"/>
        <w:tblCaption w:val="Total sediment discharged by the major Wet Tropics' rivers due to the 19-day passage of ex-Tropical Cyclone Ita and its mass contribution to each NRM region."/>
        <w:tblDescription w:val="Total sediment discharged by the major Wet Tropics' rivers due to the 19-day passage of ex-Tropical Cyclone Ita and its mass contribution to each NRM region."/>
      </w:tblPr>
      <w:tblGrid>
        <w:gridCol w:w="1924"/>
        <w:gridCol w:w="2360"/>
        <w:gridCol w:w="2148"/>
        <w:gridCol w:w="2495"/>
      </w:tblGrid>
      <w:tr w:rsidR="009C3C72" w:rsidRPr="009C3C72" w14:paraId="4096207C" w14:textId="77777777" w:rsidTr="001C5A3B">
        <w:trPr>
          <w:trHeight w:val="340"/>
        </w:trPr>
        <w:tc>
          <w:tcPr>
            <w:tcW w:w="0" w:type="auto"/>
            <w:tcBorders>
              <w:top w:val="single" w:sz="4" w:space="0" w:color="auto"/>
              <w:left w:val="nil"/>
              <w:bottom w:val="single" w:sz="4" w:space="0" w:color="auto"/>
              <w:right w:val="nil"/>
            </w:tcBorders>
            <w:shd w:val="clear" w:color="auto" w:fill="auto"/>
            <w:vAlign w:val="center"/>
            <w:hideMark/>
          </w:tcPr>
          <w:p w14:paraId="370F22D4" w14:textId="77777777" w:rsidR="009C3C72" w:rsidRPr="009C3C72" w:rsidRDefault="009C3C72" w:rsidP="009C3C72">
            <w:pPr>
              <w:spacing w:before="0" w:after="0"/>
              <w:jc w:val="center"/>
              <w:rPr>
                <w:rFonts w:ascii="Calibri" w:hAnsi="Calibri" w:cs="Times New Roman"/>
                <w:b/>
                <w:color w:val="000000"/>
              </w:rPr>
            </w:pPr>
            <w:r w:rsidRPr="009C3C72">
              <w:rPr>
                <w:rFonts w:ascii="Calibri" w:hAnsi="Calibri" w:cs="Times New Roman"/>
                <w:b/>
                <w:color w:val="000000"/>
              </w:rPr>
              <w:t xml:space="preserve">Wet Tropics' </w:t>
            </w:r>
            <w:r w:rsidRPr="001C5A3B">
              <w:rPr>
                <w:rFonts w:ascii="Calibri" w:hAnsi="Calibri" w:cs="Times New Roman"/>
                <w:b/>
                <w:color w:val="000000"/>
              </w:rPr>
              <w:t>r</w:t>
            </w:r>
            <w:r w:rsidRPr="009C3C72">
              <w:rPr>
                <w:rFonts w:ascii="Calibri" w:hAnsi="Calibri" w:cs="Times New Roman"/>
                <w:b/>
                <w:color w:val="000000"/>
              </w:rPr>
              <w:t>ivers</w:t>
            </w:r>
          </w:p>
        </w:tc>
        <w:tc>
          <w:tcPr>
            <w:tcW w:w="0" w:type="auto"/>
            <w:tcBorders>
              <w:top w:val="single" w:sz="4" w:space="0" w:color="auto"/>
              <w:left w:val="nil"/>
              <w:bottom w:val="single" w:sz="4" w:space="0" w:color="auto"/>
              <w:right w:val="nil"/>
            </w:tcBorders>
            <w:shd w:val="clear" w:color="auto" w:fill="auto"/>
            <w:vAlign w:val="center"/>
            <w:hideMark/>
          </w:tcPr>
          <w:p w14:paraId="5AB7F914" w14:textId="3DD06563" w:rsidR="009C3C72" w:rsidRPr="009C3C72" w:rsidRDefault="00203216" w:rsidP="009C3C72">
            <w:pPr>
              <w:spacing w:before="0" w:after="0"/>
              <w:jc w:val="center"/>
              <w:rPr>
                <w:rFonts w:ascii="Calibri" w:hAnsi="Calibri" w:cs="Times New Roman"/>
                <w:b/>
                <w:color w:val="000000"/>
              </w:rPr>
            </w:pPr>
            <w:r>
              <w:rPr>
                <w:rFonts w:ascii="Calibri" w:hAnsi="Calibri" w:cs="Times New Roman"/>
                <w:b/>
                <w:color w:val="000000"/>
              </w:rPr>
              <w:t xml:space="preserve">Sediment sourced </w:t>
            </w:r>
            <w:r w:rsidR="009C3C72" w:rsidRPr="009C3C72">
              <w:rPr>
                <w:rFonts w:ascii="Calibri" w:hAnsi="Calibri" w:cs="Times New Roman"/>
                <w:b/>
                <w:color w:val="000000"/>
              </w:rPr>
              <w:t>(ton)</w:t>
            </w:r>
          </w:p>
        </w:tc>
        <w:tc>
          <w:tcPr>
            <w:tcW w:w="0" w:type="auto"/>
            <w:tcBorders>
              <w:top w:val="single" w:sz="4" w:space="0" w:color="auto"/>
              <w:left w:val="nil"/>
              <w:bottom w:val="single" w:sz="4" w:space="0" w:color="auto"/>
              <w:right w:val="nil"/>
            </w:tcBorders>
            <w:shd w:val="clear" w:color="auto" w:fill="auto"/>
            <w:vAlign w:val="center"/>
            <w:hideMark/>
          </w:tcPr>
          <w:p w14:paraId="5EDB5AD7" w14:textId="77777777" w:rsidR="009C3C72" w:rsidRPr="009C3C72" w:rsidRDefault="009C3C72" w:rsidP="009C3C72">
            <w:pPr>
              <w:spacing w:before="0" w:after="0"/>
              <w:jc w:val="center"/>
              <w:rPr>
                <w:rFonts w:ascii="Calibri" w:hAnsi="Calibri" w:cs="Times New Roman"/>
                <w:b/>
                <w:color w:val="000000"/>
              </w:rPr>
            </w:pPr>
            <w:r w:rsidRPr="009C3C72">
              <w:rPr>
                <w:rFonts w:ascii="Calibri" w:hAnsi="Calibri" w:cs="Times New Roman"/>
                <w:b/>
                <w:color w:val="000000"/>
                <w:lang w:val="en-US"/>
              </w:rPr>
              <w:t>NRM regions</w:t>
            </w:r>
          </w:p>
        </w:tc>
        <w:tc>
          <w:tcPr>
            <w:tcW w:w="0" w:type="auto"/>
            <w:tcBorders>
              <w:top w:val="single" w:sz="4" w:space="0" w:color="auto"/>
              <w:left w:val="nil"/>
              <w:bottom w:val="single" w:sz="4" w:space="0" w:color="auto"/>
              <w:right w:val="nil"/>
            </w:tcBorders>
            <w:shd w:val="clear" w:color="auto" w:fill="auto"/>
            <w:vAlign w:val="center"/>
            <w:hideMark/>
          </w:tcPr>
          <w:p w14:paraId="2038DD7F" w14:textId="1AFFA482" w:rsidR="009C3C72" w:rsidRPr="009C3C72" w:rsidRDefault="009C3C72" w:rsidP="00203216">
            <w:pPr>
              <w:spacing w:before="0" w:after="0"/>
              <w:jc w:val="center"/>
              <w:rPr>
                <w:rFonts w:ascii="Calibri" w:hAnsi="Calibri" w:cs="Times New Roman"/>
                <w:b/>
                <w:color w:val="000000"/>
              </w:rPr>
            </w:pPr>
            <w:r w:rsidRPr="009C3C72">
              <w:rPr>
                <w:rFonts w:ascii="Calibri" w:hAnsi="Calibri" w:cs="Times New Roman"/>
                <w:b/>
                <w:color w:val="000000"/>
                <w:lang w:val="en-US"/>
              </w:rPr>
              <w:t xml:space="preserve">Sediment </w:t>
            </w:r>
            <w:r w:rsidR="00203216">
              <w:rPr>
                <w:rFonts w:ascii="Calibri" w:hAnsi="Calibri" w:cs="Times New Roman"/>
                <w:b/>
                <w:color w:val="000000"/>
                <w:lang w:val="en-US"/>
              </w:rPr>
              <w:t>delivered</w:t>
            </w:r>
            <w:r w:rsidRPr="009C3C72">
              <w:rPr>
                <w:rFonts w:ascii="Calibri" w:hAnsi="Calibri" w:cs="Times New Roman"/>
                <w:b/>
                <w:color w:val="000000"/>
                <w:lang w:val="en-US"/>
              </w:rPr>
              <w:t xml:space="preserve"> (ton)</w:t>
            </w:r>
          </w:p>
        </w:tc>
      </w:tr>
      <w:tr w:rsidR="009C3C72" w:rsidRPr="009C3C72" w14:paraId="07F0BF8D" w14:textId="77777777" w:rsidTr="001C5A3B">
        <w:trPr>
          <w:trHeight w:val="170"/>
        </w:trPr>
        <w:tc>
          <w:tcPr>
            <w:tcW w:w="0" w:type="auto"/>
            <w:tcBorders>
              <w:top w:val="nil"/>
              <w:left w:val="nil"/>
              <w:bottom w:val="nil"/>
              <w:right w:val="nil"/>
            </w:tcBorders>
            <w:shd w:val="clear" w:color="auto" w:fill="auto"/>
            <w:noWrap/>
            <w:vAlign w:val="bottom"/>
            <w:hideMark/>
          </w:tcPr>
          <w:p w14:paraId="5A691C99" w14:textId="77777777" w:rsidR="009C3C72" w:rsidRPr="009C3C72" w:rsidRDefault="009C3C72" w:rsidP="009C3C72">
            <w:pPr>
              <w:spacing w:before="0" w:after="0"/>
              <w:jc w:val="left"/>
              <w:rPr>
                <w:rFonts w:ascii="Calibri" w:hAnsi="Calibri" w:cs="Times New Roman"/>
                <w:color w:val="000000"/>
              </w:rPr>
            </w:pPr>
          </w:p>
        </w:tc>
        <w:tc>
          <w:tcPr>
            <w:tcW w:w="0" w:type="auto"/>
            <w:tcBorders>
              <w:top w:val="nil"/>
              <w:left w:val="nil"/>
              <w:bottom w:val="nil"/>
              <w:right w:val="nil"/>
            </w:tcBorders>
            <w:shd w:val="clear" w:color="auto" w:fill="auto"/>
            <w:noWrap/>
            <w:vAlign w:val="bottom"/>
            <w:hideMark/>
          </w:tcPr>
          <w:p w14:paraId="0D7AF479" w14:textId="77777777" w:rsidR="009C3C72" w:rsidRPr="009C3C72" w:rsidRDefault="009C3C72" w:rsidP="009C3C72">
            <w:pPr>
              <w:spacing w:before="0" w:after="0"/>
              <w:jc w:val="left"/>
              <w:rPr>
                <w:rFonts w:ascii="Calibri" w:hAnsi="Calibri" w:cs="Times New Roman"/>
                <w:color w:val="000000"/>
              </w:rPr>
            </w:pPr>
          </w:p>
        </w:tc>
        <w:tc>
          <w:tcPr>
            <w:tcW w:w="0" w:type="auto"/>
            <w:tcBorders>
              <w:top w:val="nil"/>
              <w:left w:val="nil"/>
              <w:bottom w:val="nil"/>
              <w:right w:val="nil"/>
            </w:tcBorders>
            <w:shd w:val="clear" w:color="auto" w:fill="auto"/>
            <w:noWrap/>
            <w:vAlign w:val="bottom"/>
            <w:hideMark/>
          </w:tcPr>
          <w:p w14:paraId="41018619" w14:textId="77777777" w:rsidR="009C3C72" w:rsidRPr="009C3C72" w:rsidRDefault="009C3C72" w:rsidP="009C3C72">
            <w:pPr>
              <w:spacing w:before="0" w:after="0"/>
              <w:jc w:val="left"/>
              <w:rPr>
                <w:rFonts w:ascii="Calibri" w:hAnsi="Calibri" w:cs="Times New Roman"/>
                <w:color w:val="000000"/>
              </w:rPr>
            </w:pPr>
          </w:p>
        </w:tc>
        <w:tc>
          <w:tcPr>
            <w:tcW w:w="0" w:type="auto"/>
            <w:tcBorders>
              <w:top w:val="nil"/>
              <w:left w:val="nil"/>
              <w:bottom w:val="nil"/>
              <w:right w:val="nil"/>
            </w:tcBorders>
            <w:shd w:val="clear" w:color="auto" w:fill="auto"/>
            <w:noWrap/>
            <w:vAlign w:val="bottom"/>
            <w:hideMark/>
          </w:tcPr>
          <w:p w14:paraId="72823323" w14:textId="77777777" w:rsidR="009C3C72" w:rsidRPr="009C3C72" w:rsidRDefault="009C3C72" w:rsidP="009C3C72">
            <w:pPr>
              <w:spacing w:before="0" w:after="0"/>
              <w:jc w:val="left"/>
              <w:rPr>
                <w:rFonts w:ascii="Calibri" w:hAnsi="Calibri" w:cs="Times New Roman"/>
                <w:color w:val="000000"/>
              </w:rPr>
            </w:pPr>
          </w:p>
        </w:tc>
      </w:tr>
      <w:tr w:rsidR="009C3C72" w:rsidRPr="009C3C72" w14:paraId="3CA61B20" w14:textId="77777777" w:rsidTr="001C5A3B">
        <w:trPr>
          <w:trHeight w:val="170"/>
        </w:trPr>
        <w:tc>
          <w:tcPr>
            <w:tcW w:w="0" w:type="auto"/>
            <w:tcBorders>
              <w:top w:val="single" w:sz="4" w:space="0" w:color="auto"/>
              <w:left w:val="single" w:sz="4" w:space="0" w:color="auto"/>
              <w:bottom w:val="nil"/>
              <w:right w:val="nil"/>
            </w:tcBorders>
            <w:shd w:val="clear" w:color="000000" w:fill="F2F2F2"/>
            <w:noWrap/>
            <w:vAlign w:val="bottom"/>
            <w:hideMark/>
          </w:tcPr>
          <w:p w14:paraId="39F14530" w14:textId="77777777" w:rsidR="009C3C72" w:rsidRPr="009C3C72" w:rsidRDefault="009C3C72" w:rsidP="009C3C72">
            <w:pPr>
              <w:spacing w:before="0" w:after="0"/>
              <w:jc w:val="left"/>
              <w:rPr>
                <w:rFonts w:ascii="Calibri" w:hAnsi="Calibri" w:cs="Times New Roman"/>
                <w:color w:val="000000"/>
              </w:rPr>
            </w:pPr>
            <w:r w:rsidRPr="009C3C72">
              <w:rPr>
                <w:rFonts w:ascii="Calibri" w:hAnsi="Calibri" w:cs="Times New Roman"/>
                <w:color w:val="000000"/>
              </w:rPr>
              <w:t>Barron</w:t>
            </w:r>
          </w:p>
        </w:tc>
        <w:tc>
          <w:tcPr>
            <w:tcW w:w="0" w:type="auto"/>
            <w:tcBorders>
              <w:top w:val="single" w:sz="4" w:space="0" w:color="auto"/>
              <w:left w:val="nil"/>
              <w:bottom w:val="nil"/>
              <w:right w:val="single" w:sz="4" w:space="0" w:color="auto"/>
            </w:tcBorders>
            <w:shd w:val="clear" w:color="000000" w:fill="F2F2F2"/>
            <w:noWrap/>
            <w:vAlign w:val="bottom"/>
            <w:hideMark/>
          </w:tcPr>
          <w:p w14:paraId="77F8086B" w14:textId="77777777" w:rsidR="009C3C72" w:rsidRPr="009C3C72" w:rsidRDefault="009C3C72" w:rsidP="009C3C72">
            <w:pPr>
              <w:spacing w:before="0" w:after="0"/>
              <w:jc w:val="left"/>
              <w:rPr>
                <w:rFonts w:ascii="Calibri" w:hAnsi="Calibri" w:cs="Times New Roman"/>
                <w:color w:val="000000"/>
              </w:rPr>
            </w:pPr>
            <w:r w:rsidRPr="009C3C72">
              <w:rPr>
                <w:rFonts w:ascii="Calibri" w:hAnsi="Calibri" w:cs="Times New Roman"/>
                <w:color w:val="000000"/>
              </w:rPr>
              <w:t xml:space="preserve">            47,000 </w:t>
            </w:r>
          </w:p>
        </w:tc>
        <w:tc>
          <w:tcPr>
            <w:tcW w:w="0" w:type="auto"/>
            <w:tcBorders>
              <w:top w:val="nil"/>
              <w:left w:val="nil"/>
              <w:bottom w:val="nil"/>
              <w:right w:val="nil"/>
            </w:tcBorders>
            <w:shd w:val="clear" w:color="auto" w:fill="auto"/>
            <w:noWrap/>
            <w:vAlign w:val="center"/>
            <w:hideMark/>
          </w:tcPr>
          <w:p w14:paraId="0167E3BE" w14:textId="77777777" w:rsidR="009C3C72" w:rsidRPr="009C3C72" w:rsidRDefault="009C3C72" w:rsidP="009C3C72">
            <w:pPr>
              <w:spacing w:before="0" w:after="0"/>
              <w:jc w:val="center"/>
              <w:rPr>
                <w:rFonts w:ascii="Calibri" w:hAnsi="Calibri" w:cs="Times New Roman"/>
                <w:color w:val="000000"/>
              </w:rPr>
            </w:pPr>
            <w:r w:rsidRPr="009C3C72">
              <w:rPr>
                <w:rFonts w:ascii="Calibri" w:hAnsi="Calibri" w:cs="Times New Roman"/>
                <w:color w:val="000000"/>
                <w:lang w:val="en-US"/>
              </w:rPr>
              <w:t>Cape York</w:t>
            </w:r>
          </w:p>
        </w:tc>
        <w:tc>
          <w:tcPr>
            <w:tcW w:w="0" w:type="auto"/>
            <w:tcBorders>
              <w:top w:val="nil"/>
              <w:left w:val="nil"/>
              <w:bottom w:val="nil"/>
              <w:right w:val="nil"/>
            </w:tcBorders>
            <w:shd w:val="clear" w:color="auto" w:fill="auto"/>
            <w:noWrap/>
            <w:vAlign w:val="center"/>
            <w:hideMark/>
          </w:tcPr>
          <w:p w14:paraId="09988EAC" w14:textId="77777777" w:rsidR="009C3C72" w:rsidRPr="009C3C72" w:rsidRDefault="009C3C72" w:rsidP="009C3C72">
            <w:pPr>
              <w:spacing w:before="0" w:after="0"/>
              <w:rPr>
                <w:rFonts w:ascii="Calibri" w:hAnsi="Calibri" w:cs="Times New Roman"/>
                <w:color w:val="000000"/>
              </w:rPr>
            </w:pPr>
            <w:r w:rsidRPr="009C3C72">
              <w:rPr>
                <w:rFonts w:ascii="Calibri" w:hAnsi="Calibri" w:cs="Times New Roman"/>
                <w:color w:val="000000"/>
                <w:lang w:val="en-US"/>
              </w:rPr>
              <w:t xml:space="preserve">                 -   </w:t>
            </w:r>
          </w:p>
        </w:tc>
      </w:tr>
      <w:tr w:rsidR="009C3C72" w:rsidRPr="009C3C72" w14:paraId="24A47FFF" w14:textId="77777777" w:rsidTr="001C5A3B">
        <w:trPr>
          <w:trHeight w:val="170"/>
        </w:trPr>
        <w:tc>
          <w:tcPr>
            <w:tcW w:w="0" w:type="auto"/>
            <w:tcBorders>
              <w:top w:val="nil"/>
              <w:left w:val="single" w:sz="4" w:space="0" w:color="auto"/>
              <w:bottom w:val="nil"/>
              <w:right w:val="nil"/>
            </w:tcBorders>
            <w:shd w:val="clear" w:color="000000" w:fill="F2F2F2"/>
            <w:noWrap/>
            <w:vAlign w:val="bottom"/>
            <w:hideMark/>
          </w:tcPr>
          <w:p w14:paraId="4B6B7A45" w14:textId="77777777" w:rsidR="009C3C72" w:rsidRPr="009C3C72" w:rsidRDefault="009C3C72" w:rsidP="009C3C72">
            <w:pPr>
              <w:spacing w:before="0" w:after="0"/>
              <w:jc w:val="left"/>
              <w:rPr>
                <w:rFonts w:ascii="Calibri" w:hAnsi="Calibri" w:cs="Times New Roman"/>
                <w:color w:val="000000"/>
              </w:rPr>
            </w:pPr>
            <w:r w:rsidRPr="009C3C72">
              <w:rPr>
                <w:rFonts w:ascii="Calibri" w:hAnsi="Calibri" w:cs="Times New Roman"/>
                <w:color w:val="000000"/>
              </w:rPr>
              <w:t>Russel-Mulgrave</w:t>
            </w:r>
          </w:p>
        </w:tc>
        <w:tc>
          <w:tcPr>
            <w:tcW w:w="0" w:type="auto"/>
            <w:tcBorders>
              <w:top w:val="nil"/>
              <w:left w:val="nil"/>
              <w:bottom w:val="nil"/>
              <w:right w:val="single" w:sz="4" w:space="0" w:color="auto"/>
            </w:tcBorders>
            <w:shd w:val="clear" w:color="000000" w:fill="F2F2F2"/>
            <w:noWrap/>
            <w:vAlign w:val="bottom"/>
            <w:hideMark/>
          </w:tcPr>
          <w:p w14:paraId="753E90EA" w14:textId="77777777" w:rsidR="009C3C72" w:rsidRPr="009C3C72" w:rsidRDefault="009C3C72" w:rsidP="009C3C72">
            <w:pPr>
              <w:spacing w:before="0" w:after="0"/>
              <w:jc w:val="left"/>
              <w:rPr>
                <w:rFonts w:ascii="Calibri" w:hAnsi="Calibri" w:cs="Times New Roman"/>
                <w:color w:val="000000"/>
              </w:rPr>
            </w:pPr>
            <w:r w:rsidRPr="009C3C72">
              <w:rPr>
                <w:rFonts w:ascii="Calibri" w:hAnsi="Calibri" w:cs="Times New Roman"/>
                <w:color w:val="000000"/>
              </w:rPr>
              <w:t xml:space="preserve">            77,000 </w:t>
            </w:r>
          </w:p>
        </w:tc>
        <w:tc>
          <w:tcPr>
            <w:tcW w:w="0" w:type="auto"/>
            <w:tcBorders>
              <w:top w:val="single" w:sz="4" w:space="0" w:color="auto"/>
              <w:left w:val="nil"/>
              <w:bottom w:val="single" w:sz="4" w:space="0" w:color="auto"/>
              <w:right w:val="single" w:sz="4" w:space="0" w:color="auto"/>
            </w:tcBorders>
            <w:shd w:val="clear" w:color="000000" w:fill="F2F2F2"/>
            <w:noWrap/>
            <w:vAlign w:val="center"/>
            <w:hideMark/>
          </w:tcPr>
          <w:p w14:paraId="7C4A57C4" w14:textId="77777777" w:rsidR="009C3C72" w:rsidRPr="009C3C72" w:rsidRDefault="009C3C72" w:rsidP="009C3C72">
            <w:pPr>
              <w:spacing w:before="0" w:after="0"/>
              <w:jc w:val="center"/>
              <w:rPr>
                <w:rFonts w:ascii="Calibri" w:hAnsi="Calibri" w:cs="Times New Roman"/>
                <w:color w:val="000000"/>
              </w:rPr>
            </w:pPr>
            <w:r w:rsidRPr="009C3C72">
              <w:rPr>
                <w:rFonts w:ascii="Calibri" w:hAnsi="Calibri" w:cs="Times New Roman"/>
                <w:color w:val="000000"/>
                <w:lang w:val="en-US"/>
              </w:rPr>
              <w:t>Wet Tropics</w:t>
            </w:r>
          </w:p>
        </w:tc>
        <w:tc>
          <w:tcPr>
            <w:tcW w:w="0" w:type="auto"/>
            <w:tcBorders>
              <w:top w:val="nil"/>
              <w:left w:val="nil"/>
              <w:bottom w:val="nil"/>
              <w:right w:val="nil"/>
            </w:tcBorders>
            <w:shd w:val="clear" w:color="auto" w:fill="auto"/>
            <w:noWrap/>
            <w:vAlign w:val="center"/>
            <w:hideMark/>
          </w:tcPr>
          <w:p w14:paraId="4B15F6A9" w14:textId="77777777" w:rsidR="009C3C72" w:rsidRPr="009C3C72" w:rsidRDefault="009C3C72" w:rsidP="009C3C72">
            <w:pPr>
              <w:spacing w:before="0" w:after="0"/>
              <w:rPr>
                <w:rFonts w:ascii="Calibri" w:hAnsi="Calibri" w:cs="Times New Roman"/>
                <w:color w:val="000000"/>
              </w:rPr>
            </w:pPr>
            <w:r w:rsidRPr="009C3C72">
              <w:rPr>
                <w:rFonts w:ascii="Calibri" w:hAnsi="Calibri" w:cs="Times New Roman"/>
                <w:color w:val="000000"/>
                <w:lang w:val="en-US"/>
              </w:rPr>
              <w:t xml:space="preserve">      491,148 </w:t>
            </w:r>
          </w:p>
        </w:tc>
      </w:tr>
      <w:tr w:rsidR="009C3C72" w:rsidRPr="009C3C72" w14:paraId="12CDB797" w14:textId="77777777" w:rsidTr="001C5A3B">
        <w:trPr>
          <w:trHeight w:val="170"/>
        </w:trPr>
        <w:tc>
          <w:tcPr>
            <w:tcW w:w="0" w:type="auto"/>
            <w:tcBorders>
              <w:top w:val="nil"/>
              <w:left w:val="single" w:sz="4" w:space="0" w:color="auto"/>
              <w:bottom w:val="nil"/>
              <w:right w:val="nil"/>
            </w:tcBorders>
            <w:shd w:val="clear" w:color="000000" w:fill="F2F2F2"/>
            <w:noWrap/>
            <w:vAlign w:val="bottom"/>
            <w:hideMark/>
          </w:tcPr>
          <w:p w14:paraId="55CF21DE" w14:textId="77777777" w:rsidR="009C3C72" w:rsidRPr="009C3C72" w:rsidRDefault="009C3C72" w:rsidP="009C3C72">
            <w:pPr>
              <w:spacing w:before="0" w:after="0"/>
              <w:jc w:val="left"/>
              <w:rPr>
                <w:rFonts w:ascii="Calibri" w:hAnsi="Calibri" w:cs="Times New Roman"/>
                <w:color w:val="000000"/>
              </w:rPr>
            </w:pPr>
            <w:r w:rsidRPr="009C3C72">
              <w:rPr>
                <w:rFonts w:ascii="Calibri" w:hAnsi="Calibri" w:cs="Times New Roman"/>
                <w:color w:val="000000"/>
              </w:rPr>
              <w:t>Johnstone</w:t>
            </w:r>
          </w:p>
        </w:tc>
        <w:tc>
          <w:tcPr>
            <w:tcW w:w="0" w:type="auto"/>
            <w:tcBorders>
              <w:top w:val="nil"/>
              <w:left w:val="nil"/>
              <w:bottom w:val="nil"/>
              <w:right w:val="single" w:sz="4" w:space="0" w:color="auto"/>
            </w:tcBorders>
            <w:shd w:val="clear" w:color="000000" w:fill="F2F2F2"/>
            <w:noWrap/>
            <w:vAlign w:val="bottom"/>
            <w:hideMark/>
          </w:tcPr>
          <w:p w14:paraId="06531F63" w14:textId="77777777" w:rsidR="009C3C72" w:rsidRPr="009C3C72" w:rsidRDefault="009C3C72" w:rsidP="009C3C72">
            <w:pPr>
              <w:spacing w:before="0" w:after="0"/>
              <w:jc w:val="left"/>
              <w:rPr>
                <w:rFonts w:ascii="Calibri" w:hAnsi="Calibri" w:cs="Times New Roman"/>
                <w:color w:val="000000"/>
              </w:rPr>
            </w:pPr>
            <w:r w:rsidRPr="009C3C72">
              <w:rPr>
                <w:rFonts w:ascii="Calibri" w:hAnsi="Calibri" w:cs="Times New Roman"/>
                <w:color w:val="000000"/>
              </w:rPr>
              <w:t xml:space="preserve">              7,100 </w:t>
            </w:r>
          </w:p>
        </w:tc>
        <w:tc>
          <w:tcPr>
            <w:tcW w:w="0" w:type="auto"/>
            <w:tcBorders>
              <w:top w:val="nil"/>
              <w:left w:val="nil"/>
              <w:bottom w:val="nil"/>
              <w:right w:val="nil"/>
            </w:tcBorders>
            <w:shd w:val="clear" w:color="auto" w:fill="auto"/>
            <w:noWrap/>
            <w:vAlign w:val="center"/>
            <w:hideMark/>
          </w:tcPr>
          <w:p w14:paraId="3DE7D55C" w14:textId="77777777" w:rsidR="009C3C72" w:rsidRPr="009C3C72" w:rsidRDefault="009C3C72" w:rsidP="009C3C72">
            <w:pPr>
              <w:spacing w:before="0" w:after="0"/>
              <w:jc w:val="center"/>
              <w:rPr>
                <w:rFonts w:ascii="Calibri" w:hAnsi="Calibri" w:cs="Times New Roman"/>
                <w:color w:val="000000"/>
              </w:rPr>
            </w:pPr>
            <w:r w:rsidRPr="009C3C72">
              <w:rPr>
                <w:rFonts w:ascii="Calibri" w:hAnsi="Calibri" w:cs="Times New Roman"/>
                <w:color w:val="000000"/>
                <w:lang w:val="en-US"/>
              </w:rPr>
              <w:t>Burdekin</w:t>
            </w:r>
          </w:p>
        </w:tc>
        <w:tc>
          <w:tcPr>
            <w:tcW w:w="0" w:type="auto"/>
            <w:tcBorders>
              <w:top w:val="nil"/>
              <w:left w:val="nil"/>
              <w:bottom w:val="nil"/>
              <w:right w:val="nil"/>
            </w:tcBorders>
            <w:shd w:val="clear" w:color="auto" w:fill="auto"/>
            <w:noWrap/>
            <w:vAlign w:val="center"/>
            <w:hideMark/>
          </w:tcPr>
          <w:p w14:paraId="01F0ED56" w14:textId="77777777" w:rsidR="009C3C72" w:rsidRPr="009C3C72" w:rsidRDefault="009C3C72" w:rsidP="009C3C72">
            <w:pPr>
              <w:spacing w:before="0" w:after="0"/>
              <w:rPr>
                <w:rFonts w:ascii="Calibri" w:hAnsi="Calibri" w:cs="Times New Roman"/>
                <w:color w:val="000000"/>
              </w:rPr>
            </w:pPr>
            <w:r w:rsidRPr="009C3C72">
              <w:rPr>
                <w:rFonts w:ascii="Calibri" w:hAnsi="Calibri" w:cs="Times New Roman"/>
                <w:color w:val="000000"/>
                <w:lang w:val="en-US"/>
              </w:rPr>
              <w:t xml:space="preserve">        74,343 </w:t>
            </w:r>
          </w:p>
        </w:tc>
      </w:tr>
      <w:tr w:rsidR="009C3C72" w:rsidRPr="009C3C72" w14:paraId="0E9ECBAB" w14:textId="77777777" w:rsidTr="001C5A3B">
        <w:trPr>
          <w:trHeight w:val="170"/>
        </w:trPr>
        <w:tc>
          <w:tcPr>
            <w:tcW w:w="0" w:type="auto"/>
            <w:tcBorders>
              <w:top w:val="nil"/>
              <w:left w:val="single" w:sz="4" w:space="0" w:color="auto"/>
              <w:bottom w:val="nil"/>
              <w:right w:val="nil"/>
            </w:tcBorders>
            <w:shd w:val="clear" w:color="000000" w:fill="F2F2F2"/>
            <w:noWrap/>
            <w:vAlign w:val="bottom"/>
            <w:hideMark/>
          </w:tcPr>
          <w:p w14:paraId="7908C9F0" w14:textId="77777777" w:rsidR="009C3C72" w:rsidRPr="009C3C72" w:rsidRDefault="009C3C72" w:rsidP="009C3C72">
            <w:pPr>
              <w:spacing w:before="0" w:after="0"/>
              <w:jc w:val="left"/>
              <w:rPr>
                <w:rFonts w:ascii="Calibri" w:hAnsi="Calibri" w:cs="Times New Roman"/>
                <w:color w:val="000000"/>
              </w:rPr>
            </w:pPr>
            <w:r w:rsidRPr="009C3C72">
              <w:rPr>
                <w:rFonts w:ascii="Calibri" w:hAnsi="Calibri" w:cs="Times New Roman"/>
                <w:color w:val="000000"/>
              </w:rPr>
              <w:t>Tully-Murray</w:t>
            </w:r>
          </w:p>
        </w:tc>
        <w:tc>
          <w:tcPr>
            <w:tcW w:w="0" w:type="auto"/>
            <w:tcBorders>
              <w:top w:val="nil"/>
              <w:left w:val="nil"/>
              <w:bottom w:val="nil"/>
              <w:right w:val="single" w:sz="4" w:space="0" w:color="auto"/>
            </w:tcBorders>
            <w:shd w:val="clear" w:color="000000" w:fill="F2F2F2"/>
            <w:noWrap/>
            <w:vAlign w:val="bottom"/>
            <w:hideMark/>
          </w:tcPr>
          <w:p w14:paraId="6137E1DD" w14:textId="77777777" w:rsidR="009C3C72" w:rsidRPr="009C3C72" w:rsidRDefault="009C3C72" w:rsidP="009C3C72">
            <w:pPr>
              <w:spacing w:before="0" w:after="0"/>
              <w:jc w:val="left"/>
              <w:rPr>
                <w:rFonts w:ascii="Calibri" w:hAnsi="Calibri" w:cs="Times New Roman"/>
                <w:color w:val="000000"/>
              </w:rPr>
            </w:pPr>
            <w:r w:rsidRPr="009C3C72">
              <w:rPr>
                <w:rFonts w:ascii="Calibri" w:hAnsi="Calibri" w:cs="Times New Roman"/>
                <w:color w:val="000000"/>
              </w:rPr>
              <w:t xml:space="preserve">            26,000 </w:t>
            </w:r>
          </w:p>
        </w:tc>
        <w:tc>
          <w:tcPr>
            <w:tcW w:w="0" w:type="auto"/>
            <w:tcBorders>
              <w:top w:val="nil"/>
              <w:left w:val="nil"/>
              <w:bottom w:val="nil"/>
              <w:right w:val="nil"/>
            </w:tcBorders>
            <w:shd w:val="clear" w:color="auto" w:fill="auto"/>
            <w:noWrap/>
            <w:vAlign w:val="center"/>
            <w:hideMark/>
          </w:tcPr>
          <w:p w14:paraId="37E0C7DB" w14:textId="77777777" w:rsidR="009C3C72" w:rsidRPr="009C3C72" w:rsidRDefault="009C3C72" w:rsidP="009C3C72">
            <w:pPr>
              <w:spacing w:before="0" w:after="0"/>
              <w:jc w:val="center"/>
              <w:rPr>
                <w:rFonts w:ascii="Calibri" w:hAnsi="Calibri" w:cs="Times New Roman"/>
                <w:color w:val="000000"/>
              </w:rPr>
            </w:pPr>
            <w:r w:rsidRPr="009C3C72">
              <w:rPr>
                <w:rFonts w:ascii="Calibri" w:hAnsi="Calibri" w:cs="Times New Roman"/>
                <w:color w:val="000000"/>
                <w:lang w:val="en-US"/>
              </w:rPr>
              <w:t>Mackay - Whitsunday</w:t>
            </w:r>
          </w:p>
        </w:tc>
        <w:tc>
          <w:tcPr>
            <w:tcW w:w="0" w:type="auto"/>
            <w:tcBorders>
              <w:top w:val="nil"/>
              <w:left w:val="nil"/>
              <w:bottom w:val="nil"/>
              <w:right w:val="nil"/>
            </w:tcBorders>
            <w:shd w:val="clear" w:color="auto" w:fill="auto"/>
            <w:noWrap/>
            <w:vAlign w:val="center"/>
            <w:hideMark/>
          </w:tcPr>
          <w:p w14:paraId="455FFDF7" w14:textId="77777777" w:rsidR="009C3C72" w:rsidRPr="009C3C72" w:rsidRDefault="009C3C72" w:rsidP="009C3C72">
            <w:pPr>
              <w:spacing w:before="0" w:after="0"/>
              <w:rPr>
                <w:rFonts w:ascii="Calibri" w:hAnsi="Calibri" w:cs="Times New Roman"/>
                <w:color w:val="000000"/>
              </w:rPr>
            </w:pPr>
            <w:r w:rsidRPr="009C3C72">
              <w:rPr>
                <w:rFonts w:ascii="Calibri" w:hAnsi="Calibri" w:cs="Times New Roman"/>
                <w:color w:val="000000"/>
                <w:lang w:val="en-US"/>
              </w:rPr>
              <w:t xml:space="preserve">                 -   </w:t>
            </w:r>
          </w:p>
        </w:tc>
      </w:tr>
      <w:tr w:rsidR="009C3C72" w:rsidRPr="009C3C72" w14:paraId="32D931B3" w14:textId="77777777" w:rsidTr="001C5A3B">
        <w:trPr>
          <w:trHeight w:val="170"/>
        </w:trPr>
        <w:tc>
          <w:tcPr>
            <w:tcW w:w="0" w:type="auto"/>
            <w:tcBorders>
              <w:top w:val="nil"/>
              <w:left w:val="single" w:sz="4" w:space="0" w:color="auto"/>
              <w:bottom w:val="single" w:sz="4" w:space="0" w:color="auto"/>
              <w:right w:val="nil"/>
            </w:tcBorders>
            <w:shd w:val="clear" w:color="000000" w:fill="F2F2F2"/>
            <w:noWrap/>
            <w:vAlign w:val="bottom"/>
            <w:hideMark/>
          </w:tcPr>
          <w:p w14:paraId="7CF817EA" w14:textId="77777777" w:rsidR="009C3C72" w:rsidRPr="009C3C72" w:rsidRDefault="009C3C72" w:rsidP="009C3C72">
            <w:pPr>
              <w:spacing w:before="0" w:after="0"/>
              <w:jc w:val="left"/>
              <w:rPr>
                <w:rFonts w:ascii="Calibri" w:hAnsi="Calibri" w:cs="Times New Roman"/>
                <w:color w:val="000000"/>
              </w:rPr>
            </w:pPr>
            <w:r w:rsidRPr="009C3C72">
              <w:rPr>
                <w:rFonts w:ascii="Calibri" w:hAnsi="Calibri" w:cs="Times New Roman"/>
                <w:color w:val="000000"/>
              </w:rPr>
              <w:t>Herbert</w:t>
            </w:r>
          </w:p>
        </w:tc>
        <w:tc>
          <w:tcPr>
            <w:tcW w:w="0" w:type="auto"/>
            <w:tcBorders>
              <w:top w:val="nil"/>
              <w:left w:val="nil"/>
              <w:bottom w:val="single" w:sz="4" w:space="0" w:color="auto"/>
              <w:right w:val="single" w:sz="4" w:space="0" w:color="auto"/>
            </w:tcBorders>
            <w:shd w:val="clear" w:color="000000" w:fill="F2F2F2"/>
            <w:noWrap/>
            <w:vAlign w:val="bottom"/>
            <w:hideMark/>
          </w:tcPr>
          <w:p w14:paraId="54BA6012" w14:textId="77777777" w:rsidR="009C3C72" w:rsidRPr="009C3C72" w:rsidRDefault="009C3C72" w:rsidP="009C3C72">
            <w:pPr>
              <w:spacing w:before="0" w:after="0"/>
              <w:jc w:val="left"/>
              <w:rPr>
                <w:rFonts w:ascii="Calibri" w:hAnsi="Calibri" w:cs="Times New Roman"/>
                <w:color w:val="000000"/>
              </w:rPr>
            </w:pPr>
            <w:r w:rsidRPr="009C3C72">
              <w:rPr>
                <w:rFonts w:ascii="Calibri" w:hAnsi="Calibri" w:cs="Times New Roman"/>
                <w:color w:val="000000"/>
              </w:rPr>
              <w:t xml:space="preserve">          410,000 </w:t>
            </w:r>
          </w:p>
        </w:tc>
        <w:tc>
          <w:tcPr>
            <w:tcW w:w="0" w:type="auto"/>
            <w:tcBorders>
              <w:top w:val="nil"/>
              <w:left w:val="nil"/>
              <w:bottom w:val="nil"/>
              <w:right w:val="nil"/>
            </w:tcBorders>
            <w:shd w:val="clear" w:color="auto" w:fill="auto"/>
            <w:noWrap/>
            <w:vAlign w:val="center"/>
            <w:hideMark/>
          </w:tcPr>
          <w:p w14:paraId="0D047A51" w14:textId="77777777" w:rsidR="009C3C72" w:rsidRPr="009C3C72" w:rsidRDefault="009C3C72" w:rsidP="009C3C72">
            <w:pPr>
              <w:spacing w:before="0" w:after="0"/>
              <w:jc w:val="center"/>
              <w:rPr>
                <w:rFonts w:ascii="Calibri" w:hAnsi="Calibri" w:cs="Times New Roman"/>
                <w:color w:val="000000"/>
              </w:rPr>
            </w:pPr>
            <w:r w:rsidRPr="009C3C72">
              <w:rPr>
                <w:rFonts w:ascii="Calibri" w:hAnsi="Calibri" w:cs="Times New Roman"/>
                <w:color w:val="000000"/>
                <w:lang w:val="en-US"/>
              </w:rPr>
              <w:t>Fitzroy</w:t>
            </w:r>
          </w:p>
        </w:tc>
        <w:tc>
          <w:tcPr>
            <w:tcW w:w="0" w:type="auto"/>
            <w:tcBorders>
              <w:top w:val="nil"/>
              <w:left w:val="nil"/>
              <w:bottom w:val="nil"/>
              <w:right w:val="nil"/>
            </w:tcBorders>
            <w:shd w:val="clear" w:color="auto" w:fill="auto"/>
            <w:noWrap/>
            <w:vAlign w:val="center"/>
            <w:hideMark/>
          </w:tcPr>
          <w:p w14:paraId="7FD53EDA" w14:textId="77777777" w:rsidR="009C3C72" w:rsidRPr="009C3C72" w:rsidRDefault="009C3C72" w:rsidP="009C3C72">
            <w:pPr>
              <w:spacing w:before="0" w:after="0"/>
              <w:rPr>
                <w:rFonts w:ascii="Calibri" w:hAnsi="Calibri" w:cs="Times New Roman"/>
                <w:color w:val="000000"/>
              </w:rPr>
            </w:pPr>
            <w:r w:rsidRPr="009C3C72">
              <w:rPr>
                <w:rFonts w:ascii="Calibri" w:hAnsi="Calibri" w:cs="Times New Roman"/>
                <w:color w:val="000000"/>
                <w:lang w:val="en-US"/>
              </w:rPr>
              <w:t xml:space="preserve">                 -   </w:t>
            </w:r>
          </w:p>
        </w:tc>
      </w:tr>
      <w:tr w:rsidR="009C3C72" w:rsidRPr="009C3C72" w14:paraId="12437B6F" w14:textId="77777777" w:rsidTr="001C5A3B">
        <w:trPr>
          <w:trHeight w:val="170"/>
        </w:trPr>
        <w:tc>
          <w:tcPr>
            <w:tcW w:w="0" w:type="auto"/>
            <w:tcBorders>
              <w:top w:val="nil"/>
              <w:left w:val="nil"/>
              <w:bottom w:val="single" w:sz="4" w:space="0" w:color="auto"/>
              <w:right w:val="nil"/>
            </w:tcBorders>
            <w:shd w:val="clear" w:color="auto" w:fill="auto"/>
            <w:noWrap/>
            <w:vAlign w:val="bottom"/>
            <w:hideMark/>
          </w:tcPr>
          <w:p w14:paraId="51546749" w14:textId="77777777" w:rsidR="009C3C72" w:rsidRPr="009C3C72" w:rsidRDefault="009C3C72" w:rsidP="009C3C72">
            <w:pPr>
              <w:spacing w:before="0" w:after="0"/>
              <w:jc w:val="left"/>
              <w:rPr>
                <w:rFonts w:ascii="Calibri" w:hAnsi="Calibri" w:cs="Times New Roman"/>
                <w:color w:val="000000"/>
              </w:rPr>
            </w:pPr>
            <w:r w:rsidRPr="009C3C72">
              <w:rPr>
                <w:rFonts w:ascii="Calibri" w:hAnsi="Calibri" w:cs="Times New Roman"/>
                <w:color w:val="000000"/>
              </w:rPr>
              <w:t> </w:t>
            </w:r>
          </w:p>
        </w:tc>
        <w:tc>
          <w:tcPr>
            <w:tcW w:w="0" w:type="auto"/>
            <w:tcBorders>
              <w:top w:val="nil"/>
              <w:left w:val="nil"/>
              <w:bottom w:val="single" w:sz="4" w:space="0" w:color="auto"/>
              <w:right w:val="nil"/>
            </w:tcBorders>
            <w:shd w:val="clear" w:color="auto" w:fill="auto"/>
            <w:noWrap/>
            <w:vAlign w:val="bottom"/>
            <w:hideMark/>
          </w:tcPr>
          <w:p w14:paraId="2E0B2B65" w14:textId="77777777" w:rsidR="009C3C72" w:rsidRPr="009C3C72" w:rsidRDefault="009C3C72" w:rsidP="009C3C72">
            <w:pPr>
              <w:spacing w:before="0" w:after="0"/>
              <w:jc w:val="left"/>
              <w:rPr>
                <w:rFonts w:ascii="Calibri" w:hAnsi="Calibri" w:cs="Times New Roman"/>
                <w:color w:val="000000"/>
              </w:rPr>
            </w:pPr>
            <w:r w:rsidRPr="009C3C72">
              <w:rPr>
                <w:rFonts w:ascii="Calibri" w:hAnsi="Calibri" w:cs="Times New Roman"/>
                <w:color w:val="000000"/>
              </w:rPr>
              <w:t> </w:t>
            </w:r>
          </w:p>
        </w:tc>
        <w:tc>
          <w:tcPr>
            <w:tcW w:w="0" w:type="auto"/>
            <w:tcBorders>
              <w:top w:val="nil"/>
              <w:left w:val="nil"/>
              <w:bottom w:val="single" w:sz="4" w:space="0" w:color="auto"/>
              <w:right w:val="nil"/>
            </w:tcBorders>
            <w:shd w:val="clear" w:color="auto" w:fill="auto"/>
            <w:noWrap/>
            <w:vAlign w:val="center"/>
            <w:hideMark/>
          </w:tcPr>
          <w:p w14:paraId="7D8C8D4A" w14:textId="77777777" w:rsidR="009C3C72" w:rsidRPr="009C3C72" w:rsidRDefault="009C3C72" w:rsidP="009C3C72">
            <w:pPr>
              <w:spacing w:before="0" w:after="0"/>
              <w:jc w:val="center"/>
              <w:rPr>
                <w:rFonts w:ascii="Calibri" w:hAnsi="Calibri" w:cs="Times New Roman"/>
                <w:color w:val="000000"/>
              </w:rPr>
            </w:pPr>
            <w:r w:rsidRPr="009C3C72">
              <w:rPr>
                <w:rFonts w:ascii="Calibri" w:hAnsi="Calibri" w:cs="Times New Roman"/>
                <w:color w:val="000000"/>
                <w:lang w:val="en-US"/>
              </w:rPr>
              <w:t>Burnett-Mary</w:t>
            </w:r>
          </w:p>
        </w:tc>
        <w:tc>
          <w:tcPr>
            <w:tcW w:w="0" w:type="auto"/>
            <w:tcBorders>
              <w:top w:val="nil"/>
              <w:left w:val="nil"/>
              <w:bottom w:val="single" w:sz="4" w:space="0" w:color="auto"/>
              <w:right w:val="nil"/>
            </w:tcBorders>
            <w:shd w:val="clear" w:color="auto" w:fill="auto"/>
            <w:noWrap/>
            <w:vAlign w:val="center"/>
            <w:hideMark/>
          </w:tcPr>
          <w:p w14:paraId="14155AA7" w14:textId="77777777" w:rsidR="009C3C72" w:rsidRPr="009C3C72" w:rsidRDefault="009C3C72" w:rsidP="009C3C72">
            <w:pPr>
              <w:spacing w:before="0" w:after="0"/>
              <w:rPr>
                <w:rFonts w:ascii="Calibri" w:hAnsi="Calibri" w:cs="Times New Roman"/>
                <w:color w:val="000000"/>
              </w:rPr>
            </w:pPr>
            <w:r w:rsidRPr="009C3C72">
              <w:rPr>
                <w:rFonts w:ascii="Calibri" w:hAnsi="Calibri" w:cs="Times New Roman"/>
                <w:color w:val="000000"/>
                <w:lang w:val="en-US"/>
              </w:rPr>
              <w:t xml:space="preserve">                 -   </w:t>
            </w:r>
          </w:p>
        </w:tc>
      </w:tr>
    </w:tbl>
    <w:p w14:paraId="41E2FEBB" w14:textId="77777777" w:rsidR="00B954DC" w:rsidRDefault="00B954DC" w:rsidP="00E838DF"/>
    <w:p w14:paraId="3C53289F" w14:textId="0E4870C2" w:rsidR="00F01FA9" w:rsidRDefault="0064679C" w:rsidP="00E838DF">
      <w:r>
        <w:t>Analysis of s</w:t>
      </w:r>
      <w:r w:rsidR="00E838DF">
        <w:t xml:space="preserve">patial variation </w:t>
      </w:r>
      <w:r w:rsidR="00F01FA9">
        <w:t xml:space="preserve">was performed on </w:t>
      </w:r>
      <w:r w:rsidR="00F01FA9" w:rsidRPr="0064679C">
        <w:t xml:space="preserve">Tully and </w:t>
      </w:r>
      <w:r w:rsidR="00F01FA9">
        <w:t xml:space="preserve">Russell-Mulgrave samples </w:t>
      </w:r>
      <w:r w:rsidR="00E838DF">
        <w:t xml:space="preserve">across all WQ parameters, considering the factors of salinity, distance and </w:t>
      </w:r>
      <w:r w:rsidR="00D23397">
        <w:t>5-</w:t>
      </w:r>
      <w:r w:rsidR="00E838DF">
        <w:t xml:space="preserve">day </w:t>
      </w:r>
      <w:r>
        <w:t>average flow</w:t>
      </w:r>
      <w:r w:rsidR="009A2F45">
        <w:t xml:space="preserve">. </w:t>
      </w:r>
      <w:r w:rsidR="00D60A3F">
        <w:t>T</w:t>
      </w:r>
      <w:r w:rsidR="00E838DF" w:rsidRPr="0064679C">
        <w:t xml:space="preserve">he outputs of </w:t>
      </w:r>
      <w:r w:rsidR="00D60A3F">
        <w:t>a</w:t>
      </w:r>
      <w:r w:rsidR="00E838DF" w:rsidRPr="0064679C">
        <w:t xml:space="preserve"> Spearman’s </w:t>
      </w:r>
      <w:r w:rsidR="00F01FA9">
        <w:t xml:space="preserve">rank correlation </w:t>
      </w:r>
      <w:r w:rsidR="00E838DF" w:rsidRPr="0064679C">
        <w:t xml:space="preserve">analysis on co-factors for rivers sampled more than 20 times in the </w:t>
      </w:r>
      <w:r w:rsidR="009A2F45" w:rsidRPr="0064679C">
        <w:t>201</w:t>
      </w:r>
      <w:r w:rsidR="009A2F45">
        <w:t>3</w:t>
      </w:r>
      <w:r w:rsidR="00E838DF" w:rsidRPr="0064679C">
        <w:t>-</w:t>
      </w:r>
      <w:r w:rsidR="009A2F45" w:rsidRPr="0064679C">
        <w:t>201</w:t>
      </w:r>
      <w:r w:rsidR="009A2F45">
        <w:t>4</w:t>
      </w:r>
      <w:r w:rsidR="009A2F45" w:rsidRPr="0064679C">
        <w:t xml:space="preserve"> </w:t>
      </w:r>
      <w:r w:rsidR="00D60A3F">
        <w:t>wet season identified</w:t>
      </w:r>
      <w:r w:rsidR="00E838DF" w:rsidRPr="0064679C">
        <w:t xml:space="preserve"> variables which are positively or negatively correlated with each other</w:t>
      </w:r>
      <w:r w:rsidR="00F01FA9">
        <w:t>, including:</w:t>
      </w:r>
    </w:p>
    <w:p w14:paraId="5D4A29B0" w14:textId="77777777" w:rsidR="00F01FA9" w:rsidRDefault="00E838DF" w:rsidP="00F01FA9">
      <w:pPr>
        <w:pStyle w:val="ListParagraph"/>
        <w:numPr>
          <w:ilvl w:val="0"/>
          <w:numId w:val="23"/>
        </w:numPr>
      </w:pPr>
      <w:r w:rsidRPr="0064679C">
        <w:t>Salinity in the Tully and</w:t>
      </w:r>
      <w:r>
        <w:t xml:space="preserve"> Herbert is correlated with most of the forms of nitrogen and phosphorus, excluding the dissolved forms. </w:t>
      </w:r>
    </w:p>
    <w:p w14:paraId="012E1B2F" w14:textId="77777777" w:rsidR="00F01FA9" w:rsidRDefault="00E838DF" w:rsidP="00F01FA9">
      <w:pPr>
        <w:pStyle w:val="ListParagraph"/>
        <w:numPr>
          <w:ilvl w:val="0"/>
          <w:numId w:val="23"/>
        </w:numPr>
      </w:pPr>
      <w:r>
        <w:t xml:space="preserve">River discharge correlates with DIN and Si for the Tully River samples and with TP for the Herbert. </w:t>
      </w:r>
    </w:p>
    <w:p w14:paraId="60D5902C" w14:textId="77777777" w:rsidR="00F01FA9" w:rsidRDefault="00E838DF" w:rsidP="00F01FA9">
      <w:pPr>
        <w:pStyle w:val="ListParagraph"/>
        <w:numPr>
          <w:ilvl w:val="0"/>
          <w:numId w:val="23"/>
        </w:numPr>
      </w:pPr>
      <w:r>
        <w:t xml:space="preserve">Distance did not presented any significant correlation, indicating that linear dilution processes are not occurring in these regions. </w:t>
      </w:r>
    </w:p>
    <w:p w14:paraId="7C08C75E" w14:textId="77777777" w:rsidR="00E838DF" w:rsidRDefault="00E838DF" w:rsidP="0059252A">
      <w:pPr>
        <w:pStyle w:val="ListParagraph"/>
        <w:numPr>
          <w:ilvl w:val="0"/>
          <w:numId w:val="23"/>
        </w:numPr>
      </w:pPr>
      <w:r>
        <w:t xml:space="preserve">Dissolved nutrients are not </w:t>
      </w:r>
      <w:r w:rsidR="0064679C">
        <w:t xml:space="preserve">strongly </w:t>
      </w:r>
      <w:r>
        <w:t>correlated with any factor, indicating th</w:t>
      </w:r>
      <w:r w:rsidR="0064679C">
        <w:t xml:space="preserve">at both coastal hydrodynamic, </w:t>
      </w:r>
      <w:r>
        <w:t>biological processes</w:t>
      </w:r>
      <w:r w:rsidR="0064679C">
        <w:t xml:space="preserve"> and </w:t>
      </w:r>
      <w:r w:rsidR="00D23397">
        <w:t>dilution</w:t>
      </w:r>
      <w:r>
        <w:t xml:space="preserve"> are influencing the transport and uptake of the WQ parameters in these regions. </w:t>
      </w:r>
      <w:r w:rsidR="0064679C">
        <w:t>Note that these processes are examined over the whole of the wet season and individual events over single dates show a greater correlation with distance and salinity.</w:t>
      </w:r>
    </w:p>
    <w:p w14:paraId="3345D0B4" w14:textId="77777777" w:rsidR="00110A7F" w:rsidRDefault="0064679C" w:rsidP="00D60A3F">
      <w:r>
        <w:t xml:space="preserve">Temporal trends on the wet season WQ parameters collected </w:t>
      </w:r>
      <w:r w:rsidR="00B954DC">
        <w:t>in</w:t>
      </w:r>
      <w:r>
        <w:t xml:space="preserve"> surface </w:t>
      </w:r>
      <w:r w:rsidR="00B954DC">
        <w:t xml:space="preserve">waters throughout </w:t>
      </w:r>
      <w:r>
        <w:t xml:space="preserve">the </w:t>
      </w:r>
      <w:r w:rsidR="00B954DC">
        <w:t>GBR</w:t>
      </w:r>
      <w:r>
        <w:t xml:space="preserve"> from 2004 to </w:t>
      </w:r>
      <w:r w:rsidR="008A2945">
        <w:t>2014</w:t>
      </w:r>
      <w:r w:rsidR="00D23397">
        <w:t xml:space="preserve"> </w:t>
      </w:r>
      <w:r>
        <w:t xml:space="preserve">under the </w:t>
      </w:r>
      <w:r w:rsidR="00B954DC">
        <w:t>MMP</w:t>
      </w:r>
      <w:r>
        <w:t xml:space="preserve"> were investigated using General</w:t>
      </w:r>
      <w:r w:rsidR="00B954DC">
        <w:t>is</w:t>
      </w:r>
      <w:r>
        <w:t>ed Additive Mixed Models (GAMM). The following parameters were analys</w:t>
      </w:r>
      <w:r w:rsidR="00B954DC">
        <w:t>ed</w:t>
      </w:r>
      <w:r>
        <w:t xml:space="preserve">: </w:t>
      </w:r>
      <w:r w:rsidR="00B954DC">
        <w:t>TSS</w:t>
      </w:r>
      <w:r>
        <w:t xml:space="preserve">, </w:t>
      </w:r>
      <w:r w:rsidR="00B954DC">
        <w:t>C</w:t>
      </w:r>
      <w:r>
        <w:t>hl-a, light attenuation coefficient (</w:t>
      </w:r>
      <w:r w:rsidR="00362A9F">
        <w:t>Kd(PAR)</w:t>
      </w:r>
      <w:r>
        <w:t xml:space="preserve">), coloured dissolved organic matter (CDOM), DIN, DIP, PN and PP. </w:t>
      </w:r>
      <w:r w:rsidR="00B954DC">
        <w:t>In the</w:t>
      </w:r>
      <w:r>
        <w:t xml:space="preserve"> GAMM analysis, time (i.e., Sample Date) was used as fixed </w:t>
      </w:r>
      <w:r w:rsidR="00D23397">
        <w:t>effect</w:t>
      </w:r>
      <w:r>
        <w:t xml:space="preserve">, i.e., the variable that influences the mean of the observations. </w:t>
      </w:r>
      <w:r w:rsidR="008A2945">
        <w:t>River discharge</w:t>
      </w:r>
      <w:r w:rsidR="008A2945" w:rsidRPr="00913C8B">
        <w:t xml:space="preserve">, distance between </w:t>
      </w:r>
      <w:r w:rsidR="008A2945">
        <w:t>the sampling site</w:t>
      </w:r>
      <w:r w:rsidR="008A2945" w:rsidRPr="00913C8B">
        <w:t xml:space="preserve"> and the </w:t>
      </w:r>
      <w:r w:rsidR="008A2945">
        <w:t xml:space="preserve">nearest </w:t>
      </w:r>
      <w:r w:rsidR="008A2945" w:rsidRPr="00913C8B">
        <w:t xml:space="preserve">river mouth, </w:t>
      </w:r>
      <w:r w:rsidR="008A2945">
        <w:t xml:space="preserve">and surface </w:t>
      </w:r>
      <w:r w:rsidR="008A2945" w:rsidRPr="00913C8B">
        <w:t>salinity</w:t>
      </w:r>
      <w:r w:rsidR="008A2945">
        <w:t xml:space="preserve"> were used as random effects, i.e., what influences the variance of the observations. </w:t>
      </w:r>
      <w:r w:rsidR="008A2945" w:rsidRPr="00A64178">
        <w:t xml:space="preserve">For most of the WQ parameters analysed, the best model was obtained by using all variables, i.e., salinity, discharge and distance as random effects. For </w:t>
      </w:r>
      <w:r w:rsidR="00B954DC">
        <w:t>Chl-a</w:t>
      </w:r>
      <w:r w:rsidR="008A2945" w:rsidRPr="00A64178">
        <w:t xml:space="preserve"> the best model was obtained using salinity only, and for PN, salinity and discharge were used as random effect</w:t>
      </w:r>
      <w:r w:rsidR="008A2945">
        <w:t>s</w:t>
      </w:r>
      <w:r w:rsidR="008A2945" w:rsidRPr="00A64178">
        <w:t>.</w:t>
      </w:r>
    </w:p>
    <w:p w14:paraId="18646508" w14:textId="77777777" w:rsidR="008D3A01" w:rsidRDefault="00D90EA7" w:rsidP="00B46AF9">
      <w:pPr>
        <w:pStyle w:val="Heading2"/>
        <w:numPr>
          <w:ilvl w:val="1"/>
          <w:numId w:val="3"/>
        </w:numPr>
      </w:pPr>
      <w:bookmarkStart w:id="30" w:name="_Toc443299461"/>
      <w:bookmarkStart w:id="31" w:name="_Toc443299674"/>
      <w:bookmarkStart w:id="32" w:name="_Toc454304694"/>
      <w:r>
        <w:t>Mapping of river plumes</w:t>
      </w:r>
      <w:bookmarkEnd w:id="30"/>
      <w:bookmarkEnd w:id="31"/>
      <w:bookmarkEnd w:id="32"/>
    </w:p>
    <w:p w14:paraId="5E849D00" w14:textId="763F5BEB" w:rsidR="003C10C4" w:rsidRPr="003C10C4" w:rsidRDefault="003C10C4" w:rsidP="003C10C4">
      <w:pPr>
        <w:spacing w:before="240"/>
        <w:rPr>
          <w:color w:val="000000" w:themeColor="text1"/>
        </w:rPr>
      </w:pPr>
      <w:bookmarkStart w:id="33" w:name="_Toc420319629"/>
      <w:bookmarkStart w:id="34" w:name="_Toc420329179"/>
      <w:bookmarkStart w:id="35" w:name="_Toc410584191"/>
      <w:bookmarkStart w:id="36" w:name="_Toc416533843"/>
      <w:bookmarkEnd w:id="33"/>
      <w:bookmarkEnd w:id="34"/>
      <w:r w:rsidRPr="003C10C4">
        <w:rPr>
          <w:color w:val="000000" w:themeColor="text1"/>
        </w:rPr>
        <w:t>Numerous studies have shown that nutrient enrichment, turbidity, sedimentation and pesticides all affect the resilience of the GBR ecosystems, degrading coral reefs and seagrass beds at local and regional scales.</w:t>
      </w:r>
      <w:r>
        <w:rPr>
          <w:color w:val="000000" w:themeColor="text1"/>
        </w:rPr>
        <w:t xml:space="preserve"> </w:t>
      </w:r>
      <w:r w:rsidRPr="003C10C4">
        <w:rPr>
          <w:color w:val="000000" w:themeColor="text1"/>
        </w:rPr>
        <w:t xml:space="preserve">The main objective of the remote sensing component of the wet season monitoring under the </w:t>
      </w:r>
      <w:r w:rsidR="00B954DC">
        <w:rPr>
          <w:color w:val="000000" w:themeColor="text1"/>
        </w:rPr>
        <w:t>MMP</w:t>
      </w:r>
      <w:r w:rsidRPr="003C10C4">
        <w:rPr>
          <w:color w:val="000000" w:themeColor="text1"/>
        </w:rPr>
        <w:t xml:space="preserve"> is to produce maps of </w:t>
      </w:r>
      <w:r w:rsidR="00B954DC">
        <w:rPr>
          <w:color w:val="000000" w:themeColor="text1"/>
        </w:rPr>
        <w:t xml:space="preserve">the estimated extent of </w:t>
      </w:r>
      <w:r w:rsidRPr="003C10C4">
        <w:rPr>
          <w:color w:val="000000" w:themeColor="text1"/>
        </w:rPr>
        <w:t xml:space="preserve">river plumes, </w:t>
      </w:r>
      <w:r w:rsidR="00B954DC">
        <w:rPr>
          <w:color w:val="000000" w:themeColor="text1"/>
        </w:rPr>
        <w:t xml:space="preserve">generate </w:t>
      </w:r>
      <w:r w:rsidRPr="003C10C4">
        <w:rPr>
          <w:color w:val="000000" w:themeColor="text1"/>
        </w:rPr>
        <w:t>models that summari</w:t>
      </w:r>
      <w:r w:rsidR="00B954DC">
        <w:rPr>
          <w:color w:val="000000" w:themeColor="text1"/>
        </w:rPr>
        <w:t>s</w:t>
      </w:r>
      <w:r w:rsidRPr="003C10C4">
        <w:rPr>
          <w:color w:val="000000" w:themeColor="text1"/>
        </w:rPr>
        <w:t xml:space="preserve">e land-sourced contaminant transport, describe </w:t>
      </w:r>
      <w:r w:rsidR="009C4D9F">
        <w:rPr>
          <w:color w:val="000000" w:themeColor="text1"/>
        </w:rPr>
        <w:t>WQ</w:t>
      </w:r>
      <w:r w:rsidRPr="003C10C4">
        <w:rPr>
          <w:color w:val="000000" w:themeColor="text1"/>
        </w:rPr>
        <w:t xml:space="preserve"> concentrations within wet season conditions, and to integrate all these methods in single risk assessment framework to evaluate the susceptibility of GBR key ecosystems to the </w:t>
      </w:r>
      <w:r w:rsidR="00F4441F">
        <w:rPr>
          <w:color w:val="000000" w:themeColor="text1"/>
        </w:rPr>
        <w:t>river plume/pollutants exposure</w:t>
      </w:r>
      <w:r w:rsidRPr="003C10C4">
        <w:rPr>
          <w:color w:val="000000" w:themeColor="text1"/>
        </w:rPr>
        <w:t>.</w:t>
      </w:r>
    </w:p>
    <w:p w14:paraId="2087F294" w14:textId="501CD24F" w:rsidR="008A2945" w:rsidRDefault="008A2945" w:rsidP="00B954A0">
      <w:pPr>
        <w:spacing w:before="240"/>
        <w:rPr>
          <w:color w:val="000000" w:themeColor="text1"/>
        </w:rPr>
      </w:pPr>
      <w:r w:rsidRPr="00B954A0">
        <w:rPr>
          <w:color w:val="000000" w:themeColor="text1"/>
        </w:rPr>
        <w:lastRenderedPageBreak/>
        <w:t xml:space="preserve">Different </w:t>
      </w:r>
      <w:r w:rsidR="00B954DC" w:rsidRPr="00B954A0">
        <w:rPr>
          <w:color w:val="000000" w:themeColor="text1"/>
        </w:rPr>
        <w:t>remote sensing</w:t>
      </w:r>
      <w:r w:rsidRPr="00B954A0">
        <w:rPr>
          <w:color w:val="000000" w:themeColor="text1"/>
        </w:rPr>
        <w:t xml:space="preserve"> products and dataset</w:t>
      </w:r>
      <w:r w:rsidR="00B954DC" w:rsidRPr="00B954A0">
        <w:rPr>
          <w:color w:val="000000" w:themeColor="text1"/>
        </w:rPr>
        <w:t>s</w:t>
      </w:r>
      <w:r w:rsidRPr="00B954A0">
        <w:rPr>
          <w:color w:val="000000" w:themeColor="text1"/>
        </w:rPr>
        <w:t xml:space="preserve"> (with spatial resolution of 1 km x 1 km or 500 m x 500 m) </w:t>
      </w:r>
      <w:r w:rsidR="00B954DC" w:rsidRPr="00B954A0">
        <w:rPr>
          <w:color w:val="000000" w:themeColor="text1"/>
        </w:rPr>
        <w:t>have been</w:t>
      </w:r>
      <w:r w:rsidRPr="00B954A0">
        <w:rPr>
          <w:color w:val="000000" w:themeColor="text1"/>
        </w:rPr>
        <w:t xml:space="preserve"> developed through the</w:t>
      </w:r>
      <w:r w:rsidR="00B954DC" w:rsidRPr="00B954A0">
        <w:rPr>
          <w:color w:val="000000" w:themeColor="text1"/>
        </w:rPr>
        <w:t xml:space="preserve"> current and</w:t>
      </w:r>
      <w:r w:rsidRPr="00B954A0">
        <w:rPr>
          <w:color w:val="000000" w:themeColor="text1"/>
        </w:rPr>
        <w:t xml:space="preserve"> previous MMP reporting periods at different geographical and temporal scales (</w:t>
      </w:r>
      <w:r w:rsidR="00B954A0" w:rsidRPr="00B954A0">
        <w:rPr>
          <w:color w:val="000000" w:themeColor="text1"/>
        </w:rPr>
        <w:t>Table 1-</w:t>
      </w:r>
      <w:r w:rsidR="00D60A3F">
        <w:rPr>
          <w:color w:val="000000" w:themeColor="text1"/>
        </w:rPr>
        <w:t>4</w:t>
      </w:r>
      <w:r w:rsidRPr="00B954A0">
        <w:rPr>
          <w:color w:val="000000" w:themeColor="text1"/>
        </w:rPr>
        <w:t xml:space="preserve">). </w:t>
      </w:r>
      <w:r>
        <w:rPr>
          <w:color w:val="000000" w:themeColor="text1"/>
        </w:rPr>
        <w:t>Note that a</w:t>
      </w:r>
      <w:r w:rsidRPr="00271DA2">
        <w:rPr>
          <w:color w:val="000000" w:themeColor="text1"/>
        </w:rPr>
        <w:t xml:space="preserve">ny results obtained in the </w:t>
      </w:r>
      <w:r w:rsidRPr="008A2945">
        <w:rPr>
          <w:color w:val="000000" w:themeColor="text1"/>
        </w:rPr>
        <w:t>Cape York NRM regio</w:t>
      </w:r>
      <w:r w:rsidR="00B954DC">
        <w:rPr>
          <w:color w:val="000000" w:themeColor="text1"/>
        </w:rPr>
        <w:t>n should be considered with care, since</w:t>
      </w:r>
      <w:r w:rsidRPr="00271DA2">
        <w:rPr>
          <w:color w:val="000000" w:themeColor="text1"/>
        </w:rPr>
        <w:t xml:space="preserve"> Cape York is a shallow and optically complex environment </w:t>
      </w:r>
      <w:r w:rsidR="00B954DC">
        <w:rPr>
          <w:color w:val="000000" w:themeColor="text1"/>
        </w:rPr>
        <w:t>and</w:t>
      </w:r>
      <w:r w:rsidRPr="00271DA2">
        <w:rPr>
          <w:color w:val="000000" w:themeColor="text1"/>
        </w:rPr>
        <w:t xml:space="preserve"> the </w:t>
      </w:r>
      <w:r w:rsidR="00B954DC">
        <w:rPr>
          <w:color w:val="000000" w:themeColor="text1"/>
        </w:rPr>
        <w:t>true colour</w:t>
      </w:r>
      <w:r w:rsidRPr="00271DA2">
        <w:rPr>
          <w:color w:val="000000" w:themeColor="text1"/>
        </w:rPr>
        <w:t xml:space="preserve"> method hasn’t been fully validated</w:t>
      </w:r>
      <w:r w:rsidR="00B954DC">
        <w:rPr>
          <w:color w:val="000000" w:themeColor="text1"/>
        </w:rPr>
        <w:t xml:space="preserve"> in this region</w:t>
      </w:r>
      <w:r w:rsidRPr="00271DA2">
        <w:rPr>
          <w:color w:val="000000" w:themeColor="text1"/>
        </w:rPr>
        <w:t>.</w:t>
      </w:r>
    </w:p>
    <w:p w14:paraId="3A9482C9" w14:textId="1C2B0C56" w:rsidR="007557A2" w:rsidRDefault="003A69C4" w:rsidP="00B954A0">
      <w:r w:rsidRPr="00BA3569">
        <w:t xml:space="preserve">Three different water types (Primary, Secondary, </w:t>
      </w:r>
      <w:r w:rsidR="00B954DC">
        <w:t>T</w:t>
      </w:r>
      <w:r w:rsidRPr="00BA3569">
        <w:t xml:space="preserve">ertiary) </w:t>
      </w:r>
      <w:r w:rsidR="00B954DC">
        <w:t>have been</w:t>
      </w:r>
      <w:r w:rsidRPr="00BA3569">
        <w:t xml:space="preserve"> characteris</w:t>
      </w:r>
      <w:r w:rsidR="00B954DC">
        <w:t>ed</w:t>
      </w:r>
      <w:r w:rsidRPr="00BA3569">
        <w:t xml:space="preserve"> </w:t>
      </w:r>
      <w:r w:rsidR="00B954DC">
        <w:t>by</w:t>
      </w:r>
      <w:r w:rsidRPr="00BA3569">
        <w:t xml:space="preserve"> </w:t>
      </w:r>
      <w:r w:rsidR="00B954DC">
        <w:t>a</w:t>
      </w:r>
      <w:r w:rsidRPr="00BA3569">
        <w:t xml:space="preserve"> WQ gradient across the GBR river plumes and have been described from the inshore to the offshore boundaries of river plumes. Each plume water type is associated with above-natural pollutant concentrations and different concentrations of land-sourced pollutants and light levels. Concentrations of TSS, CDOM and light levels in flood plumes decrease across plume water types i.e., from Primary to Tertiary water types</w:t>
      </w:r>
      <w:r>
        <w:t>, as described in Table 1-</w:t>
      </w:r>
      <w:r w:rsidR="00D60A3F">
        <w:t>5</w:t>
      </w:r>
      <w:r>
        <w:t>.</w:t>
      </w:r>
      <w:bookmarkStart w:id="37" w:name="_Ref428868126"/>
      <w:bookmarkStart w:id="38" w:name="_Ref428850964"/>
    </w:p>
    <w:p w14:paraId="1A2A3FB9" w14:textId="11B6EAC6" w:rsidR="00110A7F" w:rsidRPr="00127564" w:rsidRDefault="00110A7F" w:rsidP="00127564">
      <w:pPr>
        <w:pStyle w:val="Caption"/>
      </w:pPr>
      <w:bookmarkStart w:id="39" w:name="_Toc454304601"/>
      <w:r w:rsidRPr="00127564">
        <w:t xml:space="preserve">Table </w:t>
      </w:r>
      <w:r w:rsidR="00445BD2">
        <w:fldChar w:fldCharType="begin"/>
      </w:r>
      <w:r w:rsidR="00445BD2">
        <w:instrText xml:space="preserve"> STYLEREF 1 \s </w:instrText>
      </w:r>
      <w:r w:rsidR="00445BD2">
        <w:fldChar w:fldCharType="separate"/>
      </w:r>
      <w:r w:rsidR="000E22F3">
        <w:rPr>
          <w:noProof/>
        </w:rPr>
        <w:t>1</w:t>
      </w:r>
      <w:r w:rsidR="00445BD2">
        <w:fldChar w:fldCharType="end"/>
      </w:r>
      <w:r w:rsidR="00445BD2">
        <w:noBreakHyphen/>
      </w:r>
      <w:r w:rsidR="00445BD2">
        <w:fldChar w:fldCharType="begin"/>
      </w:r>
      <w:r w:rsidR="00445BD2">
        <w:instrText xml:space="preserve"> SEQ Table \* ARABIC \s 1 </w:instrText>
      </w:r>
      <w:r w:rsidR="00445BD2">
        <w:fldChar w:fldCharType="separate"/>
      </w:r>
      <w:r w:rsidR="000E22F3">
        <w:rPr>
          <w:noProof/>
        </w:rPr>
        <w:t>4</w:t>
      </w:r>
      <w:r w:rsidR="00445BD2">
        <w:fldChar w:fldCharType="end"/>
      </w:r>
      <w:bookmarkEnd w:id="37"/>
      <w:r w:rsidRPr="00127564">
        <w:t xml:space="preserve">: Characteristics of </w:t>
      </w:r>
      <w:r w:rsidR="00F4441F">
        <w:t>r</w:t>
      </w:r>
      <w:r w:rsidRPr="00127564">
        <w:t>emote sensed products developed partly through MMP funding described against management outcomes.</w:t>
      </w:r>
      <w:bookmarkEnd w:id="38"/>
      <w:bookmarkEnd w:id="39"/>
    </w:p>
    <w:tbl>
      <w:tblPr>
        <w:tblStyle w:val="TableGrid"/>
        <w:tblW w:w="9557" w:type="dxa"/>
        <w:tblBorders>
          <w:left w:val="none" w:sz="0" w:space="0" w:color="auto"/>
          <w:right w:val="none" w:sz="0" w:space="0" w:color="auto"/>
          <w:insideV w:val="none" w:sz="0" w:space="0" w:color="auto"/>
        </w:tblBorders>
        <w:tblLook w:val="04A0" w:firstRow="1" w:lastRow="0" w:firstColumn="1" w:lastColumn="0" w:noHBand="0" w:noVBand="1"/>
        <w:tblCaption w:val="Characteristics of remote sensed products developed partly through MMP funding described against management outcomes."/>
        <w:tblDescription w:val="Characteristics of Remote sensed products developed partly through MMP funding described against management outcomes."/>
      </w:tblPr>
      <w:tblGrid>
        <w:gridCol w:w="1819"/>
        <w:gridCol w:w="4859"/>
        <w:gridCol w:w="2879"/>
      </w:tblGrid>
      <w:tr w:rsidR="00110A7F" w:rsidRPr="00B954DC" w14:paraId="661F7FAD" w14:textId="77777777" w:rsidTr="00110A7F">
        <w:tc>
          <w:tcPr>
            <w:tcW w:w="952" w:type="pct"/>
          </w:tcPr>
          <w:p w14:paraId="61DB6C61" w14:textId="77777777" w:rsidR="00110A7F" w:rsidRPr="00B954DC" w:rsidRDefault="00110A7F" w:rsidP="00110A7F">
            <w:pPr>
              <w:spacing w:before="0" w:after="0"/>
              <w:rPr>
                <w:rStyle w:val="BookTitle"/>
                <w:rFonts w:asciiTheme="minorHAnsi" w:hAnsiTheme="minorHAnsi"/>
                <w:b/>
              </w:rPr>
            </w:pPr>
            <w:r w:rsidRPr="00B954DC">
              <w:rPr>
                <w:rStyle w:val="BookTitle"/>
                <w:rFonts w:asciiTheme="minorHAnsi" w:hAnsiTheme="minorHAnsi"/>
                <w:b/>
              </w:rPr>
              <w:t xml:space="preserve">Product  </w:t>
            </w:r>
          </w:p>
        </w:tc>
        <w:tc>
          <w:tcPr>
            <w:tcW w:w="2542" w:type="pct"/>
          </w:tcPr>
          <w:p w14:paraId="39D9ACB7" w14:textId="77777777" w:rsidR="00110A7F" w:rsidRPr="00B954DC" w:rsidRDefault="00110A7F" w:rsidP="00110A7F">
            <w:pPr>
              <w:spacing w:before="0" w:after="0"/>
              <w:rPr>
                <w:rStyle w:val="BookTitle"/>
                <w:rFonts w:asciiTheme="minorHAnsi" w:hAnsiTheme="minorHAnsi"/>
                <w:b/>
              </w:rPr>
            </w:pPr>
            <w:r w:rsidRPr="00B954DC">
              <w:rPr>
                <w:rStyle w:val="BookTitle"/>
                <w:rFonts w:asciiTheme="minorHAnsi" w:hAnsiTheme="minorHAnsi"/>
                <w:b/>
              </w:rPr>
              <w:t>Management outcome</w:t>
            </w:r>
          </w:p>
        </w:tc>
        <w:tc>
          <w:tcPr>
            <w:tcW w:w="1506" w:type="pct"/>
          </w:tcPr>
          <w:p w14:paraId="6EC3BC66" w14:textId="77777777" w:rsidR="00110A7F" w:rsidRPr="00B954DC" w:rsidRDefault="00110A7F" w:rsidP="00110A7F">
            <w:pPr>
              <w:spacing w:before="0" w:after="0"/>
              <w:rPr>
                <w:rStyle w:val="BookTitle"/>
                <w:rFonts w:asciiTheme="minorHAnsi" w:hAnsiTheme="minorHAnsi"/>
                <w:b/>
              </w:rPr>
            </w:pPr>
            <w:r w:rsidRPr="00B954DC">
              <w:rPr>
                <w:rStyle w:val="BookTitle"/>
                <w:rFonts w:asciiTheme="minorHAnsi" w:hAnsiTheme="minorHAnsi"/>
                <w:b/>
              </w:rPr>
              <w:t>Spatial and temporal resolution</w:t>
            </w:r>
          </w:p>
        </w:tc>
      </w:tr>
      <w:tr w:rsidR="00110A7F" w:rsidRPr="00B954DC" w14:paraId="30CCBC01" w14:textId="77777777" w:rsidTr="00110A7F">
        <w:tc>
          <w:tcPr>
            <w:tcW w:w="952" w:type="pct"/>
          </w:tcPr>
          <w:p w14:paraId="6171FBF8" w14:textId="77777777" w:rsidR="00110A7F" w:rsidRPr="00B954DC" w:rsidRDefault="00110A7F" w:rsidP="00110A7F">
            <w:pPr>
              <w:spacing w:before="0" w:after="0"/>
              <w:rPr>
                <w:rStyle w:val="BookTitle"/>
                <w:rFonts w:asciiTheme="minorHAnsi" w:hAnsiTheme="minorHAnsi"/>
              </w:rPr>
            </w:pPr>
            <w:r w:rsidRPr="00B954DC">
              <w:rPr>
                <w:rStyle w:val="BookTitle"/>
                <w:rFonts w:asciiTheme="minorHAnsi" w:hAnsiTheme="minorHAnsi"/>
              </w:rPr>
              <w:t>River plume maps</w:t>
            </w:r>
          </w:p>
          <w:p w14:paraId="6CDC370D" w14:textId="77777777" w:rsidR="00110A7F" w:rsidRPr="00B954DC" w:rsidRDefault="00110A7F" w:rsidP="00110A7F">
            <w:pPr>
              <w:spacing w:before="0" w:after="0"/>
              <w:rPr>
                <w:rStyle w:val="BookTitle"/>
                <w:rFonts w:asciiTheme="minorHAnsi" w:hAnsiTheme="minorHAnsi"/>
              </w:rPr>
            </w:pPr>
          </w:p>
        </w:tc>
        <w:tc>
          <w:tcPr>
            <w:tcW w:w="2542" w:type="pct"/>
          </w:tcPr>
          <w:p w14:paraId="5738E562" w14:textId="77777777" w:rsidR="00110A7F" w:rsidRPr="00B954DC" w:rsidRDefault="00110A7F" w:rsidP="00110A7F">
            <w:pPr>
              <w:spacing w:before="0" w:after="0"/>
              <w:rPr>
                <w:rStyle w:val="BookTitle"/>
                <w:rFonts w:asciiTheme="minorHAnsi" w:hAnsiTheme="minorHAnsi"/>
              </w:rPr>
            </w:pPr>
            <w:r w:rsidRPr="00B954DC">
              <w:rPr>
                <w:rStyle w:val="BookTitle"/>
                <w:rFonts w:asciiTheme="minorHAnsi" w:hAnsiTheme="minorHAnsi"/>
              </w:rPr>
              <w:t>Illustrate the movement of riverine waters, but do not provide information on the composition of the water and WQ constituents</w:t>
            </w:r>
          </w:p>
        </w:tc>
        <w:tc>
          <w:tcPr>
            <w:tcW w:w="1506" w:type="pct"/>
          </w:tcPr>
          <w:p w14:paraId="3CC4BD97" w14:textId="77777777" w:rsidR="00110A7F" w:rsidRPr="00B954DC" w:rsidRDefault="00110A7F" w:rsidP="00110A7F">
            <w:pPr>
              <w:spacing w:before="0" w:after="0"/>
              <w:rPr>
                <w:rStyle w:val="BookTitle"/>
                <w:rFonts w:asciiTheme="minorHAnsi" w:hAnsiTheme="minorHAnsi"/>
              </w:rPr>
            </w:pPr>
            <w:r w:rsidRPr="00B954DC">
              <w:rPr>
                <w:rStyle w:val="BookTitle"/>
                <w:rFonts w:asciiTheme="minorHAnsi" w:hAnsiTheme="minorHAnsi"/>
              </w:rPr>
              <w:t>- Whole-GBR; NRM, river</w:t>
            </w:r>
          </w:p>
          <w:p w14:paraId="62AA0D4A" w14:textId="77777777" w:rsidR="00110A7F" w:rsidRPr="00B954DC" w:rsidRDefault="00110A7F" w:rsidP="00110A7F">
            <w:pPr>
              <w:spacing w:before="0" w:after="0"/>
              <w:rPr>
                <w:rStyle w:val="BookTitle"/>
                <w:rFonts w:asciiTheme="minorHAnsi" w:hAnsiTheme="minorHAnsi"/>
              </w:rPr>
            </w:pPr>
            <w:r w:rsidRPr="00B954DC">
              <w:rPr>
                <w:rStyle w:val="BookTitle"/>
                <w:rFonts w:asciiTheme="minorHAnsi" w:hAnsiTheme="minorHAnsi"/>
              </w:rPr>
              <w:t>- Daily, weekly and seasonal or multi-seasonal (frequency of occurrence)</w:t>
            </w:r>
          </w:p>
        </w:tc>
      </w:tr>
      <w:tr w:rsidR="00110A7F" w:rsidRPr="00B954DC" w14:paraId="2DAEB672" w14:textId="77777777" w:rsidTr="00110A7F">
        <w:tc>
          <w:tcPr>
            <w:tcW w:w="952" w:type="pct"/>
          </w:tcPr>
          <w:p w14:paraId="39555053" w14:textId="77777777" w:rsidR="00110A7F" w:rsidRPr="00B954DC" w:rsidRDefault="00110A7F" w:rsidP="00110A7F">
            <w:pPr>
              <w:spacing w:before="0" w:after="0"/>
              <w:rPr>
                <w:rStyle w:val="BookTitle"/>
                <w:rFonts w:asciiTheme="minorHAnsi" w:hAnsiTheme="minorHAnsi"/>
              </w:rPr>
            </w:pPr>
            <w:r w:rsidRPr="00B954DC">
              <w:rPr>
                <w:rStyle w:val="BookTitle"/>
                <w:rFonts w:asciiTheme="minorHAnsi" w:hAnsiTheme="minorHAnsi"/>
              </w:rPr>
              <w:t>Plume water type maps</w:t>
            </w:r>
          </w:p>
        </w:tc>
        <w:tc>
          <w:tcPr>
            <w:tcW w:w="2542" w:type="pct"/>
          </w:tcPr>
          <w:p w14:paraId="18F75174" w14:textId="77777777" w:rsidR="00110A7F" w:rsidRPr="00B954DC" w:rsidRDefault="00110A7F" w:rsidP="00110A7F">
            <w:pPr>
              <w:spacing w:before="0" w:after="0"/>
              <w:rPr>
                <w:rStyle w:val="BookTitle"/>
                <w:rFonts w:asciiTheme="minorHAnsi" w:hAnsiTheme="minorHAnsi"/>
              </w:rPr>
            </w:pPr>
            <w:r w:rsidRPr="00B954DC">
              <w:rPr>
                <w:rStyle w:val="BookTitle"/>
                <w:rFonts w:asciiTheme="minorHAnsi" w:hAnsiTheme="minorHAnsi"/>
              </w:rPr>
              <w:t xml:space="preserve">Plume water types are associated with different levels and combination of pollutants and, in combination with </w:t>
            </w:r>
            <w:r w:rsidRPr="00B954DC">
              <w:rPr>
                <w:rStyle w:val="BookTitle"/>
                <w:rFonts w:asciiTheme="minorHAnsi" w:hAnsiTheme="minorHAnsi"/>
                <w:i/>
              </w:rPr>
              <w:t>in-situ</w:t>
            </w:r>
            <w:r w:rsidRPr="00B954DC">
              <w:rPr>
                <w:rStyle w:val="BookTitle"/>
                <w:rFonts w:asciiTheme="minorHAnsi" w:hAnsiTheme="minorHAnsi"/>
              </w:rPr>
              <w:t xml:space="preserve"> WQ information, provide a broad scale approach to reporting contaminant concentrations in the GBR marine environment.</w:t>
            </w:r>
          </w:p>
        </w:tc>
        <w:tc>
          <w:tcPr>
            <w:tcW w:w="1506" w:type="pct"/>
          </w:tcPr>
          <w:p w14:paraId="62FC85B0" w14:textId="77777777" w:rsidR="00110A7F" w:rsidRPr="00B954DC" w:rsidRDefault="00110A7F" w:rsidP="00110A7F">
            <w:pPr>
              <w:spacing w:before="0" w:after="0"/>
              <w:rPr>
                <w:rStyle w:val="BookTitle"/>
                <w:rFonts w:asciiTheme="minorHAnsi" w:hAnsiTheme="minorHAnsi"/>
              </w:rPr>
            </w:pPr>
            <w:r w:rsidRPr="00B954DC">
              <w:rPr>
                <w:rStyle w:val="BookTitle"/>
                <w:rFonts w:asciiTheme="minorHAnsi" w:hAnsiTheme="minorHAnsi"/>
              </w:rPr>
              <w:t>- Whole-GBR; NRM, river</w:t>
            </w:r>
          </w:p>
          <w:p w14:paraId="0CA193C5" w14:textId="77777777" w:rsidR="00110A7F" w:rsidRPr="00B954DC" w:rsidRDefault="00110A7F" w:rsidP="00110A7F">
            <w:pPr>
              <w:spacing w:before="0" w:after="0"/>
              <w:rPr>
                <w:rStyle w:val="BookTitle"/>
                <w:rFonts w:asciiTheme="minorHAnsi" w:hAnsiTheme="minorHAnsi"/>
              </w:rPr>
            </w:pPr>
            <w:r w:rsidRPr="00B954DC">
              <w:rPr>
                <w:rStyle w:val="BookTitle"/>
                <w:rFonts w:asciiTheme="minorHAnsi" w:hAnsiTheme="minorHAnsi"/>
              </w:rPr>
              <w:t>- Daily, weekly and seasonal or multi-seasonal (frequency of occurrence)</w:t>
            </w:r>
          </w:p>
        </w:tc>
      </w:tr>
      <w:tr w:rsidR="00110A7F" w:rsidRPr="00B954DC" w14:paraId="0778585E" w14:textId="77777777" w:rsidTr="00110A7F">
        <w:tc>
          <w:tcPr>
            <w:tcW w:w="952" w:type="pct"/>
          </w:tcPr>
          <w:p w14:paraId="229A1100" w14:textId="77777777" w:rsidR="00110A7F" w:rsidRPr="00B954DC" w:rsidRDefault="00110A7F" w:rsidP="00110A7F">
            <w:pPr>
              <w:spacing w:before="0" w:after="0"/>
              <w:rPr>
                <w:rStyle w:val="BookTitle"/>
                <w:rFonts w:asciiTheme="minorHAnsi" w:hAnsiTheme="minorHAnsi"/>
              </w:rPr>
            </w:pPr>
            <w:r w:rsidRPr="00B954DC">
              <w:rPr>
                <w:rStyle w:val="BookTitle"/>
                <w:rFonts w:asciiTheme="minorHAnsi" w:hAnsiTheme="minorHAnsi"/>
              </w:rPr>
              <w:t>Load maps of land-sourced pollutants (TSS and DIN)</w:t>
            </w:r>
          </w:p>
        </w:tc>
        <w:tc>
          <w:tcPr>
            <w:tcW w:w="2542" w:type="pct"/>
          </w:tcPr>
          <w:p w14:paraId="0B8B01D3" w14:textId="77777777" w:rsidR="00110A7F" w:rsidRPr="00B954DC" w:rsidRDefault="00110A7F" w:rsidP="00110A7F">
            <w:pPr>
              <w:spacing w:before="0" w:after="0"/>
              <w:rPr>
                <w:rStyle w:val="BookTitle"/>
                <w:rFonts w:asciiTheme="minorHAnsi" w:hAnsiTheme="minorHAnsi"/>
              </w:rPr>
            </w:pPr>
            <w:r w:rsidRPr="00B954DC">
              <w:rPr>
                <w:rStyle w:val="BookTitle"/>
                <w:rFonts w:asciiTheme="minorHAnsi" w:hAnsiTheme="minorHAnsi"/>
              </w:rPr>
              <w:t>The load mapping exercise, allows us to further understand the movements of pollutants which are carried within the river plume waters.</w:t>
            </w:r>
          </w:p>
        </w:tc>
        <w:tc>
          <w:tcPr>
            <w:tcW w:w="1506" w:type="pct"/>
          </w:tcPr>
          <w:p w14:paraId="6ED1A071" w14:textId="77777777" w:rsidR="00110A7F" w:rsidRPr="00B954DC" w:rsidRDefault="00110A7F" w:rsidP="00110A7F">
            <w:pPr>
              <w:spacing w:before="0" w:after="0"/>
              <w:rPr>
                <w:rStyle w:val="BookTitle"/>
                <w:rFonts w:asciiTheme="minorHAnsi" w:hAnsiTheme="minorHAnsi"/>
              </w:rPr>
            </w:pPr>
            <w:r w:rsidRPr="00B954DC">
              <w:rPr>
                <w:rStyle w:val="BookTitle"/>
                <w:rFonts w:asciiTheme="minorHAnsi" w:hAnsiTheme="minorHAnsi"/>
              </w:rPr>
              <w:t>- Whole-GBR; NRM, river</w:t>
            </w:r>
          </w:p>
          <w:p w14:paraId="7B04F001" w14:textId="77777777" w:rsidR="00110A7F" w:rsidRPr="00B954DC" w:rsidRDefault="00110A7F" w:rsidP="00110A7F">
            <w:pPr>
              <w:spacing w:before="0" w:after="0"/>
              <w:rPr>
                <w:rStyle w:val="BookTitle"/>
                <w:rFonts w:asciiTheme="minorHAnsi" w:hAnsiTheme="minorHAnsi"/>
              </w:rPr>
            </w:pPr>
            <w:r w:rsidRPr="00B954DC">
              <w:rPr>
                <w:rStyle w:val="BookTitle"/>
                <w:rFonts w:asciiTheme="minorHAnsi" w:hAnsiTheme="minorHAnsi"/>
              </w:rPr>
              <w:t>- seasonal or multi-seasonal</w:t>
            </w:r>
          </w:p>
        </w:tc>
      </w:tr>
      <w:tr w:rsidR="00110A7F" w:rsidRPr="00B954DC" w14:paraId="1F1BB25E" w14:textId="77777777" w:rsidTr="00110A7F">
        <w:tc>
          <w:tcPr>
            <w:tcW w:w="952" w:type="pct"/>
          </w:tcPr>
          <w:p w14:paraId="2EE2C752" w14:textId="77777777" w:rsidR="00110A7F" w:rsidRPr="00B954DC" w:rsidRDefault="00110A7F" w:rsidP="00110A7F">
            <w:pPr>
              <w:spacing w:before="0" w:after="0"/>
              <w:rPr>
                <w:rStyle w:val="BookTitle"/>
                <w:rFonts w:asciiTheme="minorHAnsi" w:hAnsiTheme="minorHAnsi"/>
              </w:rPr>
            </w:pPr>
            <w:r w:rsidRPr="00B954DC">
              <w:rPr>
                <w:rStyle w:val="BookTitle"/>
                <w:rFonts w:asciiTheme="minorHAnsi" w:hAnsiTheme="minorHAnsi"/>
              </w:rPr>
              <w:t>Potential river plume risk maps</w:t>
            </w:r>
          </w:p>
        </w:tc>
        <w:tc>
          <w:tcPr>
            <w:tcW w:w="2542" w:type="pct"/>
          </w:tcPr>
          <w:p w14:paraId="4D055EF8" w14:textId="77777777" w:rsidR="00110A7F" w:rsidRPr="00B954DC" w:rsidRDefault="00110A7F" w:rsidP="00110A7F">
            <w:pPr>
              <w:spacing w:before="0" w:after="0"/>
              <w:rPr>
                <w:rStyle w:val="BookTitle"/>
                <w:rFonts w:asciiTheme="minorHAnsi" w:hAnsiTheme="minorHAnsi"/>
              </w:rPr>
            </w:pPr>
            <w:r w:rsidRPr="00B954DC">
              <w:rPr>
                <w:rStyle w:val="BookTitle"/>
                <w:rFonts w:asciiTheme="minorHAnsi" w:hAnsiTheme="minorHAnsi"/>
              </w:rPr>
              <w:t>Preliminary product aiming to evaluate the ecological risk of GBR ecosystems from river plume exposure</w:t>
            </w:r>
          </w:p>
        </w:tc>
        <w:tc>
          <w:tcPr>
            <w:tcW w:w="1506" w:type="pct"/>
          </w:tcPr>
          <w:p w14:paraId="62192330" w14:textId="77777777" w:rsidR="00110A7F" w:rsidRPr="00B954DC" w:rsidRDefault="00110A7F" w:rsidP="00110A7F">
            <w:pPr>
              <w:spacing w:before="0" w:after="0"/>
              <w:rPr>
                <w:rStyle w:val="BookTitle"/>
                <w:rFonts w:asciiTheme="minorHAnsi" w:hAnsiTheme="minorHAnsi"/>
              </w:rPr>
            </w:pPr>
            <w:r w:rsidRPr="00B954DC">
              <w:rPr>
                <w:rStyle w:val="BookTitle"/>
                <w:rFonts w:asciiTheme="minorHAnsi" w:hAnsiTheme="minorHAnsi"/>
              </w:rPr>
              <w:t>- Whole-GBR; NRM, river</w:t>
            </w:r>
          </w:p>
          <w:p w14:paraId="7967D322" w14:textId="77777777" w:rsidR="00110A7F" w:rsidRPr="00B954DC" w:rsidRDefault="00110A7F" w:rsidP="00110A7F">
            <w:pPr>
              <w:spacing w:before="0" w:after="0"/>
              <w:rPr>
                <w:rStyle w:val="BookTitle"/>
                <w:rFonts w:asciiTheme="minorHAnsi" w:hAnsiTheme="minorHAnsi"/>
              </w:rPr>
            </w:pPr>
            <w:r w:rsidRPr="00B954DC">
              <w:rPr>
                <w:rStyle w:val="BookTitle"/>
                <w:rFonts w:asciiTheme="minorHAnsi" w:hAnsiTheme="minorHAnsi"/>
              </w:rPr>
              <w:t>- Daily, weekly and seasonal or multi-seasonal (frequency of occurrence)</w:t>
            </w:r>
          </w:p>
        </w:tc>
      </w:tr>
      <w:tr w:rsidR="00110A7F" w:rsidRPr="00B954DC" w14:paraId="181444D6" w14:textId="77777777" w:rsidTr="00110A7F">
        <w:tc>
          <w:tcPr>
            <w:tcW w:w="952" w:type="pct"/>
          </w:tcPr>
          <w:p w14:paraId="04969319" w14:textId="31462C65" w:rsidR="00110A7F" w:rsidRPr="00B954DC" w:rsidRDefault="00110A7F" w:rsidP="00F4441F">
            <w:pPr>
              <w:spacing w:before="0" w:after="0"/>
              <w:rPr>
                <w:rStyle w:val="BookTitle"/>
                <w:rFonts w:asciiTheme="minorHAnsi" w:hAnsiTheme="minorHAnsi"/>
              </w:rPr>
            </w:pPr>
            <w:r w:rsidRPr="00B954DC">
              <w:rPr>
                <w:rStyle w:val="BookTitle"/>
                <w:rFonts w:asciiTheme="minorHAnsi" w:hAnsiTheme="minorHAnsi"/>
              </w:rPr>
              <w:t xml:space="preserve">Exposure </w:t>
            </w:r>
            <w:r w:rsidR="00F4441F">
              <w:rPr>
                <w:rStyle w:val="BookTitle"/>
                <w:rFonts w:asciiTheme="minorHAnsi" w:hAnsiTheme="minorHAnsi"/>
              </w:rPr>
              <w:t>a</w:t>
            </w:r>
            <w:r w:rsidRPr="00B954DC">
              <w:rPr>
                <w:rStyle w:val="BookTitle"/>
                <w:rFonts w:asciiTheme="minorHAnsi" w:hAnsiTheme="minorHAnsi"/>
              </w:rPr>
              <w:t xml:space="preserve">ssessment of the coral reefs and seagrass beds </w:t>
            </w:r>
          </w:p>
        </w:tc>
        <w:tc>
          <w:tcPr>
            <w:tcW w:w="2542" w:type="pct"/>
          </w:tcPr>
          <w:p w14:paraId="1F95DC7B" w14:textId="77777777" w:rsidR="00110A7F" w:rsidRPr="00B954DC" w:rsidRDefault="00110A7F" w:rsidP="00110A7F">
            <w:pPr>
              <w:spacing w:before="0" w:after="0"/>
              <w:rPr>
                <w:rStyle w:val="BookTitle"/>
                <w:rFonts w:asciiTheme="minorHAnsi" w:hAnsiTheme="minorHAnsi"/>
              </w:rPr>
            </w:pPr>
            <w:r w:rsidRPr="00B954DC">
              <w:rPr>
                <w:rStyle w:val="BookTitle"/>
                <w:rFonts w:asciiTheme="minorHAnsi" w:hAnsiTheme="minorHAnsi"/>
              </w:rPr>
              <w:t xml:space="preserve">Assess the exposure of key GBR ecosystems to plume exposure and potential risk from the river plume exposure.  </w:t>
            </w:r>
          </w:p>
          <w:p w14:paraId="53382F94" w14:textId="77777777" w:rsidR="00110A7F" w:rsidRPr="00B954DC" w:rsidRDefault="00110A7F" w:rsidP="00110A7F">
            <w:pPr>
              <w:spacing w:before="0" w:after="0"/>
              <w:rPr>
                <w:rStyle w:val="BookTitle"/>
                <w:rFonts w:asciiTheme="minorHAnsi" w:hAnsiTheme="minorHAnsi"/>
              </w:rPr>
            </w:pPr>
            <w:r w:rsidRPr="00B954DC">
              <w:rPr>
                <w:rStyle w:val="BookTitle"/>
                <w:rFonts w:asciiTheme="minorHAnsi" w:hAnsiTheme="minorHAnsi"/>
              </w:rPr>
              <w:t>Expressed simply as the area (km</w:t>
            </w:r>
            <w:r w:rsidRPr="00B954DC">
              <w:rPr>
                <w:rStyle w:val="BookTitle"/>
                <w:rFonts w:asciiTheme="minorHAnsi" w:hAnsiTheme="minorHAnsi"/>
                <w:vertAlign w:val="superscript"/>
              </w:rPr>
              <w:t>2</w:t>
            </w:r>
            <w:r w:rsidRPr="00B954DC">
              <w:rPr>
                <w:rStyle w:val="BookTitle"/>
                <w:rFonts w:asciiTheme="minorHAnsi" w:hAnsiTheme="minorHAnsi"/>
              </w:rPr>
              <w:t>) and percentage (%) of coral reefs and seagrass meadows exposed</w:t>
            </w:r>
          </w:p>
          <w:p w14:paraId="2D8612E3" w14:textId="77777777" w:rsidR="00110A7F" w:rsidRPr="00B954DC" w:rsidRDefault="00110A7F" w:rsidP="00110A7F">
            <w:pPr>
              <w:spacing w:before="0" w:after="0"/>
              <w:rPr>
                <w:rStyle w:val="BookTitle"/>
                <w:rFonts w:asciiTheme="minorHAnsi" w:hAnsiTheme="minorHAnsi"/>
              </w:rPr>
            </w:pPr>
            <w:r w:rsidRPr="00B954DC">
              <w:rPr>
                <w:rStyle w:val="BookTitle"/>
                <w:rFonts w:asciiTheme="minorHAnsi" w:hAnsiTheme="minorHAnsi"/>
              </w:rPr>
              <w:t>Assume that historical reef and coral shapefiles can be used to assess the coral and seagrass location (stable over the years)</w:t>
            </w:r>
          </w:p>
        </w:tc>
        <w:tc>
          <w:tcPr>
            <w:tcW w:w="1506" w:type="pct"/>
          </w:tcPr>
          <w:p w14:paraId="0B8F6B4E" w14:textId="77777777" w:rsidR="00110A7F" w:rsidRPr="00B954DC" w:rsidRDefault="00110A7F" w:rsidP="00110A7F">
            <w:pPr>
              <w:spacing w:before="0" w:after="0"/>
              <w:rPr>
                <w:rStyle w:val="BookTitle"/>
                <w:rFonts w:asciiTheme="minorHAnsi" w:hAnsiTheme="minorHAnsi"/>
              </w:rPr>
            </w:pPr>
            <w:r w:rsidRPr="00B954DC">
              <w:rPr>
                <w:rStyle w:val="BookTitle"/>
                <w:rFonts w:asciiTheme="minorHAnsi" w:hAnsiTheme="minorHAnsi"/>
              </w:rPr>
              <w:t>Whole-GBR; NRM; ecosystem</w:t>
            </w:r>
          </w:p>
        </w:tc>
      </w:tr>
    </w:tbl>
    <w:p w14:paraId="5CA193BE" w14:textId="405EC76B" w:rsidR="00271DA2" w:rsidRPr="008D72C7" w:rsidRDefault="00271DA2" w:rsidP="00127564">
      <w:pPr>
        <w:pStyle w:val="Caption"/>
        <w:rPr>
          <w:b/>
          <w:i/>
        </w:rPr>
      </w:pPr>
      <w:bookmarkStart w:id="40" w:name="_Ref433183790"/>
      <w:bookmarkStart w:id="41" w:name="_Toc454304602"/>
      <w:bookmarkEnd w:id="35"/>
      <w:bookmarkEnd w:id="36"/>
      <w:r>
        <w:t xml:space="preserve">Table </w:t>
      </w:r>
      <w:r w:rsidR="00445BD2">
        <w:fldChar w:fldCharType="begin"/>
      </w:r>
      <w:r w:rsidR="00445BD2">
        <w:instrText xml:space="preserve"> STYLEREF 1 \s </w:instrText>
      </w:r>
      <w:r w:rsidR="00445BD2">
        <w:fldChar w:fldCharType="separate"/>
      </w:r>
      <w:r w:rsidR="000E22F3">
        <w:rPr>
          <w:noProof/>
        </w:rPr>
        <w:t>1</w:t>
      </w:r>
      <w:r w:rsidR="00445BD2">
        <w:fldChar w:fldCharType="end"/>
      </w:r>
      <w:r w:rsidR="00445BD2">
        <w:noBreakHyphen/>
      </w:r>
      <w:r w:rsidR="00445BD2">
        <w:fldChar w:fldCharType="begin"/>
      </w:r>
      <w:r w:rsidR="00445BD2">
        <w:instrText xml:space="preserve"> SEQ Table \* ARABIC \s 1 </w:instrText>
      </w:r>
      <w:r w:rsidR="00445BD2">
        <w:fldChar w:fldCharType="separate"/>
      </w:r>
      <w:r w:rsidR="000E22F3">
        <w:rPr>
          <w:noProof/>
        </w:rPr>
        <w:t>5</w:t>
      </w:r>
      <w:r w:rsidR="00445BD2">
        <w:fldChar w:fldCharType="end"/>
      </w:r>
      <w:bookmarkEnd w:id="40"/>
      <w:r w:rsidR="009F4CB0">
        <w:t>:</w:t>
      </w:r>
      <w:r w:rsidR="003A69C4">
        <w:rPr>
          <w:b/>
          <w:i/>
        </w:rPr>
        <w:t xml:space="preserve"> </w:t>
      </w:r>
      <w:r w:rsidR="003A69C4" w:rsidRPr="003A69C4">
        <w:t>M</w:t>
      </w:r>
      <w:r w:rsidRPr="003A69C4">
        <w:t>ean and standard deviation (±) WQ data across plume water type (P: Primary, S: Secondary, T: Tertiary) and in the ambient marine waters (M).</w:t>
      </w:r>
      <w:bookmarkEnd w:id="41"/>
    </w:p>
    <w:tbl>
      <w:tblPr>
        <w:tblStyle w:val="LightShading"/>
        <w:tblW w:w="5000" w:type="pct"/>
        <w:tblLook w:val="06A0" w:firstRow="1" w:lastRow="0" w:firstColumn="1" w:lastColumn="0" w:noHBand="1" w:noVBand="1"/>
        <w:tblCaption w:val="Mean and standard deviation (±) WQ data across plume water type (P: Primary, S: Secondary, T: Tertiary) and in the ambient marine waters (M)."/>
        <w:tblDescription w:val="Mean and standard deviation (±) WQ data across plume water type (P: Primary, S: Secondary, T: Tertiary) and in the ambient marine waters (M)."/>
      </w:tblPr>
      <w:tblGrid>
        <w:gridCol w:w="1357"/>
        <w:gridCol w:w="2017"/>
        <w:gridCol w:w="2008"/>
        <w:gridCol w:w="1850"/>
        <w:gridCol w:w="2011"/>
      </w:tblGrid>
      <w:tr w:rsidR="00271DA2" w:rsidRPr="008D5E32" w14:paraId="64B74179" w14:textId="77777777" w:rsidTr="00B954DC">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34" w:type="pct"/>
            <w:vMerge w:val="restart"/>
            <w:noWrap/>
            <w:hideMark/>
          </w:tcPr>
          <w:p w14:paraId="3DADBD3C" w14:textId="77777777" w:rsidR="00271DA2" w:rsidRPr="008D5E32" w:rsidRDefault="00271DA2" w:rsidP="00271DA2">
            <w:pPr>
              <w:spacing w:before="0" w:after="0"/>
              <w:jc w:val="center"/>
              <w:rPr>
                <w:rFonts w:ascii="Calibri" w:hAnsi="Calibri" w:cs="Times New Roman"/>
                <w:color w:val="000000"/>
                <w:sz w:val="20"/>
                <w:szCs w:val="20"/>
              </w:rPr>
            </w:pPr>
          </w:p>
        </w:tc>
        <w:tc>
          <w:tcPr>
            <w:tcW w:w="4266" w:type="pct"/>
            <w:gridSpan w:val="4"/>
            <w:noWrap/>
            <w:hideMark/>
          </w:tcPr>
          <w:p w14:paraId="4D417F23" w14:textId="77777777" w:rsidR="00271DA2" w:rsidRPr="008D5E32" w:rsidRDefault="00271DA2" w:rsidP="00271DA2">
            <w:pPr>
              <w:spacing w:before="0" w:after="0"/>
              <w:jc w:val="center"/>
              <w:cnfStyle w:val="100000000000" w:firstRow="1" w:lastRow="0" w:firstColumn="0" w:lastColumn="0" w:oddVBand="0" w:evenVBand="0" w:oddHBand="0" w:evenHBand="0" w:firstRowFirstColumn="0" w:firstRowLastColumn="0" w:lastRowFirstColumn="0" w:lastRowLastColumn="0"/>
              <w:rPr>
                <w:rFonts w:ascii="Calibri" w:hAnsi="Calibri" w:cs="Times New Roman"/>
                <w:color w:val="000000"/>
                <w:sz w:val="20"/>
                <w:szCs w:val="20"/>
              </w:rPr>
            </w:pPr>
            <w:r w:rsidRPr="008D5E32">
              <w:rPr>
                <w:rFonts w:ascii="Calibri" w:hAnsi="Calibri" w:cs="Times New Roman"/>
                <w:color w:val="000000"/>
                <w:sz w:val="20"/>
                <w:szCs w:val="20"/>
              </w:rPr>
              <w:t>Mean  ± stdv</w:t>
            </w:r>
          </w:p>
        </w:tc>
      </w:tr>
      <w:tr w:rsidR="00271DA2" w:rsidRPr="008D5E32" w14:paraId="648EEF34" w14:textId="77777777" w:rsidTr="00B954DC">
        <w:trPr>
          <w:trHeight w:val="315"/>
        </w:trPr>
        <w:tc>
          <w:tcPr>
            <w:cnfStyle w:val="001000000000" w:firstRow="0" w:lastRow="0" w:firstColumn="1" w:lastColumn="0" w:oddVBand="0" w:evenVBand="0" w:oddHBand="0" w:evenHBand="0" w:firstRowFirstColumn="0" w:firstRowLastColumn="0" w:lastRowFirstColumn="0" w:lastRowLastColumn="0"/>
            <w:tcW w:w="734" w:type="pct"/>
            <w:vMerge/>
            <w:hideMark/>
          </w:tcPr>
          <w:p w14:paraId="65579E0A" w14:textId="77777777" w:rsidR="00271DA2" w:rsidRPr="008D5E32" w:rsidRDefault="00271DA2" w:rsidP="0065493C">
            <w:pPr>
              <w:spacing w:before="0" w:after="0"/>
              <w:jc w:val="center"/>
              <w:rPr>
                <w:rFonts w:ascii="Calibri" w:hAnsi="Calibri" w:cs="Times New Roman"/>
                <w:color w:val="000000"/>
                <w:sz w:val="20"/>
                <w:szCs w:val="20"/>
              </w:rPr>
            </w:pPr>
          </w:p>
        </w:tc>
        <w:tc>
          <w:tcPr>
            <w:tcW w:w="1091" w:type="pct"/>
            <w:noWrap/>
            <w:hideMark/>
          </w:tcPr>
          <w:p w14:paraId="6D56D2BA" w14:textId="77777777" w:rsidR="00271DA2" w:rsidRPr="008D5E32" w:rsidRDefault="00271DA2" w:rsidP="0065493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bCs/>
                <w:color w:val="000000"/>
                <w:sz w:val="20"/>
                <w:szCs w:val="20"/>
              </w:rPr>
            </w:pPr>
            <w:r w:rsidRPr="008D5E32">
              <w:rPr>
                <w:rFonts w:ascii="Calibri" w:hAnsi="Calibri" w:cs="Times New Roman"/>
                <w:b/>
                <w:bCs/>
                <w:color w:val="000000"/>
                <w:sz w:val="20"/>
                <w:szCs w:val="20"/>
              </w:rPr>
              <w:t>P</w:t>
            </w:r>
          </w:p>
        </w:tc>
        <w:tc>
          <w:tcPr>
            <w:tcW w:w="1086" w:type="pct"/>
            <w:noWrap/>
            <w:hideMark/>
          </w:tcPr>
          <w:p w14:paraId="36DF1565" w14:textId="77777777" w:rsidR="00271DA2" w:rsidRPr="008D5E32" w:rsidRDefault="00271DA2" w:rsidP="0065493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bCs/>
                <w:color w:val="000000"/>
                <w:sz w:val="20"/>
                <w:szCs w:val="20"/>
              </w:rPr>
            </w:pPr>
            <w:r w:rsidRPr="008D5E32">
              <w:rPr>
                <w:rFonts w:ascii="Calibri" w:hAnsi="Calibri" w:cs="Times New Roman"/>
                <w:b/>
                <w:bCs/>
                <w:color w:val="000000"/>
                <w:sz w:val="20"/>
                <w:szCs w:val="20"/>
              </w:rPr>
              <w:t>S</w:t>
            </w:r>
          </w:p>
        </w:tc>
        <w:tc>
          <w:tcPr>
            <w:tcW w:w="1001" w:type="pct"/>
            <w:noWrap/>
            <w:hideMark/>
          </w:tcPr>
          <w:p w14:paraId="274485DB" w14:textId="77777777" w:rsidR="00271DA2" w:rsidRPr="008D5E32" w:rsidRDefault="00271DA2" w:rsidP="0065493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bCs/>
                <w:color w:val="000000"/>
                <w:sz w:val="20"/>
                <w:szCs w:val="20"/>
              </w:rPr>
            </w:pPr>
            <w:r w:rsidRPr="008D5E32">
              <w:rPr>
                <w:rFonts w:ascii="Calibri" w:hAnsi="Calibri" w:cs="Times New Roman"/>
                <w:b/>
                <w:bCs/>
                <w:color w:val="000000"/>
                <w:sz w:val="20"/>
                <w:szCs w:val="20"/>
              </w:rPr>
              <w:t>T</w:t>
            </w:r>
          </w:p>
        </w:tc>
        <w:tc>
          <w:tcPr>
            <w:tcW w:w="1087" w:type="pct"/>
            <w:noWrap/>
            <w:hideMark/>
          </w:tcPr>
          <w:p w14:paraId="0ACFE4F3" w14:textId="77777777" w:rsidR="00271DA2" w:rsidRPr="008D5E32" w:rsidRDefault="00271DA2" w:rsidP="0065493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bCs/>
                <w:color w:val="000000"/>
                <w:sz w:val="20"/>
                <w:szCs w:val="20"/>
              </w:rPr>
            </w:pPr>
            <w:r w:rsidRPr="008D5E32">
              <w:rPr>
                <w:rFonts w:ascii="Calibri" w:hAnsi="Calibri" w:cs="Times New Roman"/>
                <w:b/>
                <w:bCs/>
                <w:color w:val="000000"/>
                <w:sz w:val="20"/>
                <w:szCs w:val="20"/>
              </w:rPr>
              <w:t>M</w:t>
            </w:r>
          </w:p>
        </w:tc>
      </w:tr>
      <w:tr w:rsidR="00271DA2" w:rsidRPr="008D5E32" w14:paraId="2EB8EED8" w14:textId="77777777" w:rsidTr="00B954DC">
        <w:trPr>
          <w:trHeight w:val="300"/>
        </w:trPr>
        <w:tc>
          <w:tcPr>
            <w:cnfStyle w:val="001000000000" w:firstRow="0" w:lastRow="0" w:firstColumn="1" w:lastColumn="0" w:oddVBand="0" w:evenVBand="0" w:oddHBand="0" w:evenHBand="0" w:firstRowFirstColumn="0" w:firstRowLastColumn="0" w:lastRowFirstColumn="0" w:lastRowLastColumn="0"/>
            <w:tcW w:w="734" w:type="pct"/>
            <w:noWrap/>
            <w:hideMark/>
          </w:tcPr>
          <w:p w14:paraId="5A7B8F2E" w14:textId="77777777" w:rsidR="00271DA2" w:rsidRPr="008D5E32" w:rsidRDefault="00271DA2" w:rsidP="00B954DC">
            <w:pPr>
              <w:spacing w:before="0" w:after="0"/>
              <w:jc w:val="left"/>
              <w:rPr>
                <w:rFonts w:ascii="Calibri" w:hAnsi="Calibri" w:cs="Times New Roman"/>
                <w:color w:val="000000"/>
                <w:sz w:val="20"/>
                <w:szCs w:val="20"/>
              </w:rPr>
            </w:pPr>
            <w:r w:rsidRPr="008D5E32">
              <w:rPr>
                <w:rFonts w:ascii="Calibri" w:hAnsi="Calibri" w:cs="Times New Roman"/>
                <w:color w:val="000000"/>
                <w:sz w:val="20"/>
                <w:szCs w:val="20"/>
              </w:rPr>
              <w:t>Temp</w:t>
            </w:r>
          </w:p>
        </w:tc>
        <w:tc>
          <w:tcPr>
            <w:tcW w:w="1091" w:type="pct"/>
            <w:noWrap/>
            <w:hideMark/>
          </w:tcPr>
          <w:p w14:paraId="5130CA20" w14:textId="77777777" w:rsidR="00271DA2" w:rsidRPr="008D5E32" w:rsidRDefault="00271DA2" w:rsidP="00271DA2">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sz w:val="20"/>
                <w:szCs w:val="20"/>
              </w:rPr>
            </w:pPr>
            <w:r w:rsidRPr="008D5E32">
              <w:rPr>
                <w:rFonts w:ascii="Calibri" w:hAnsi="Calibri" w:cs="Times New Roman"/>
                <w:color w:val="000000"/>
                <w:sz w:val="20"/>
                <w:szCs w:val="20"/>
              </w:rPr>
              <w:t xml:space="preserve">28.87 </w:t>
            </w:r>
            <w:r w:rsidRPr="008D5E32">
              <w:rPr>
                <w:rFonts w:ascii="Calibri" w:hAnsi="Calibri" w:cs="Times New Roman"/>
                <w:i/>
                <w:color w:val="000000"/>
                <w:sz w:val="20"/>
                <w:szCs w:val="20"/>
              </w:rPr>
              <w:t>± 1.42</w:t>
            </w:r>
          </w:p>
        </w:tc>
        <w:tc>
          <w:tcPr>
            <w:tcW w:w="1086" w:type="pct"/>
            <w:noWrap/>
            <w:hideMark/>
          </w:tcPr>
          <w:p w14:paraId="57C71579" w14:textId="77777777" w:rsidR="00271DA2" w:rsidRPr="008D5E32" w:rsidRDefault="00271DA2" w:rsidP="00271DA2">
            <w:pPr>
              <w:spacing w:before="0" w:after="0"/>
              <w:jc w:val="center"/>
              <w:cnfStyle w:val="000000000000" w:firstRow="0" w:lastRow="0" w:firstColumn="0" w:lastColumn="0" w:oddVBand="0" w:evenVBand="0" w:oddHBand="0" w:evenHBand="0" w:firstRowFirstColumn="0" w:firstRowLastColumn="0" w:lastRowFirstColumn="0" w:lastRowLastColumn="0"/>
              <w:rPr>
                <w:sz w:val="20"/>
                <w:szCs w:val="20"/>
              </w:rPr>
            </w:pPr>
            <w:r w:rsidRPr="008D5E32">
              <w:rPr>
                <w:rFonts w:ascii="Calibri" w:hAnsi="Calibri" w:cs="Times New Roman"/>
                <w:color w:val="000000"/>
                <w:sz w:val="20"/>
                <w:szCs w:val="20"/>
              </w:rPr>
              <w:t xml:space="preserve">28.67 </w:t>
            </w:r>
            <w:r w:rsidRPr="008D5E32">
              <w:rPr>
                <w:rFonts w:ascii="Calibri" w:hAnsi="Calibri" w:cs="Times New Roman"/>
                <w:i/>
                <w:color w:val="000000"/>
                <w:sz w:val="20"/>
                <w:szCs w:val="20"/>
              </w:rPr>
              <w:t>± 1.33</w:t>
            </w:r>
          </w:p>
        </w:tc>
        <w:tc>
          <w:tcPr>
            <w:tcW w:w="1001" w:type="pct"/>
            <w:noWrap/>
            <w:hideMark/>
          </w:tcPr>
          <w:p w14:paraId="0B8FB9B9" w14:textId="77777777" w:rsidR="00271DA2" w:rsidRPr="008D5E32" w:rsidRDefault="00271DA2" w:rsidP="00271DA2">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sz w:val="20"/>
                <w:szCs w:val="20"/>
              </w:rPr>
            </w:pPr>
            <w:r w:rsidRPr="008D5E32">
              <w:rPr>
                <w:rFonts w:ascii="Calibri" w:hAnsi="Calibri" w:cs="Times New Roman"/>
                <w:color w:val="000000"/>
                <w:sz w:val="20"/>
                <w:szCs w:val="20"/>
              </w:rPr>
              <w:t xml:space="preserve">29.18 </w:t>
            </w:r>
            <w:r w:rsidRPr="008D5E32">
              <w:rPr>
                <w:rFonts w:ascii="Calibri" w:hAnsi="Calibri" w:cs="Times New Roman"/>
                <w:i/>
                <w:color w:val="000000"/>
                <w:sz w:val="20"/>
                <w:szCs w:val="20"/>
              </w:rPr>
              <w:t>± 1.24</w:t>
            </w:r>
          </w:p>
        </w:tc>
        <w:tc>
          <w:tcPr>
            <w:tcW w:w="1087" w:type="pct"/>
            <w:noWrap/>
            <w:hideMark/>
          </w:tcPr>
          <w:p w14:paraId="23D49DDD" w14:textId="77777777" w:rsidR="00271DA2" w:rsidRPr="008D5E32" w:rsidRDefault="00271DA2" w:rsidP="00271DA2">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sz w:val="20"/>
                <w:szCs w:val="20"/>
              </w:rPr>
            </w:pPr>
            <w:r w:rsidRPr="008D5E32">
              <w:rPr>
                <w:rFonts w:ascii="Calibri" w:hAnsi="Calibri" w:cs="Times New Roman"/>
                <w:color w:val="000000"/>
                <w:sz w:val="20"/>
                <w:szCs w:val="20"/>
              </w:rPr>
              <w:t xml:space="preserve">28.25 </w:t>
            </w:r>
            <w:r w:rsidRPr="008D5E32">
              <w:rPr>
                <w:rFonts w:ascii="Calibri" w:hAnsi="Calibri" w:cs="Times New Roman"/>
                <w:i/>
                <w:color w:val="000000"/>
                <w:sz w:val="20"/>
                <w:szCs w:val="20"/>
              </w:rPr>
              <w:t>± 0.51</w:t>
            </w:r>
          </w:p>
        </w:tc>
      </w:tr>
      <w:tr w:rsidR="00271DA2" w:rsidRPr="008D5E32" w14:paraId="52A6FEAF" w14:textId="77777777" w:rsidTr="00B954DC">
        <w:trPr>
          <w:trHeight w:val="300"/>
        </w:trPr>
        <w:tc>
          <w:tcPr>
            <w:cnfStyle w:val="001000000000" w:firstRow="0" w:lastRow="0" w:firstColumn="1" w:lastColumn="0" w:oddVBand="0" w:evenVBand="0" w:oddHBand="0" w:evenHBand="0" w:firstRowFirstColumn="0" w:firstRowLastColumn="0" w:lastRowFirstColumn="0" w:lastRowLastColumn="0"/>
            <w:tcW w:w="734" w:type="pct"/>
            <w:noWrap/>
            <w:hideMark/>
          </w:tcPr>
          <w:p w14:paraId="07AF99DB" w14:textId="77777777" w:rsidR="00271DA2" w:rsidRPr="008D5E32" w:rsidRDefault="00271DA2" w:rsidP="00B954DC">
            <w:pPr>
              <w:spacing w:before="0" w:after="0"/>
              <w:jc w:val="left"/>
              <w:rPr>
                <w:rFonts w:ascii="Calibri" w:hAnsi="Calibri" w:cs="Times New Roman"/>
                <w:color w:val="000000"/>
                <w:sz w:val="20"/>
                <w:szCs w:val="20"/>
              </w:rPr>
            </w:pPr>
            <w:r w:rsidRPr="008D5E32">
              <w:rPr>
                <w:rFonts w:ascii="Calibri" w:hAnsi="Calibri" w:cs="Times New Roman"/>
                <w:color w:val="000000"/>
                <w:sz w:val="20"/>
                <w:szCs w:val="20"/>
              </w:rPr>
              <w:t>Sal</w:t>
            </w:r>
          </w:p>
        </w:tc>
        <w:tc>
          <w:tcPr>
            <w:tcW w:w="1091" w:type="pct"/>
            <w:noWrap/>
            <w:hideMark/>
          </w:tcPr>
          <w:p w14:paraId="76AE21AD" w14:textId="77777777" w:rsidR="00271DA2" w:rsidRPr="008D5E32" w:rsidRDefault="00271DA2" w:rsidP="00271DA2">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sz w:val="20"/>
                <w:szCs w:val="20"/>
              </w:rPr>
            </w:pPr>
            <w:r w:rsidRPr="008D5E32">
              <w:rPr>
                <w:rFonts w:ascii="Calibri" w:hAnsi="Calibri" w:cs="Times New Roman"/>
                <w:color w:val="000000"/>
                <w:sz w:val="20"/>
                <w:szCs w:val="20"/>
              </w:rPr>
              <w:t xml:space="preserve">24.44 </w:t>
            </w:r>
            <w:r w:rsidRPr="008D5E32">
              <w:rPr>
                <w:rFonts w:ascii="Calibri" w:hAnsi="Calibri" w:cs="Times New Roman"/>
                <w:i/>
                <w:color w:val="000000"/>
                <w:sz w:val="20"/>
                <w:szCs w:val="20"/>
              </w:rPr>
              <w:t>± 9.19</w:t>
            </w:r>
          </w:p>
        </w:tc>
        <w:tc>
          <w:tcPr>
            <w:tcW w:w="1086" w:type="pct"/>
            <w:noWrap/>
            <w:hideMark/>
          </w:tcPr>
          <w:p w14:paraId="114ECFC1" w14:textId="77777777" w:rsidR="00271DA2" w:rsidRPr="008D5E32" w:rsidRDefault="00271DA2" w:rsidP="00271DA2">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sz w:val="20"/>
                <w:szCs w:val="20"/>
              </w:rPr>
            </w:pPr>
            <w:r w:rsidRPr="008D5E32">
              <w:rPr>
                <w:rFonts w:ascii="Calibri" w:hAnsi="Calibri" w:cs="Times New Roman"/>
                <w:color w:val="000000"/>
                <w:sz w:val="20"/>
                <w:szCs w:val="20"/>
              </w:rPr>
              <w:t xml:space="preserve">30.27 </w:t>
            </w:r>
            <w:r w:rsidRPr="008D5E32">
              <w:rPr>
                <w:rFonts w:ascii="Calibri" w:hAnsi="Calibri" w:cs="Times New Roman"/>
                <w:i/>
                <w:color w:val="000000"/>
                <w:sz w:val="20"/>
                <w:szCs w:val="20"/>
              </w:rPr>
              <w:t>± 6.28</w:t>
            </w:r>
          </w:p>
        </w:tc>
        <w:tc>
          <w:tcPr>
            <w:tcW w:w="1001" w:type="pct"/>
            <w:noWrap/>
            <w:hideMark/>
          </w:tcPr>
          <w:p w14:paraId="1784D3CA" w14:textId="77777777" w:rsidR="00271DA2" w:rsidRPr="008D5E32" w:rsidRDefault="00271DA2" w:rsidP="00271DA2">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sz w:val="20"/>
                <w:szCs w:val="20"/>
              </w:rPr>
            </w:pPr>
            <w:r w:rsidRPr="008D5E32">
              <w:rPr>
                <w:rFonts w:ascii="Calibri" w:hAnsi="Calibri" w:cs="Times New Roman"/>
                <w:color w:val="000000"/>
                <w:sz w:val="20"/>
                <w:szCs w:val="20"/>
              </w:rPr>
              <w:t xml:space="preserve">32.44 </w:t>
            </w:r>
            <w:r w:rsidRPr="008D5E32">
              <w:rPr>
                <w:rFonts w:ascii="Calibri" w:hAnsi="Calibri" w:cs="Times New Roman"/>
                <w:i/>
                <w:color w:val="000000"/>
                <w:sz w:val="20"/>
                <w:szCs w:val="20"/>
              </w:rPr>
              <w:t>± 4.70</w:t>
            </w:r>
          </w:p>
        </w:tc>
        <w:tc>
          <w:tcPr>
            <w:tcW w:w="1087" w:type="pct"/>
            <w:noWrap/>
            <w:hideMark/>
          </w:tcPr>
          <w:p w14:paraId="5DBDBA75" w14:textId="77777777" w:rsidR="00271DA2" w:rsidRPr="008D5E32" w:rsidRDefault="00271DA2" w:rsidP="00271DA2">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sz w:val="20"/>
                <w:szCs w:val="20"/>
              </w:rPr>
            </w:pPr>
            <w:r w:rsidRPr="008D5E32">
              <w:rPr>
                <w:rFonts w:ascii="Calibri" w:hAnsi="Calibri" w:cs="Times New Roman"/>
                <w:color w:val="000000"/>
                <w:sz w:val="20"/>
                <w:szCs w:val="20"/>
              </w:rPr>
              <w:t xml:space="preserve">32.86 </w:t>
            </w:r>
            <w:r w:rsidRPr="008D5E32">
              <w:rPr>
                <w:rFonts w:ascii="Calibri" w:hAnsi="Calibri" w:cs="Times New Roman"/>
                <w:i/>
                <w:color w:val="000000"/>
                <w:sz w:val="20"/>
                <w:szCs w:val="20"/>
              </w:rPr>
              <w:t>± 1.72</w:t>
            </w:r>
          </w:p>
        </w:tc>
      </w:tr>
      <w:tr w:rsidR="00271DA2" w:rsidRPr="008D5E32" w14:paraId="4122B440" w14:textId="77777777" w:rsidTr="00B954DC">
        <w:trPr>
          <w:trHeight w:val="300"/>
        </w:trPr>
        <w:tc>
          <w:tcPr>
            <w:cnfStyle w:val="001000000000" w:firstRow="0" w:lastRow="0" w:firstColumn="1" w:lastColumn="0" w:oddVBand="0" w:evenVBand="0" w:oddHBand="0" w:evenHBand="0" w:firstRowFirstColumn="0" w:firstRowLastColumn="0" w:lastRowFirstColumn="0" w:lastRowLastColumn="0"/>
            <w:tcW w:w="734" w:type="pct"/>
            <w:noWrap/>
          </w:tcPr>
          <w:p w14:paraId="6B8553CB" w14:textId="77777777" w:rsidR="00271DA2" w:rsidRPr="008D5E32" w:rsidRDefault="00271DA2" w:rsidP="00B954DC">
            <w:pPr>
              <w:spacing w:before="0" w:after="0"/>
              <w:jc w:val="left"/>
              <w:rPr>
                <w:rFonts w:ascii="Calibri" w:hAnsi="Calibri" w:cs="Times New Roman"/>
                <w:color w:val="000000"/>
                <w:sz w:val="20"/>
                <w:szCs w:val="20"/>
              </w:rPr>
            </w:pPr>
            <w:r w:rsidRPr="008D5E32">
              <w:rPr>
                <w:rFonts w:ascii="Calibri" w:hAnsi="Calibri" w:cs="Times New Roman"/>
                <w:color w:val="000000"/>
                <w:sz w:val="20"/>
                <w:szCs w:val="20"/>
              </w:rPr>
              <w:t>Depth</w:t>
            </w:r>
          </w:p>
        </w:tc>
        <w:tc>
          <w:tcPr>
            <w:tcW w:w="1091" w:type="pct"/>
            <w:noWrap/>
          </w:tcPr>
          <w:p w14:paraId="74EC72E0" w14:textId="77777777" w:rsidR="00271DA2" w:rsidRPr="008D5E32" w:rsidRDefault="00271DA2" w:rsidP="00271DA2">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sz w:val="20"/>
                <w:szCs w:val="20"/>
              </w:rPr>
            </w:pPr>
            <w:r w:rsidRPr="008D5E32">
              <w:rPr>
                <w:rFonts w:ascii="Calibri" w:hAnsi="Calibri"/>
                <w:color w:val="000000"/>
                <w:sz w:val="20"/>
                <w:szCs w:val="20"/>
              </w:rPr>
              <w:t xml:space="preserve">13.77 </w:t>
            </w:r>
            <w:r w:rsidRPr="008D5E32">
              <w:rPr>
                <w:rFonts w:ascii="Calibri" w:hAnsi="Calibri" w:cs="Times New Roman"/>
                <w:i/>
                <w:color w:val="000000"/>
                <w:sz w:val="20"/>
                <w:szCs w:val="20"/>
              </w:rPr>
              <w:t xml:space="preserve">± </w:t>
            </w:r>
            <w:r w:rsidRPr="008D5E32">
              <w:rPr>
                <w:rFonts w:ascii="Calibri" w:hAnsi="Calibri"/>
                <w:i/>
                <w:color w:val="000000"/>
                <w:sz w:val="20"/>
                <w:szCs w:val="20"/>
              </w:rPr>
              <w:t>15.62</w:t>
            </w:r>
          </w:p>
        </w:tc>
        <w:tc>
          <w:tcPr>
            <w:tcW w:w="1086" w:type="pct"/>
            <w:noWrap/>
          </w:tcPr>
          <w:p w14:paraId="2DFFFD61" w14:textId="77777777" w:rsidR="00271DA2" w:rsidRPr="008D5E32" w:rsidRDefault="00271DA2" w:rsidP="00271DA2">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sz w:val="20"/>
                <w:szCs w:val="20"/>
              </w:rPr>
            </w:pPr>
            <w:r w:rsidRPr="008D5E32">
              <w:rPr>
                <w:rFonts w:ascii="Calibri" w:hAnsi="Calibri"/>
                <w:color w:val="000000"/>
                <w:sz w:val="20"/>
                <w:szCs w:val="20"/>
              </w:rPr>
              <w:t xml:space="preserve">17.08 </w:t>
            </w:r>
            <w:r w:rsidRPr="008D5E32">
              <w:rPr>
                <w:rFonts w:ascii="Calibri" w:hAnsi="Calibri" w:cs="Times New Roman"/>
                <w:i/>
                <w:color w:val="000000"/>
                <w:sz w:val="20"/>
                <w:szCs w:val="20"/>
              </w:rPr>
              <w:t xml:space="preserve">± </w:t>
            </w:r>
            <w:r w:rsidRPr="008D5E32">
              <w:rPr>
                <w:rFonts w:ascii="Calibri" w:hAnsi="Calibri"/>
                <w:i/>
                <w:color w:val="000000"/>
                <w:sz w:val="20"/>
                <w:szCs w:val="20"/>
              </w:rPr>
              <w:t>15.62</w:t>
            </w:r>
          </w:p>
        </w:tc>
        <w:tc>
          <w:tcPr>
            <w:tcW w:w="1001" w:type="pct"/>
            <w:noWrap/>
          </w:tcPr>
          <w:p w14:paraId="50A82B68" w14:textId="77777777" w:rsidR="00271DA2" w:rsidRPr="008D5E32" w:rsidRDefault="00271DA2" w:rsidP="00271DA2">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sz w:val="20"/>
                <w:szCs w:val="20"/>
              </w:rPr>
            </w:pPr>
            <w:r w:rsidRPr="008D5E32">
              <w:rPr>
                <w:rFonts w:ascii="Calibri" w:hAnsi="Calibri"/>
                <w:color w:val="000000"/>
                <w:sz w:val="20"/>
                <w:szCs w:val="20"/>
              </w:rPr>
              <w:t xml:space="preserve">21.30 </w:t>
            </w:r>
            <w:r w:rsidRPr="008D5E32">
              <w:rPr>
                <w:rFonts w:ascii="Calibri" w:hAnsi="Calibri" w:cs="Times New Roman"/>
                <w:i/>
                <w:color w:val="000000"/>
                <w:sz w:val="20"/>
                <w:szCs w:val="20"/>
              </w:rPr>
              <w:t xml:space="preserve">± </w:t>
            </w:r>
            <w:r w:rsidRPr="008D5E32">
              <w:rPr>
                <w:rFonts w:ascii="Calibri" w:hAnsi="Calibri"/>
                <w:i/>
                <w:color w:val="000000"/>
                <w:sz w:val="20"/>
                <w:szCs w:val="20"/>
              </w:rPr>
              <w:t>6.39</w:t>
            </w:r>
          </w:p>
        </w:tc>
        <w:tc>
          <w:tcPr>
            <w:tcW w:w="1087" w:type="pct"/>
            <w:noWrap/>
          </w:tcPr>
          <w:p w14:paraId="5E962552" w14:textId="77777777" w:rsidR="00271DA2" w:rsidRPr="008D5E32" w:rsidRDefault="00271DA2" w:rsidP="00271DA2">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sz w:val="20"/>
                <w:szCs w:val="20"/>
              </w:rPr>
            </w:pPr>
            <w:r w:rsidRPr="008D5E32">
              <w:rPr>
                <w:rFonts w:ascii="Calibri" w:hAnsi="Calibri"/>
                <w:color w:val="000000"/>
                <w:sz w:val="20"/>
                <w:szCs w:val="20"/>
              </w:rPr>
              <w:t xml:space="preserve">25.00 </w:t>
            </w:r>
            <w:r w:rsidRPr="008D5E32">
              <w:rPr>
                <w:rFonts w:ascii="Calibri" w:hAnsi="Calibri" w:cs="Times New Roman"/>
                <w:i/>
                <w:color w:val="000000"/>
                <w:sz w:val="20"/>
                <w:szCs w:val="20"/>
              </w:rPr>
              <w:t xml:space="preserve">± </w:t>
            </w:r>
            <w:r w:rsidRPr="008D5E32">
              <w:rPr>
                <w:rFonts w:ascii="Calibri" w:hAnsi="Calibri"/>
                <w:i/>
                <w:color w:val="000000"/>
                <w:sz w:val="20"/>
                <w:szCs w:val="20"/>
              </w:rPr>
              <w:t>11.31</w:t>
            </w:r>
          </w:p>
        </w:tc>
      </w:tr>
      <w:tr w:rsidR="00271DA2" w:rsidRPr="008D5E32" w14:paraId="0C1C6D5B" w14:textId="77777777" w:rsidTr="00B954DC">
        <w:trPr>
          <w:trHeight w:val="300"/>
        </w:trPr>
        <w:tc>
          <w:tcPr>
            <w:cnfStyle w:val="001000000000" w:firstRow="0" w:lastRow="0" w:firstColumn="1" w:lastColumn="0" w:oddVBand="0" w:evenVBand="0" w:oddHBand="0" w:evenHBand="0" w:firstRowFirstColumn="0" w:firstRowLastColumn="0" w:lastRowFirstColumn="0" w:lastRowLastColumn="0"/>
            <w:tcW w:w="734" w:type="pct"/>
            <w:noWrap/>
            <w:hideMark/>
          </w:tcPr>
          <w:p w14:paraId="6B69BF95" w14:textId="77777777" w:rsidR="00271DA2" w:rsidRPr="008D5E32" w:rsidRDefault="00271DA2" w:rsidP="00B954DC">
            <w:pPr>
              <w:spacing w:before="0" w:after="0"/>
              <w:jc w:val="left"/>
              <w:rPr>
                <w:rFonts w:ascii="Calibri" w:hAnsi="Calibri" w:cs="Times New Roman"/>
                <w:color w:val="000000"/>
                <w:sz w:val="20"/>
                <w:szCs w:val="20"/>
              </w:rPr>
            </w:pPr>
            <w:r w:rsidRPr="008D5E32">
              <w:rPr>
                <w:rFonts w:ascii="Calibri" w:hAnsi="Calibri" w:cs="Times New Roman"/>
                <w:color w:val="000000"/>
                <w:sz w:val="20"/>
                <w:szCs w:val="20"/>
              </w:rPr>
              <w:t>Kd(PAR)</w:t>
            </w:r>
          </w:p>
        </w:tc>
        <w:tc>
          <w:tcPr>
            <w:tcW w:w="1091" w:type="pct"/>
            <w:noWrap/>
            <w:hideMark/>
          </w:tcPr>
          <w:p w14:paraId="52E7AA25" w14:textId="77777777" w:rsidR="00271DA2" w:rsidRPr="008D5E32" w:rsidRDefault="00271DA2" w:rsidP="00271DA2">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sz w:val="20"/>
                <w:szCs w:val="20"/>
              </w:rPr>
            </w:pPr>
            <w:r w:rsidRPr="008D5E32">
              <w:rPr>
                <w:rFonts w:ascii="Calibri" w:hAnsi="Calibri" w:cs="Times New Roman"/>
                <w:color w:val="000000"/>
                <w:sz w:val="20"/>
                <w:szCs w:val="20"/>
              </w:rPr>
              <w:t xml:space="preserve">0.78 </w:t>
            </w:r>
            <w:r w:rsidRPr="008D5E32">
              <w:rPr>
                <w:rFonts w:ascii="Calibri" w:hAnsi="Calibri" w:cs="Times New Roman"/>
                <w:i/>
                <w:color w:val="000000"/>
                <w:sz w:val="20"/>
                <w:szCs w:val="20"/>
              </w:rPr>
              <w:t>± 0.64</w:t>
            </w:r>
          </w:p>
        </w:tc>
        <w:tc>
          <w:tcPr>
            <w:tcW w:w="1086" w:type="pct"/>
            <w:noWrap/>
            <w:hideMark/>
          </w:tcPr>
          <w:p w14:paraId="1C772064" w14:textId="77777777" w:rsidR="00271DA2" w:rsidRPr="008D5E32" w:rsidRDefault="00271DA2" w:rsidP="00271DA2">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sz w:val="20"/>
                <w:szCs w:val="20"/>
              </w:rPr>
            </w:pPr>
            <w:r w:rsidRPr="008D5E32">
              <w:rPr>
                <w:rFonts w:ascii="Calibri" w:hAnsi="Calibri" w:cs="Times New Roman"/>
                <w:color w:val="000000"/>
                <w:sz w:val="20"/>
                <w:szCs w:val="20"/>
              </w:rPr>
              <w:t xml:space="preserve">0.36 </w:t>
            </w:r>
            <w:r w:rsidRPr="008D5E32">
              <w:rPr>
                <w:rFonts w:ascii="Calibri" w:hAnsi="Calibri" w:cs="Times New Roman"/>
                <w:i/>
                <w:color w:val="000000"/>
                <w:sz w:val="20"/>
                <w:szCs w:val="20"/>
              </w:rPr>
              <w:t>± 0.27</w:t>
            </w:r>
          </w:p>
        </w:tc>
        <w:tc>
          <w:tcPr>
            <w:tcW w:w="1001" w:type="pct"/>
            <w:noWrap/>
            <w:hideMark/>
          </w:tcPr>
          <w:p w14:paraId="212252BA" w14:textId="77777777" w:rsidR="00271DA2" w:rsidRPr="008D5E32" w:rsidRDefault="00271DA2" w:rsidP="00271DA2">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sz w:val="20"/>
                <w:szCs w:val="20"/>
              </w:rPr>
            </w:pPr>
            <w:r w:rsidRPr="008D5E32">
              <w:rPr>
                <w:rFonts w:ascii="Calibri" w:hAnsi="Calibri" w:cs="Times New Roman"/>
                <w:color w:val="000000"/>
                <w:sz w:val="20"/>
                <w:szCs w:val="20"/>
              </w:rPr>
              <w:t xml:space="preserve">0.20 </w:t>
            </w:r>
            <w:r w:rsidRPr="008D5E32">
              <w:rPr>
                <w:rFonts w:ascii="Calibri" w:hAnsi="Calibri" w:cs="Times New Roman"/>
                <w:i/>
                <w:color w:val="000000"/>
                <w:sz w:val="20"/>
                <w:szCs w:val="20"/>
              </w:rPr>
              <w:t>± 0.26</w:t>
            </w:r>
          </w:p>
        </w:tc>
        <w:tc>
          <w:tcPr>
            <w:tcW w:w="1087" w:type="pct"/>
            <w:noWrap/>
            <w:hideMark/>
          </w:tcPr>
          <w:p w14:paraId="3CCC7E77" w14:textId="77777777" w:rsidR="00271DA2" w:rsidRPr="008D5E32" w:rsidRDefault="00271DA2" w:rsidP="00271DA2">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sz w:val="20"/>
                <w:szCs w:val="20"/>
              </w:rPr>
            </w:pPr>
            <w:r w:rsidRPr="008D5E32">
              <w:rPr>
                <w:rFonts w:ascii="Calibri" w:hAnsi="Calibri" w:cs="Times New Roman"/>
                <w:color w:val="000000"/>
                <w:sz w:val="20"/>
                <w:szCs w:val="20"/>
              </w:rPr>
              <w:t>NA</w:t>
            </w:r>
          </w:p>
        </w:tc>
      </w:tr>
      <w:tr w:rsidR="00271DA2" w:rsidRPr="008D5E32" w14:paraId="1EB9C719" w14:textId="77777777" w:rsidTr="00B954DC">
        <w:trPr>
          <w:trHeight w:val="300"/>
        </w:trPr>
        <w:tc>
          <w:tcPr>
            <w:cnfStyle w:val="001000000000" w:firstRow="0" w:lastRow="0" w:firstColumn="1" w:lastColumn="0" w:oddVBand="0" w:evenVBand="0" w:oddHBand="0" w:evenHBand="0" w:firstRowFirstColumn="0" w:firstRowLastColumn="0" w:lastRowFirstColumn="0" w:lastRowLastColumn="0"/>
            <w:tcW w:w="734" w:type="pct"/>
            <w:noWrap/>
            <w:hideMark/>
          </w:tcPr>
          <w:p w14:paraId="399BF288" w14:textId="77777777" w:rsidR="00271DA2" w:rsidRPr="008D5E32" w:rsidRDefault="00271DA2" w:rsidP="00B954DC">
            <w:pPr>
              <w:spacing w:before="0" w:after="0"/>
              <w:jc w:val="left"/>
              <w:rPr>
                <w:rFonts w:ascii="Calibri" w:hAnsi="Calibri" w:cs="Times New Roman"/>
                <w:color w:val="000000"/>
                <w:sz w:val="20"/>
                <w:szCs w:val="20"/>
              </w:rPr>
            </w:pPr>
            <w:r w:rsidRPr="008D5E32">
              <w:rPr>
                <w:rFonts w:ascii="Calibri" w:hAnsi="Calibri" w:cs="Times New Roman"/>
                <w:color w:val="000000"/>
                <w:sz w:val="20"/>
                <w:szCs w:val="20"/>
              </w:rPr>
              <w:t>TSS</w:t>
            </w:r>
          </w:p>
        </w:tc>
        <w:tc>
          <w:tcPr>
            <w:tcW w:w="1091" w:type="pct"/>
            <w:noWrap/>
            <w:hideMark/>
          </w:tcPr>
          <w:p w14:paraId="2EB42745" w14:textId="77777777" w:rsidR="00271DA2" w:rsidRPr="008D5E32" w:rsidRDefault="00271DA2" w:rsidP="00271DA2">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sz w:val="20"/>
                <w:szCs w:val="20"/>
              </w:rPr>
            </w:pPr>
            <w:r w:rsidRPr="008D5E32">
              <w:rPr>
                <w:rFonts w:ascii="Calibri" w:hAnsi="Calibri" w:cs="Times New Roman"/>
                <w:color w:val="000000"/>
                <w:sz w:val="20"/>
                <w:szCs w:val="20"/>
              </w:rPr>
              <w:t xml:space="preserve">19.68 </w:t>
            </w:r>
            <w:r w:rsidRPr="008D5E32">
              <w:rPr>
                <w:rFonts w:ascii="Calibri" w:hAnsi="Calibri" w:cs="Times New Roman"/>
                <w:i/>
                <w:color w:val="000000"/>
                <w:sz w:val="20"/>
                <w:szCs w:val="20"/>
              </w:rPr>
              <w:t>± 38.22</w:t>
            </w:r>
          </w:p>
        </w:tc>
        <w:tc>
          <w:tcPr>
            <w:tcW w:w="1086" w:type="pct"/>
            <w:noWrap/>
            <w:hideMark/>
          </w:tcPr>
          <w:p w14:paraId="50535011" w14:textId="77777777" w:rsidR="00271DA2" w:rsidRPr="008D5E32" w:rsidRDefault="00271DA2" w:rsidP="00271DA2">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sz w:val="20"/>
                <w:szCs w:val="20"/>
              </w:rPr>
            </w:pPr>
            <w:r w:rsidRPr="008D5E32">
              <w:rPr>
                <w:rFonts w:ascii="Calibri" w:hAnsi="Calibri" w:cs="Times New Roman"/>
                <w:color w:val="000000"/>
                <w:sz w:val="20"/>
                <w:szCs w:val="20"/>
              </w:rPr>
              <w:t xml:space="preserve">8.44 </w:t>
            </w:r>
            <w:r w:rsidRPr="008D5E32">
              <w:rPr>
                <w:rFonts w:ascii="Calibri" w:hAnsi="Calibri" w:cs="Times New Roman"/>
                <w:i/>
                <w:color w:val="000000"/>
                <w:sz w:val="20"/>
                <w:szCs w:val="20"/>
              </w:rPr>
              <w:t>± 8.21</w:t>
            </w:r>
          </w:p>
        </w:tc>
        <w:tc>
          <w:tcPr>
            <w:tcW w:w="1001" w:type="pct"/>
            <w:noWrap/>
            <w:hideMark/>
          </w:tcPr>
          <w:p w14:paraId="27337963" w14:textId="77777777" w:rsidR="00271DA2" w:rsidRPr="008D5E32" w:rsidRDefault="00271DA2" w:rsidP="00271DA2">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sz w:val="20"/>
                <w:szCs w:val="20"/>
              </w:rPr>
            </w:pPr>
            <w:r w:rsidRPr="008D5E32">
              <w:rPr>
                <w:rFonts w:ascii="Calibri" w:hAnsi="Calibri" w:cs="Times New Roman"/>
                <w:color w:val="000000"/>
                <w:sz w:val="20"/>
                <w:szCs w:val="20"/>
              </w:rPr>
              <w:t xml:space="preserve">8.37 </w:t>
            </w:r>
            <w:r w:rsidRPr="008D5E32">
              <w:rPr>
                <w:rFonts w:ascii="Calibri" w:hAnsi="Calibri" w:cs="Times New Roman"/>
                <w:i/>
                <w:color w:val="000000"/>
                <w:sz w:val="20"/>
                <w:szCs w:val="20"/>
              </w:rPr>
              <w:t>±  8.29</w:t>
            </w:r>
          </w:p>
        </w:tc>
        <w:tc>
          <w:tcPr>
            <w:tcW w:w="1087" w:type="pct"/>
            <w:noWrap/>
            <w:hideMark/>
          </w:tcPr>
          <w:p w14:paraId="7CC4A34D" w14:textId="77777777" w:rsidR="00271DA2" w:rsidRPr="008D5E32" w:rsidRDefault="00271DA2" w:rsidP="00271DA2">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sz w:val="20"/>
                <w:szCs w:val="20"/>
              </w:rPr>
            </w:pPr>
            <w:r w:rsidRPr="008D5E32">
              <w:rPr>
                <w:rFonts w:ascii="Calibri" w:hAnsi="Calibri" w:cs="Times New Roman"/>
                <w:color w:val="000000"/>
                <w:sz w:val="20"/>
                <w:szCs w:val="20"/>
              </w:rPr>
              <w:t xml:space="preserve">2.61 </w:t>
            </w:r>
            <w:r w:rsidRPr="008D5E32">
              <w:rPr>
                <w:rFonts w:ascii="Calibri" w:hAnsi="Calibri" w:cs="Times New Roman"/>
                <w:i/>
                <w:color w:val="000000"/>
                <w:sz w:val="20"/>
                <w:szCs w:val="20"/>
              </w:rPr>
              <w:t>± 1.99</w:t>
            </w:r>
          </w:p>
        </w:tc>
      </w:tr>
      <w:tr w:rsidR="00271DA2" w:rsidRPr="008D5E32" w14:paraId="5D8047BB" w14:textId="77777777" w:rsidTr="00B954DC">
        <w:trPr>
          <w:trHeight w:val="300"/>
        </w:trPr>
        <w:tc>
          <w:tcPr>
            <w:cnfStyle w:val="001000000000" w:firstRow="0" w:lastRow="0" w:firstColumn="1" w:lastColumn="0" w:oddVBand="0" w:evenVBand="0" w:oddHBand="0" w:evenHBand="0" w:firstRowFirstColumn="0" w:firstRowLastColumn="0" w:lastRowFirstColumn="0" w:lastRowLastColumn="0"/>
            <w:tcW w:w="734" w:type="pct"/>
            <w:noWrap/>
            <w:hideMark/>
          </w:tcPr>
          <w:p w14:paraId="5817C2F4" w14:textId="77777777" w:rsidR="00271DA2" w:rsidRPr="008D5E32" w:rsidRDefault="00271DA2" w:rsidP="00B954DC">
            <w:pPr>
              <w:spacing w:before="0" w:after="0"/>
              <w:jc w:val="left"/>
              <w:rPr>
                <w:rFonts w:ascii="Calibri" w:hAnsi="Calibri" w:cs="Times New Roman"/>
                <w:color w:val="000000"/>
                <w:sz w:val="20"/>
                <w:szCs w:val="20"/>
              </w:rPr>
            </w:pPr>
            <w:r w:rsidRPr="008D5E32">
              <w:rPr>
                <w:rFonts w:ascii="Calibri" w:hAnsi="Calibri" w:cs="Times New Roman"/>
                <w:color w:val="000000"/>
                <w:sz w:val="20"/>
                <w:szCs w:val="20"/>
              </w:rPr>
              <w:t>DIN</w:t>
            </w:r>
          </w:p>
        </w:tc>
        <w:tc>
          <w:tcPr>
            <w:tcW w:w="1091" w:type="pct"/>
            <w:noWrap/>
            <w:hideMark/>
          </w:tcPr>
          <w:p w14:paraId="229EDF50" w14:textId="77777777" w:rsidR="00271DA2" w:rsidRPr="008D5E32" w:rsidRDefault="00271DA2" w:rsidP="00271DA2">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Cs/>
                <w:color w:val="000000"/>
                <w:sz w:val="20"/>
                <w:szCs w:val="20"/>
              </w:rPr>
            </w:pPr>
            <w:r w:rsidRPr="008D5E32">
              <w:rPr>
                <w:rFonts w:ascii="Calibri" w:hAnsi="Calibri" w:cs="Times New Roman"/>
                <w:bCs/>
                <w:color w:val="000000"/>
                <w:sz w:val="20"/>
                <w:szCs w:val="20"/>
              </w:rPr>
              <w:t xml:space="preserve">3.33 </w:t>
            </w:r>
            <w:r w:rsidRPr="008D5E32">
              <w:rPr>
                <w:rFonts w:ascii="Calibri" w:hAnsi="Calibri" w:cs="Times New Roman"/>
                <w:i/>
                <w:color w:val="000000"/>
                <w:sz w:val="20"/>
                <w:szCs w:val="20"/>
              </w:rPr>
              <w:t>± 3.03</w:t>
            </w:r>
          </w:p>
        </w:tc>
        <w:tc>
          <w:tcPr>
            <w:tcW w:w="1086" w:type="pct"/>
            <w:noWrap/>
            <w:hideMark/>
          </w:tcPr>
          <w:p w14:paraId="43E9BD47" w14:textId="77777777" w:rsidR="00271DA2" w:rsidRPr="008D5E32" w:rsidRDefault="00271DA2" w:rsidP="00271DA2">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Cs/>
                <w:color w:val="000000"/>
                <w:sz w:val="20"/>
                <w:szCs w:val="20"/>
              </w:rPr>
            </w:pPr>
            <w:r w:rsidRPr="008D5E32">
              <w:rPr>
                <w:rFonts w:ascii="Calibri" w:hAnsi="Calibri" w:cs="Times New Roman"/>
                <w:bCs/>
                <w:color w:val="000000"/>
                <w:sz w:val="20"/>
                <w:szCs w:val="20"/>
              </w:rPr>
              <w:t xml:space="preserve">1.87 </w:t>
            </w:r>
            <w:r w:rsidRPr="008D5E32">
              <w:rPr>
                <w:rFonts w:ascii="Calibri" w:hAnsi="Calibri" w:cs="Times New Roman"/>
                <w:i/>
                <w:color w:val="000000"/>
                <w:sz w:val="20"/>
                <w:szCs w:val="20"/>
              </w:rPr>
              <w:t>± 1.99</w:t>
            </w:r>
          </w:p>
        </w:tc>
        <w:tc>
          <w:tcPr>
            <w:tcW w:w="1001" w:type="pct"/>
            <w:noWrap/>
            <w:hideMark/>
          </w:tcPr>
          <w:p w14:paraId="790F35FD" w14:textId="77777777" w:rsidR="00271DA2" w:rsidRPr="008D5E32" w:rsidRDefault="00271DA2" w:rsidP="00271DA2">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Cs/>
                <w:color w:val="000000"/>
                <w:sz w:val="20"/>
                <w:szCs w:val="20"/>
              </w:rPr>
            </w:pPr>
            <w:r w:rsidRPr="008D5E32">
              <w:rPr>
                <w:rFonts w:ascii="Calibri" w:hAnsi="Calibri" w:cs="Times New Roman"/>
                <w:bCs/>
                <w:color w:val="000000"/>
                <w:sz w:val="20"/>
                <w:szCs w:val="20"/>
              </w:rPr>
              <w:t xml:space="preserve">1.68 </w:t>
            </w:r>
            <w:r w:rsidRPr="008D5E32">
              <w:rPr>
                <w:rFonts w:ascii="Calibri" w:hAnsi="Calibri" w:cs="Times New Roman"/>
                <w:i/>
                <w:color w:val="000000"/>
                <w:sz w:val="20"/>
                <w:szCs w:val="20"/>
              </w:rPr>
              <w:t>± 2.23</w:t>
            </w:r>
          </w:p>
        </w:tc>
        <w:tc>
          <w:tcPr>
            <w:tcW w:w="1087" w:type="pct"/>
            <w:noWrap/>
            <w:hideMark/>
          </w:tcPr>
          <w:p w14:paraId="57972C03" w14:textId="77777777" w:rsidR="00271DA2" w:rsidRPr="008D5E32" w:rsidRDefault="00271DA2" w:rsidP="00271DA2">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Cs/>
                <w:color w:val="000000"/>
                <w:sz w:val="20"/>
                <w:szCs w:val="20"/>
              </w:rPr>
            </w:pPr>
            <w:r w:rsidRPr="008D5E32">
              <w:rPr>
                <w:rFonts w:ascii="Calibri" w:hAnsi="Calibri" w:cs="Times New Roman"/>
                <w:bCs/>
                <w:color w:val="000000"/>
                <w:sz w:val="20"/>
                <w:szCs w:val="20"/>
              </w:rPr>
              <w:t xml:space="preserve">1.90 </w:t>
            </w:r>
            <w:r w:rsidRPr="008D5E32">
              <w:rPr>
                <w:rFonts w:ascii="Calibri" w:hAnsi="Calibri" w:cs="Times New Roman"/>
                <w:i/>
                <w:color w:val="000000"/>
                <w:sz w:val="20"/>
                <w:szCs w:val="20"/>
              </w:rPr>
              <w:t>± 1.03</w:t>
            </w:r>
          </w:p>
        </w:tc>
      </w:tr>
      <w:tr w:rsidR="00271DA2" w:rsidRPr="008D5E32" w14:paraId="62F864E3" w14:textId="77777777" w:rsidTr="00B954DC">
        <w:trPr>
          <w:trHeight w:val="300"/>
        </w:trPr>
        <w:tc>
          <w:tcPr>
            <w:cnfStyle w:val="001000000000" w:firstRow="0" w:lastRow="0" w:firstColumn="1" w:lastColumn="0" w:oddVBand="0" w:evenVBand="0" w:oddHBand="0" w:evenHBand="0" w:firstRowFirstColumn="0" w:firstRowLastColumn="0" w:lastRowFirstColumn="0" w:lastRowLastColumn="0"/>
            <w:tcW w:w="734" w:type="pct"/>
            <w:noWrap/>
            <w:hideMark/>
          </w:tcPr>
          <w:p w14:paraId="1D4CA634" w14:textId="77777777" w:rsidR="00271DA2" w:rsidRPr="008D5E32" w:rsidRDefault="00271DA2" w:rsidP="00B954DC">
            <w:pPr>
              <w:spacing w:before="0" w:after="0"/>
              <w:jc w:val="left"/>
              <w:rPr>
                <w:rFonts w:ascii="Calibri" w:hAnsi="Calibri" w:cs="Times New Roman"/>
                <w:color w:val="000000"/>
                <w:sz w:val="20"/>
                <w:szCs w:val="20"/>
              </w:rPr>
            </w:pPr>
            <w:r w:rsidRPr="008D5E32">
              <w:rPr>
                <w:rFonts w:ascii="Calibri" w:hAnsi="Calibri" w:cs="Times New Roman"/>
                <w:color w:val="000000"/>
                <w:sz w:val="20"/>
                <w:szCs w:val="20"/>
              </w:rPr>
              <w:t>DIP</w:t>
            </w:r>
          </w:p>
        </w:tc>
        <w:tc>
          <w:tcPr>
            <w:tcW w:w="1091" w:type="pct"/>
            <w:noWrap/>
            <w:hideMark/>
          </w:tcPr>
          <w:p w14:paraId="2090E77E" w14:textId="77777777" w:rsidR="00271DA2" w:rsidRPr="008D5E32" w:rsidRDefault="00271DA2" w:rsidP="00271DA2">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Cs/>
                <w:color w:val="000000"/>
                <w:sz w:val="20"/>
                <w:szCs w:val="20"/>
              </w:rPr>
            </w:pPr>
            <w:r w:rsidRPr="008D5E32">
              <w:rPr>
                <w:rFonts w:ascii="Calibri" w:hAnsi="Calibri" w:cs="Times New Roman"/>
                <w:bCs/>
                <w:color w:val="000000"/>
                <w:sz w:val="20"/>
                <w:szCs w:val="20"/>
              </w:rPr>
              <w:t xml:space="preserve">0.45 </w:t>
            </w:r>
            <w:r w:rsidRPr="008D5E32">
              <w:rPr>
                <w:rFonts w:ascii="Calibri" w:hAnsi="Calibri" w:cs="Times New Roman"/>
                <w:i/>
                <w:color w:val="000000"/>
                <w:sz w:val="20"/>
                <w:szCs w:val="20"/>
              </w:rPr>
              <w:t>± 0.50</w:t>
            </w:r>
          </w:p>
        </w:tc>
        <w:tc>
          <w:tcPr>
            <w:tcW w:w="1086" w:type="pct"/>
            <w:noWrap/>
            <w:hideMark/>
          </w:tcPr>
          <w:p w14:paraId="720D9500" w14:textId="77777777" w:rsidR="00271DA2" w:rsidRPr="008D5E32" w:rsidRDefault="00271DA2" w:rsidP="00271DA2">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Cs/>
                <w:color w:val="000000"/>
                <w:sz w:val="20"/>
                <w:szCs w:val="20"/>
              </w:rPr>
            </w:pPr>
            <w:r w:rsidRPr="008D5E32">
              <w:rPr>
                <w:rFonts w:ascii="Calibri" w:hAnsi="Calibri" w:cs="Times New Roman"/>
                <w:bCs/>
                <w:color w:val="000000"/>
                <w:sz w:val="20"/>
                <w:szCs w:val="20"/>
              </w:rPr>
              <w:t xml:space="preserve">0.28 </w:t>
            </w:r>
            <w:r w:rsidRPr="008D5E32">
              <w:rPr>
                <w:rFonts w:ascii="Calibri" w:hAnsi="Calibri" w:cs="Times New Roman"/>
                <w:i/>
                <w:color w:val="000000"/>
                <w:sz w:val="20"/>
                <w:szCs w:val="20"/>
              </w:rPr>
              <w:t>± 0.24</w:t>
            </w:r>
          </w:p>
        </w:tc>
        <w:tc>
          <w:tcPr>
            <w:tcW w:w="1001" w:type="pct"/>
            <w:noWrap/>
            <w:hideMark/>
          </w:tcPr>
          <w:p w14:paraId="0E1A251A" w14:textId="77777777" w:rsidR="00271DA2" w:rsidRPr="008D5E32" w:rsidRDefault="00271DA2" w:rsidP="00271DA2">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Cs/>
                <w:color w:val="000000"/>
                <w:sz w:val="20"/>
                <w:szCs w:val="20"/>
              </w:rPr>
            </w:pPr>
            <w:r w:rsidRPr="008D5E32">
              <w:rPr>
                <w:rFonts w:ascii="Calibri" w:hAnsi="Calibri" w:cs="Times New Roman"/>
                <w:bCs/>
                <w:color w:val="000000"/>
                <w:sz w:val="20"/>
                <w:szCs w:val="20"/>
              </w:rPr>
              <w:t xml:space="preserve">0.24 </w:t>
            </w:r>
            <w:r w:rsidRPr="008D5E32">
              <w:rPr>
                <w:rFonts w:ascii="Calibri" w:hAnsi="Calibri" w:cs="Times New Roman"/>
                <w:i/>
                <w:color w:val="000000"/>
                <w:sz w:val="20"/>
                <w:szCs w:val="20"/>
              </w:rPr>
              <w:t>± 0.18</w:t>
            </w:r>
          </w:p>
        </w:tc>
        <w:tc>
          <w:tcPr>
            <w:tcW w:w="1087" w:type="pct"/>
            <w:noWrap/>
            <w:hideMark/>
          </w:tcPr>
          <w:p w14:paraId="1C0E12EA" w14:textId="77777777" w:rsidR="00271DA2" w:rsidRPr="008D5E32" w:rsidRDefault="00271DA2" w:rsidP="00271DA2">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Cs/>
                <w:color w:val="000000"/>
                <w:sz w:val="20"/>
                <w:szCs w:val="20"/>
              </w:rPr>
            </w:pPr>
            <w:r w:rsidRPr="008D5E32">
              <w:rPr>
                <w:rFonts w:ascii="Calibri" w:hAnsi="Calibri" w:cs="Times New Roman"/>
                <w:bCs/>
                <w:color w:val="000000"/>
                <w:sz w:val="20"/>
                <w:szCs w:val="20"/>
              </w:rPr>
              <w:t xml:space="preserve">0.17 </w:t>
            </w:r>
            <w:r w:rsidRPr="008D5E32">
              <w:rPr>
                <w:rFonts w:ascii="Calibri" w:hAnsi="Calibri" w:cs="Times New Roman"/>
                <w:i/>
                <w:color w:val="000000"/>
                <w:sz w:val="20"/>
                <w:szCs w:val="20"/>
              </w:rPr>
              <w:t>± 0.14</w:t>
            </w:r>
          </w:p>
        </w:tc>
      </w:tr>
    </w:tbl>
    <w:p w14:paraId="6E43360C" w14:textId="77777777" w:rsidR="00271DA2" w:rsidRDefault="00271DA2" w:rsidP="0064679C"/>
    <w:p w14:paraId="237D658B" w14:textId="672A8890" w:rsidR="00565E8B" w:rsidRDefault="00565E8B" w:rsidP="00565E8B">
      <w:r>
        <w:t>These wet season plume water type maps were generated for the 2013-2014 wet season. An inshore to offshore spatial pattern was present, with coastal areas experiencing the highest frequency of occurrence of Primary plume waters and offshore areas less frequently exposed to plume waters and, when exposed, more frequently reached by the Tertiary plume waters.</w:t>
      </w:r>
      <w:r w:rsidRPr="00054B7A">
        <w:t xml:space="preserve"> </w:t>
      </w:r>
      <w:r w:rsidRPr="00FE18E3">
        <w:t>Differences also exist between NRM</w:t>
      </w:r>
      <w:r>
        <w:t xml:space="preserve"> region</w:t>
      </w:r>
      <w:r w:rsidRPr="00FE18E3">
        <w:t>s</w:t>
      </w:r>
      <w:r>
        <w:t xml:space="preserve">. For example, </w:t>
      </w:r>
      <w:r w:rsidRPr="00FE18E3">
        <w:t>coastal waters of</w:t>
      </w:r>
      <w:r>
        <w:t>f</w:t>
      </w:r>
      <w:r w:rsidRPr="00FE18E3">
        <w:t xml:space="preserve"> the Burdekin </w:t>
      </w:r>
      <w:r>
        <w:t>region</w:t>
      </w:r>
      <w:r w:rsidRPr="00FE18E3">
        <w:t xml:space="preserve"> </w:t>
      </w:r>
      <w:r>
        <w:t>were</w:t>
      </w:r>
      <w:r w:rsidRPr="00FE18E3">
        <w:t xml:space="preserve"> more often exposed to Primary </w:t>
      </w:r>
      <w:r>
        <w:t xml:space="preserve">plume </w:t>
      </w:r>
      <w:r w:rsidRPr="00FE18E3">
        <w:t>waters (i.e., sediment dominated water type</w:t>
      </w:r>
      <w:r>
        <w:t>)</w:t>
      </w:r>
      <w:r w:rsidRPr="00FE18E3">
        <w:t>, than coastal waters of</w:t>
      </w:r>
      <w:r w:rsidR="00F4441F">
        <w:t>f</w:t>
      </w:r>
      <w:r w:rsidRPr="00FE18E3">
        <w:t xml:space="preserve"> the Wet Tropic</w:t>
      </w:r>
      <w:r>
        <w:t>s</w:t>
      </w:r>
      <w:r w:rsidRPr="00FE18E3">
        <w:t xml:space="preserve"> </w:t>
      </w:r>
      <w:r>
        <w:t>region</w:t>
      </w:r>
      <w:r w:rsidRPr="00FE18E3">
        <w:t xml:space="preserve">. Conversely, marine areas occasionally to frequently exposed to Secondary and Tertiary water types </w:t>
      </w:r>
      <w:r>
        <w:t>were</w:t>
      </w:r>
      <w:r w:rsidRPr="00FE18E3">
        <w:t xml:space="preserve"> </w:t>
      </w:r>
      <w:r>
        <w:t xml:space="preserve">more extended in the Wet Tropics region </w:t>
      </w:r>
      <w:r w:rsidRPr="00FE18E3">
        <w:t xml:space="preserve">than in the Burdekin </w:t>
      </w:r>
      <w:r>
        <w:t>region</w:t>
      </w:r>
      <w:r w:rsidRPr="00FE18E3">
        <w:t xml:space="preserve">. These results are in agreement with current knowledge as high TSS concentrations have been mainly linked to grazing activities in the Dry Tropics and particularly the Burdekin </w:t>
      </w:r>
      <w:r>
        <w:t>region (e.g. Waterhouse et al. 2012; Waters et al., 2014)</w:t>
      </w:r>
      <w:r w:rsidRPr="00FE18E3">
        <w:t>; while occurrence of coastal waters with elevated concentrations of dissolved inorganic nitrogen (DIN) has been linked to fertilised agriculture (predominantly sugarcane) in the Wet Tropics region</w:t>
      </w:r>
      <w:r>
        <w:t xml:space="preserve"> (e.g. Waterhouse et al. 2012; Waters et al. 2014)</w:t>
      </w:r>
      <w:r w:rsidRPr="00FE18E3">
        <w:t>.</w:t>
      </w:r>
    </w:p>
    <w:p w14:paraId="1CAD50A7" w14:textId="77777777" w:rsidR="00054B7A" w:rsidRDefault="00054B7A" w:rsidP="00054B7A">
      <w:pPr>
        <w:spacing w:before="0"/>
      </w:pPr>
      <w:r>
        <w:t xml:space="preserve">Tropical Cyclone Ita </w:t>
      </w:r>
      <w:r w:rsidR="00127564">
        <w:t>resulted in</w:t>
      </w:r>
      <w:r>
        <w:t xml:space="preserve"> heavy rainfall between 11 and 14</w:t>
      </w:r>
      <w:r w:rsidR="00127564">
        <w:t xml:space="preserve"> </w:t>
      </w:r>
      <w:r>
        <w:t>April</w:t>
      </w:r>
      <w:r w:rsidR="00127564">
        <w:t xml:space="preserve"> 2014,</w:t>
      </w:r>
      <w:r>
        <w:t xml:space="preserve"> and caused flooding in many areas of north-eastern Queensland. </w:t>
      </w:r>
      <w:r w:rsidR="008A2945">
        <w:t xml:space="preserve">On </w:t>
      </w:r>
      <w:r>
        <w:t>14 April</w:t>
      </w:r>
      <w:r w:rsidR="00127564">
        <w:t xml:space="preserve"> 2014</w:t>
      </w:r>
      <w:r>
        <w:t>,</w:t>
      </w:r>
      <w:r w:rsidR="008A2945">
        <w:t xml:space="preserve"> river plumes up to 70 km wide extended </w:t>
      </w:r>
      <w:r w:rsidR="00127564">
        <w:t>from</w:t>
      </w:r>
      <w:r>
        <w:t xml:space="preserve"> the Mossman River and interconnected </w:t>
      </w:r>
      <w:r w:rsidR="008A2945">
        <w:t>plume waters from</w:t>
      </w:r>
      <w:r>
        <w:t xml:space="preserve"> the Wet Tropics</w:t>
      </w:r>
      <w:r w:rsidR="008A2945">
        <w:t xml:space="preserve"> Rivers</w:t>
      </w:r>
      <w:r>
        <w:t xml:space="preserve">. Secondary and Tertiary plume water types reached the </w:t>
      </w:r>
      <w:r w:rsidR="00127564">
        <w:t xml:space="preserve">midshelf </w:t>
      </w:r>
      <w:r>
        <w:t>reef</w:t>
      </w:r>
      <w:r w:rsidR="00127564">
        <w:t>s</w:t>
      </w:r>
      <w:r>
        <w:t xml:space="preserve"> in the </w:t>
      </w:r>
      <w:r w:rsidR="00127564">
        <w:t>Wet T</w:t>
      </w:r>
      <w:r>
        <w:t>ropics</w:t>
      </w:r>
      <w:r w:rsidR="00127564">
        <w:t xml:space="preserve"> region</w:t>
      </w:r>
      <w:r>
        <w:t xml:space="preserve"> north of the Tully River. Satellite image</w:t>
      </w:r>
      <w:r w:rsidR="0016222E">
        <w:t>s</w:t>
      </w:r>
      <w:r>
        <w:t xml:space="preserve"> suggest that sediments settled rapidly and turbidity levels dropped after the passage of the cyclonic system.</w:t>
      </w:r>
    </w:p>
    <w:p w14:paraId="3FFBD143" w14:textId="505B2841" w:rsidR="0018316C" w:rsidRPr="00110A7F" w:rsidRDefault="0018316C" w:rsidP="0018316C">
      <w:pPr>
        <w:spacing w:before="240"/>
      </w:pPr>
      <w:r>
        <w:t xml:space="preserve">A satellite product, </w:t>
      </w:r>
      <w:r w:rsidRPr="00271DA2">
        <w:rPr>
          <w:b/>
        </w:rPr>
        <w:t>‘potential river plume risk map</w:t>
      </w:r>
      <w:r>
        <w:rPr>
          <w:b/>
        </w:rPr>
        <w:t>ping</w:t>
      </w:r>
      <w:r w:rsidRPr="00271DA2">
        <w:rPr>
          <w:b/>
        </w:rPr>
        <w:t>’</w:t>
      </w:r>
      <w:r>
        <w:rPr>
          <w:b/>
        </w:rPr>
        <w:t xml:space="preserve">, </w:t>
      </w:r>
      <w:r w:rsidRPr="00BA3569">
        <w:t xml:space="preserve">was </w:t>
      </w:r>
      <w:r w:rsidR="00DC0887">
        <w:t xml:space="preserve">also </w:t>
      </w:r>
      <w:r w:rsidRPr="00BA3569">
        <w:t>developed based on t</w:t>
      </w:r>
      <w:r>
        <w:t>he WQ characteristics of the GBR</w:t>
      </w:r>
      <w:r w:rsidRPr="00BA3569">
        <w:t xml:space="preserve"> plume water types</w:t>
      </w:r>
      <w:r>
        <w:t xml:space="preserve"> (</w:t>
      </w:r>
      <w:r>
        <w:fldChar w:fldCharType="begin"/>
      </w:r>
      <w:r>
        <w:instrText xml:space="preserve"> REF _Ref433183790 \h </w:instrText>
      </w:r>
      <w:r>
        <w:fldChar w:fldCharType="separate"/>
      </w:r>
      <w:r w:rsidR="000E22F3">
        <w:t xml:space="preserve">Table </w:t>
      </w:r>
      <w:r w:rsidR="000E22F3">
        <w:rPr>
          <w:noProof/>
        </w:rPr>
        <w:t>1</w:t>
      </w:r>
      <w:r w:rsidR="000E22F3">
        <w:noBreakHyphen/>
      </w:r>
      <w:r w:rsidR="000E22F3">
        <w:rPr>
          <w:noProof/>
        </w:rPr>
        <w:t>5</w:t>
      </w:r>
      <w:r>
        <w:fldChar w:fldCharType="end"/>
      </w:r>
      <w:r>
        <w:t>)</w:t>
      </w:r>
      <w:r w:rsidRPr="00BA3569">
        <w:t>, the simplified framework published in Petus et al.</w:t>
      </w:r>
      <w:r>
        <w:t>(</w:t>
      </w:r>
      <w:r w:rsidRPr="00BA3569">
        <w:t>2014b</w:t>
      </w:r>
      <w:r>
        <w:t>)</w:t>
      </w:r>
      <w:r w:rsidRPr="00BA3569">
        <w:t xml:space="preserve"> and the risk matrix below</w:t>
      </w:r>
      <w:r>
        <w:t xml:space="preserve"> (</w:t>
      </w:r>
      <w:r w:rsidR="00D60A3F">
        <w:t xml:space="preserve">Figure </w:t>
      </w:r>
      <w:r w:rsidR="009F4CB0">
        <w:t>1-2</w:t>
      </w:r>
      <w:r>
        <w:t>)</w:t>
      </w:r>
      <w:r w:rsidRPr="00BA3569">
        <w:t>.</w:t>
      </w:r>
      <w:r>
        <w:t xml:space="preserve"> The risk matrix represents t</w:t>
      </w:r>
      <w:r w:rsidRPr="00271DA2">
        <w:rPr>
          <w:color w:val="000000" w:themeColor="text1"/>
        </w:rPr>
        <w:t xml:space="preserve">he </w:t>
      </w:r>
      <w:r>
        <w:rPr>
          <w:color w:val="000000" w:themeColor="text1"/>
        </w:rPr>
        <w:t xml:space="preserve">concept that the </w:t>
      </w:r>
      <w:r w:rsidRPr="00271DA2">
        <w:rPr>
          <w:color w:val="000000" w:themeColor="text1"/>
        </w:rPr>
        <w:t>concentration and duration of exposure to land-sourced contaminant co-determine the severity of an ecosystem response to the contaminant exposure (G</w:t>
      </w:r>
      <w:r w:rsidR="00F4441F">
        <w:rPr>
          <w:color w:val="000000" w:themeColor="text1"/>
        </w:rPr>
        <w:t>B</w:t>
      </w:r>
      <w:r w:rsidRPr="00271DA2">
        <w:rPr>
          <w:color w:val="000000" w:themeColor="text1"/>
        </w:rPr>
        <w:t xml:space="preserve">RMPA, 2010). </w:t>
      </w:r>
      <w:r w:rsidRPr="00110A7F">
        <w:t xml:space="preserve">This risk matrix assumes that potential risk level for GBR ecosystems can be ranked in four </w:t>
      </w:r>
      <w:r w:rsidRPr="00054B7A">
        <w:rPr>
          <w:u w:val="single"/>
        </w:rPr>
        <w:t>qualitative</w:t>
      </w:r>
      <w:r w:rsidRPr="00110A7F">
        <w:t xml:space="preserve"> categories (</w:t>
      </w:r>
      <w:r>
        <w:t>I, II, III, IV</w:t>
      </w:r>
      <w:r w:rsidRPr="00110A7F">
        <w:t>) determined by the combination of the magnitude (mapped through the Primary, Secondary, Tertiary water type classes) and the likelihood (mapped through the frequency of occurrence of Primary, Secondary, Tertiary water type classes) of the river plume risk. This assumption</w:t>
      </w:r>
      <w:r>
        <w:t xml:space="preserve"> is</w:t>
      </w:r>
      <w:r w:rsidRPr="00110A7F">
        <w:t xml:space="preserve"> based on the ecological risk increasing with increased pollutant concentrations (magnitude) and increased exposure (frequency).</w:t>
      </w:r>
      <w:r w:rsidRPr="00054B7A">
        <w:rPr>
          <w:color w:val="000000" w:themeColor="text1"/>
        </w:rPr>
        <w:t xml:space="preserve"> </w:t>
      </w:r>
    </w:p>
    <w:p w14:paraId="3A97D2D4" w14:textId="7D6CFA17" w:rsidR="0018316C" w:rsidRPr="00B954DC" w:rsidRDefault="009F4CB0" w:rsidP="009F4CB0">
      <w:pPr>
        <w:pStyle w:val="Caption"/>
      </w:pPr>
      <w:bookmarkStart w:id="42" w:name="_Ref433183980"/>
      <w:bookmarkStart w:id="43" w:name="_Toc454303898"/>
      <w:r>
        <w:t xml:space="preserve">Figure </w:t>
      </w:r>
      <w:r>
        <w:fldChar w:fldCharType="begin"/>
      </w:r>
      <w:r>
        <w:instrText xml:space="preserve"> STYLEREF 1 \s </w:instrText>
      </w:r>
      <w:r>
        <w:fldChar w:fldCharType="separate"/>
      </w:r>
      <w:r w:rsidR="000E22F3">
        <w:rPr>
          <w:noProof/>
        </w:rPr>
        <w:t>1</w:t>
      </w:r>
      <w:r>
        <w:fldChar w:fldCharType="end"/>
      </w:r>
      <w:r>
        <w:noBreakHyphen/>
      </w:r>
      <w:r>
        <w:fldChar w:fldCharType="begin"/>
      </w:r>
      <w:r>
        <w:instrText xml:space="preserve"> SEQ Figure \* ARABIC \s 1 </w:instrText>
      </w:r>
      <w:r>
        <w:fldChar w:fldCharType="separate"/>
      </w:r>
      <w:r w:rsidR="000E22F3">
        <w:rPr>
          <w:noProof/>
        </w:rPr>
        <w:t>2</w:t>
      </w:r>
      <w:r>
        <w:fldChar w:fldCharType="end"/>
      </w:r>
      <w:bookmarkEnd w:id="42"/>
      <w:r w:rsidR="0018316C" w:rsidRPr="00B954DC">
        <w:t>: Risk matrix in function of the magnitude and the likelihood of the river plume risk. Risk categories (I, II, III, IV,</w:t>
      </w:r>
      <w:r w:rsidR="007D36C8">
        <w:t xml:space="preserve"> V); modified from Petus et al. (</w:t>
      </w:r>
      <w:r w:rsidR="0018316C" w:rsidRPr="00B954DC">
        <w:t>2014b</w:t>
      </w:r>
      <w:r w:rsidR="007D36C8">
        <w:t>)</w:t>
      </w:r>
      <w:r w:rsidR="0018316C" w:rsidRPr="00B954DC">
        <w:t>.</w:t>
      </w:r>
      <w:bookmarkEnd w:id="43"/>
    </w:p>
    <w:p w14:paraId="6D7FE089" w14:textId="77777777" w:rsidR="0018316C" w:rsidRPr="00110A7F" w:rsidRDefault="0018316C" w:rsidP="0018316C">
      <w:pPr>
        <w:jc w:val="center"/>
        <w:rPr>
          <w:lang w:val="en-GB" w:eastAsia="en-US"/>
        </w:rPr>
      </w:pPr>
      <w:r w:rsidRPr="003013E9">
        <w:rPr>
          <w:rFonts w:cs="Times New Roman"/>
          <w:bCs/>
          <w:noProof/>
          <w:sz w:val="20"/>
          <w:szCs w:val="20"/>
        </w:rPr>
        <w:drawing>
          <wp:inline distT="0" distB="0" distL="0" distR="0" wp14:anchorId="415742FD" wp14:editId="42DC615E">
            <wp:extent cx="3439885" cy="2338576"/>
            <wp:effectExtent l="0" t="0" r="0" b="5080"/>
            <wp:docPr id="3" name="Picture 3" descr="Risk matrix in function of the magnitude and the likelihood of the river plume risk. Risk categories (I, II, III, IV, V); modified from Petus et al., 2014b." title="Risk matrix in function of the magnitude and the likelihood of the river plume risk. Risk categories (I, II, III, IV, V); modified from Petus et al. (2014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3" cstate="screen">
                      <a:extLst>
                        <a:ext uri="{28A0092B-C50C-407E-A947-70E740481C1C}">
                          <a14:useLocalDpi xmlns:a14="http://schemas.microsoft.com/office/drawing/2010/main"/>
                        </a:ext>
                      </a:extLst>
                    </a:blip>
                    <a:srcRect/>
                    <a:stretch>
                      <a:fillRect/>
                    </a:stretch>
                  </pic:blipFill>
                  <pic:spPr bwMode="auto">
                    <a:xfrm>
                      <a:off x="0" y="0"/>
                      <a:ext cx="3442513" cy="2340363"/>
                    </a:xfrm>
                    <a:prstGeom prst="rect">
                      <a:avLst/>
                    </a:prstGeom>
                    <a:noFill/>
                  </pic:spPr>
                </pic:pic>
              </a:graphicData>
            </a:graphic>
          </wp:inline>
        </w:drawing>
      </w:r>
    </w:p>
    <w:p w14:paraId="70092608" w14:textId="3B5B52DA" w:rsidR="0018316C" w:rsidRPr="00110A7F" w:rsidRDefault="0018316C" w:rsidP="0018316C">
      <w:r w:rsidRPr="00110A7F">
        <w:lastRenderedPageBreak/>
        <w:t xml:space="preserve">This </w:t>
      </w:r>
      <w:r w:rsidR="00F4441F">
        <w:t>f</w:t>
      </w:r>
      <w:r w:rsidRPr="00110A7F">
        <w:t>ramework is still theoretical and the term ‘potential’ risk from plume exposure is used as risk maps haven’t been yet validated against ecological health data to confirm the ecological consequences of the risk, i.e., the risk ranking (</w:t>
      </w:r>
      <w:r>
        <w:t>I to IV</w:t>
      </w:r>
      <w:r w:rsidRPr="00110A7F">
        <w:t>) given a combination of magnitude and likelihood is, at this stage, theoretical</w:t>
      </w:r>
      <w:r>
        <w:t xml:space="preserve"> (Petus et al., 2016)</w:t>
      </w:r>
      <w:r w:rsidRPr="00110A7F">
        <w:t>.</w:t>
      </w:r>
      <w:r>
        <w:t xml:space="preserve"> Recent work on the correlations between frequency of true colour and seagrass decline </w:t>
      </w:r>
      <w:r>
        <w:fldChar w:fldCharType="begin"/>
      </w:r>
      <w:r>
        <w:instrText xml:space="preserve"> ADDIN EN.CITE &lt;EndNote&gt;&lt;Cite&gt;&lt;Author&gt;Petus&lt;/Author&gt;&lt;Year&gt;2014&lt;/Year&gt;&lt;RecNum&gt;970&lt;/RecNum&gt;&lt;DisplayText&gt;(Petus et al., 2014)&lt;/DisplayText&gt;&lt;record&gt;&lt;rec-number&gt;970&lt;/rec-number&gt;&lt;foreign-keys&gt;&lt;key app="EN" db-id="wwzpfssaux292keptesxd5t6srsfvpzsde2p"&gt;970&lt;/key&gt;&lt;/foreign-keys&gt;&lt;ref-type name="Journal Article"&gt;17&lt;/ref-type&gt;&lt;contributors&gt;&lt;authors&gt;&lt;author&gt;Petus, Caroline&lt;/author&gt;&lt;author&gt;Collier, Catherine&lt;/author&gt;&lt;author&gt;Devlin, Michelle&lt;/author&gt;&lt;author&gt;Rasheed, Michael&lt;/author&gt;&lt;author&gt;McKenna, Skye&lt;/author&gt;&lt;/authors&gt;&lt;/contributors&gt;&lt;titles&gt;&lt;title&gt;Using MODIS data for understanding changes in seagrass meadow health: A case study in the Great Barrier Reef (Australia)&lt;/title&gt;&lt;secondary-title&gt;Marine environmental research&lt;/secondary-title&gt;&lt;/titles&gt;&lt;periodical&gt;&lt;full-title&gt;Mar Environ Res&lt;/full-title&gt;&lt;abbr-1&gt;Marine environmental research&lt;/abbr-1&gt;&lt;/periodical&gt;&lt;pages&gt;68-85&lt;/pages&gt;&lt;volume&gt;98&lt;/volume&gt;&lt;dates&gt;&lt;year&gt;2014&lt;/year&gt;&lt;/dates&gt;&lt;isbn&gt;0141-1136&lt;/isbn&gt;&lt;urls&gt;&lt;/urls&gt;&lt;/record&gt;&lt;/Cite&gt;&lt;/EndNote&gt;</w:instrText>
      </w:r>
      <w:r>
        <w:fldChar w:fldCharType="separate"/>
      </w:r>
      <w:r>
        <w:rPr>
          <w:noProof/>
        </w:rPr>
        <w:t>(</w:t>
      </w:r>
      <w:hyperlink w:anchor="_ENREF_31" w:tooltip="Petus, 2014 #970" w:history="1">
        <w:r>
          <w:rPr>
            <w:noProof/>
          </w:rPr>
          <w:t>Petus et al., 2014</w:t>
        </w:r>
      </w:hyperlink>
      <w:r>
        <w:rPr>
          <w:noProof/>
        </w:rPr>
        <w:t>)</w:t>
      </w:r>
      <w:r>
        <w:fldChar w:fldCharType="end"/>
      </w:r>
      <w:r>
        <w:t xml:space="preserve"> has shown</w:t>
      </w:r>
      <w:r w:rsidRPr="00110A7F">
        <w:t xml:space="preserve"> that </w:t>
      </w:r>
      <w:r>
        <w:t xml:space="preserve">a </w:t>
      </w:r>
      <w:r w:rsidRPr="00110A7F">
        <w:t>decline in seagrass meadow area and biomass is positively linked to high occurrence of turbid water masses mapped through MODIS imagery.</w:t>
      </w:r>
    </w:p>
    <w:p w14:paraId="2A04F93E" w14:textId="2E45C6D8" w:rsidR="00DC0887" w:rsidRPr="00FE18E3" w:rsidRDefault="00DC0887" w:rsidP="00DC0887">
      <w:r w:rsidRPr="00165B39">
        <w:t>Annual potential risk maps from river plume exposure were produced from 2006-</w:t>
      </w:r>
      <w:r>
        <w:t>20</w:t>
      </w:r>
      <w:r w:rsidRPr="00165B39">
        <w:t>07 to 2013-</w:t>
      </w:r>
      <w:r>
        <w:t>20</w:t>
      </w:r>
      <w:r w:rsidRPr="00165B39">
        <w:t>14 and GBR areas exposed to potential risk from river plume exposure were calculated and compared to the wet season GBR river discharge</w:t>
      </w:r>
      <w:r>
        <w:t>.</w:t>
      </w:r>
      <w:r w:rsidRPr="00165B39">
        <w:t xml:space="preserve"> </w:t>
      </w:r>
      <w:r>
        <w:t>S</w:t>
      </w:r>
      <w:r w:rsidRPr="00165B39">
        <w:t>urface areas of the GBR exposed to the potential risk categories II, III and IV ranged from 81,830 km² in 2011-</w:t>
      </w:r>
      <w:r>
        <w:t>20</w:t>
      </w:r>
      <w:r w:rsidRPr="00165B39">
        <w:t>12 to 121,024 km² in 2010-</w:t>
      </w:r>
      <w:r>
        <w:t>20</w:t>
      </w:r>
      <w:r w:rsidRPr="00165B39">
        <w:t xml:space="preserve">11 and 123,789 </w:t>
      </w:r>
      <w:r w:rsidR="0070425F" w:rsidRPr="00165B39">
        <w:t>km</w:t>
      </w:r>
      <w:r w:rsidR="0070425F" w:rsidRPr="008A2945">
        <w:rPr>
          <w:vertAlign w:val="superscript"/>
        </w:rPr>
        <w:t>2</w:t>
      </w:r>
      <w:r w:rsidR="0070425F">
        <w:rPr>
          <w:vertAlign w:val="superscript"/>
        </w:rPr>
        <w:t xml:space="preserve"> </w:t>
      </w:r>
      <w:r w:rsidRPr="00165B39">
        <w:t>in 2013-</w:t>
      </w:r>
      <w:r>
        <w:t>20</w:t>
      </w:r>
      <w:r w:rsidRPr="00165B39">
        <w:t>14. There was a trend toward an increase of surface areas of the GBR (in km</w:t>
      </w:r>
      <w:r w:rsidRPr="008A2945">
        <w:rPr>
          <w:vertAlign w:val="superscript"/>
        </w:rPr>
        <w:t>2</w:t>
      </w:r>
      <w:r w:rsidRPr="00165B39">
        <w:t>) exposed to the highest potential risk from river plume exposure (II, III and IV) and the wet season GBR river discharge</w:t>
      </w:r>
      <w:r>
        <w:t xml:space="preserve">, </w:t>
      </w:r>
      <w:r w:rsidRPr="00165B39">
        <w:t>but 2011-</w:t>
      </w:r>
      <w:r>
        <w:t>20</w:t>
      </w:r>
      <w:r w:rsidRPr="00165B39">
        <w:t>12 and 2013-</w:t>
      </w:r>
      <w:r>
        <w:t>20</w:t>
      </w:r>
      <w:r w:rsidRPr="00165B39">
        <w:t>14 were both outliers of the relationship</w:t>
      </w:r>
      <w:r>
        <w:t xml:space="preserve">. </w:t>
      </w:r>
      <w:r w:rsidR="00F4441F">
        <w:t>G</w:t>
      </w:r>
      <w:r w:rsidRPr="009C0BD4">
        <w:t>reater availability o</w:t>
      </w:r>
      <w:r w:rsidR="00F4441F">
        <w:t>f satellite information due to</w:t>
      </w:r>
      <w:r w:rsidRPr="009C0BD4">
        <w:t xml:space="preserve"> less frequent cloud cover</w:t>
      </w:r>
      <w:r>
        <w:t xml:space="preserve"> in 2013-2014</w:t>
      </w:r>
      <w:r w:rsidRPr="009C0BD4">
        <w:t xml:space="preserve"> c</w:t>
      </w:r>
      <w:r>
        <w:t>ould have</w:t>
      </w:r>
      <w:r w:rsidRPr="009C0BD4">
        <w:t xml:space="preserve"> result</w:t>
      </w:r>
      <w:r>
        <w:t>ed</w:t>
      </w:r>
      <w:r w:rsidRPr="009C0BD4">
        <w:t xml:space="preserve"> in mapping </w:t>
      </w:r>
      <w:r w:rsidR="00F4441F">
        <w:t xml:space="preserve">of </w:t>
      </w:r>
      <w:r w:rsidRPr="009C0BD4">
        <w:t xml:space="preserve">relatively higher frequency </w:t>
      </w:r>
      <w:r w:rsidR="00F4441F">
        <w:t xml:space="preserve">of </w:t>
      </w:r>
      <w:r w:rsidRPr="009C0BD4">
        <w:t>river plume</w:t>
      </w:r>
      <w:r w:rsidR="00F4441F">
        <w:t>s</w:t>
      </w:r>
      <w:r>
        <w:t xml:space="preserve"> during this wet season. </w:t>
      </w:r>
    </w:p>
    <w:p w14:paraId="1BDA8E93" w14:textId="77777777" w:rsidR="00054B7A" w:rsidRDefault="00054B7A" w:rsidP="0065493C">
      <w:r>
        <w:t>From the 2013-</w:t>
      </w:r>
      <w:r w:rsidR="00DC0887">
        <w:t>201</w:t>
      </w:r>
      <w:r>
        <w:t xml:space="preserve">4 plume frequency maps and potential risk map, it was estimated that:  </w:t>
      </w:r>
    </w:p>
    <w:p w14:paraId="2A9C6915" w14:textId="6578388B" w:rsidR="00054B7A" w:rsidRDefault="00054B7A" w:rsidP="009F4CB0">
      <w:pPr>
        <w:pStyle w:val="ListParagraph"/>
        <w:numPr>
          <w:ilvl w:val="0"/>
          <w:numId w:val="33"/>
        </w:numPr>
        <w:spacing w:before="0" w:after="120"/>
        <w:ind w:left="567" w:hanging="425"/>
        <w:contextualSpacing w:val="0"/>
      </w:pPr>
      <w:r>
        <w:t>The total GBR area exposed to river plume waters was 182</w:t>
      </w:r>
      <w:r w:rsidR="00F4441F">
        <w:t>,</w:t>
      </w:r>
      <w:r>
        <w:t>952 km</w:t>
      </w:r>
      <w:r w:rsidRPr="0048361F">
        <w:rPr>
          <w:vertAlign w:val="superscript"/>
        </w:rPr>
        <w:t>2</w:t>
      </w:r>
      <w:r>
        <w:t xml:space="preserve"> i.e., 52% of the GBR. </w:t>
      </w:r>
    </w:p>
    <w:p w14:paraId="11FCC539" w14:textId="7E59E5C3" w:rsidR="00E94B78" w:rsidRDefault="009F4CB0" w:rsidP="002259B1">
      <w:pPr>
        <w:pStyle w:val="ListParagraph"/>
        <w:numPr>
          <w:ilvl w:val="0"/>
          <w:numId w:val="33"/>
        </w:numPr>
        <w:spacing w:before="0" w:after="120"/>
        <w:ind w:left="567" w:hanging="425"/>
        <w:contextualSpacing w:val="0"/>
      </w:pPr>
      <w:r>
        <w:t>The NRM</w:t>
      </w:r>
      <w:r w:rsidR="00E94B78" w:rsidRPr="00E94B78">
        <w:t xml:space="preserve"> areas exposed to river plume</w:t>
      </w:r>
      <w:r w:rsidR="00F4441F">
        <w:t>s</w:t>
      </w:r>
      <w:r w:rsidR="00E94B78" w:rsidRPr="00E94B78">
        <w:t xml:space="preserve"> ranged from 11,680 km</w:t>
      </w:r>
      <w:r w:rsidR="00E94B78" w:rsidRPr="009F4CB0">
        <w:rPr>
          <w:vertAlign w:val="superscript"/>
        </w:rPr>
        <w:t>2</w:t>
      </w:r>
      <w:r w:rsidR="00E94B78" w:rsidRPr="00E94B78">
        <w:t xml:space="preserve"> (31 %) in the Burnett-Mary to 53,893 km</w:t>
      </w:r>
      <w:r w:rsidR="00E94B78" w:rsidRPr="009F4CB0">
        <w:rPr>
          <w:vertAlign w:val="superscript"/>
        </w:rPr>
        <w:t>2</w:t>
      </w:r>
      <w:r w:rsidR="00E94B78" w:rsidRPr="00E94B78">
        <w:t xml:space="preserve"> (56 %) in Cape York and 42,587 km</w:t>
      </w:r>
      <w:r w:rsidR="00E94B78" w:rsidRPr="009F4CB0">
        <w:rPr>
          <w:vertAlign w:val="superscript"/>
        </w:rPr>
        <w:t>2</w:t>
      </w:r>
      <w:r w:rsidR="00E94B78" w:rsidRPr="00E94B78">
        <w:t xml:space="preserve"> (49%) in the Fitzroy</w:t>
      </w:r>
      <w:r>
        <w:t xml:space="preserve"> region.</w:t>
      </w:r>
      <w:r w:rsidR="00E94B78" w:rsidRPr="00E94B78">
        <w:t xml:space="preserve"> </w:t>
      </w:r>
      <w:r w:rsidR="00054B7A">
        <w:t xml:space="preserve">Areas </w:t>
      </w:r>
      <w:r>
        <w:t>in</w:t>
      </w:r>
      <w:r w:rsidR="00054B7A">
        <w:t xml:space="preserve"> the highest potential risk categories (III and IV) from the river plumes were much lower with </w:t>
      </w:r>
      <w:r w:rsidR="00E94B78" w:rsidRPr="00724A30">
        <w:t>26</w:t>
      </w:r>
      <w:r w:rsidR="00E94B78">
        <w:t>,</w:t>
      </w:r>
      <w:r w:rsidR="00E94B78" w:rsidRPr="00724A30">
        <w:t>550 km</w:t>
      </w:r>
      <w:r w:rsidR="00E94B78" w:rsidRPr="009F4CB0">
        <w:rPr>
          <w:vertAlign w:val="superscript"/>
        </w:rPr>
        <w:t xml:space="preserve">2 </w:t>
      </w:r>
      <w:r w:rsidR="00E94B78">
        <w:t xml:space="preserve">(8 %) of the GBR, 656 </w:t>
      </w:r>
      <w:r w:rsidRPr="005D7B2F">
        <w:t>km</w:t>
      </w:r>
      <w:r w:rsidRPr="009F4CB0">
        <w:rPr>
          <w:vertAlign w:val="superscript"/>
        </w:rPr>
        <w:t>2</w:t>
      </w:r>
      <w:r>
        <w:t xml:space="preserve"> </w:t>
      </w:r>
      <w:r w:rsidR="00E94B78">
        <w:t xml:space="preserve">(2%) of the Burnett-Mary and 4,013 </w:t>
      </w:r>
      <w:r w:rsidR="00E94B78" w:rsidRPr="005D7B2F">
        <w:t>km</w:t>
      </w:r>
      <w:r w:rsidR="00E94B78" w:rsidRPr="009F4CB0">
        <w:rPr>
          <w:vertAlign w:val="superscript"/>
        </w:rPr>
        <w:t>2</w:t>
      </w:r>
      <w:r w:rsidR="00E94B78" w:rsidRPr="005D7B2F">
        <w:t xml:space="preserve"> </w:t>
      </w:r>
      <w:r w:rsidR="00E94B78">
        <w:t>(</w:t>
      </w:r>
      <w:r w:rsidR="00E94B78" w:rsidRPr="009F4CB0">
        <w:rPr>
          <w:rFonts w:ascii="Calibri" w:hAnsi="Calibri" w:cs="Times New Roman"/>
          <w:bCs/>
          <w:iCs/>
        </w:rPr>
        <w:t>4 %</w:t>
      </w:r>
      <w:r w:rsidR="00E94B78">
        <w:t xml:space="preserve">) and 7,687 </w:t>
      </w:r>
      <w:r w:rsidR="00E94B78" w:rsidRPr="005D7B2F">
        <w:t>km</w:t>
      </w:r>
      <w:r w:rsidR="00E94B78" w:rsidRPr="009F4CB0">
        <w:rPr>
          <w:vertAlign w:val="superscript"/>
        </w:rPr>
        <w:t>2</w:t>
      </w:r>
      <w:r w:rsidR="00E94B78" w:rsidRPr="005D7B2F">
        <w:t xml:space="preserve"> </w:t>
      </w:r>
      <w:r w:rsidR="00E94B78">
        <w:t>(</w:t>
      </w:r>
      <w:r w:rsidR="00E94B78" w:rsidRPr="009F4CB0">
        <w:rPr>
          <w:rFonts w:ascii="Calibri" w:hAnsi="Calibri" w:cs="Times New Roman"/>
          <w:bCs/>
          <w:iCs/>
        </w:rPr>
        <w:t>9%</w:t>
      </w:r>
      <w:r w:rsidR="00E94B78">
        <w:t xml:space="preserve">) </w:t>
      </w:r>
      <w:r w:rsidR="00E94B78" w:rsidRPr="005D7B2F">
        <w:t xml:space="preserve">in </w:t>
      </w:r>
      <w:r w:rsidR="00E94B78">
        <w:t>the</w:t>
      </w:r>
      <w:r w:rsidR="00E94B78" w:rsidRPr="00AB3A5B">
        <w:t xml:space="preserve"> Cape York </w:t>
      </w:r>
      <w:r w:rsidR="00E94B78">
        <w:t xml:space="preserve">and </w:t>
      </w:r>
      <w:r w:rsidR="00E94B78" w:rsidRPr="00AB3A5B">
        <w:t xml:space="preserve">Fitzroy </w:t>
      </w:r>
      <w:r w:rsidR="00E94B78">
        <w:t xml:space="preserve">regions, respectively. </w:t>
      </w:r>
    </w:p>
    <w:p w14:paraId="2926C97D" w14:textId="77777777" w:rsidR="008E4EAC" w:rsidRDefault="008E4EAC" w:rsidP="009F4CB0">
      <w:pPr>
        <w:pStyle w:val="ListParagraph"/>
        <w:numPr>
          <w:ilvl w:val="0"/>
          <w:numId w:val="33"/>
        </w:numPr>
        <w:spacing w:before="0" w:after="120"/>
        <w:ind w:left="567" w:hanging="425"/>
        <w:contextualSpacing w:val="0"/>
      </w:pPr>
      <w:r>
        <w:t>GBR coral reefs were most exposed to the lowest categories of potential river plume risk (I and II)</w:t>
      </w:r>
      <w:r w:rsidR="00E94B78">
        <w:t>,</w:t>
      </w:r>
      <w:r>
        <w:t xml:space="preserve"> while</w:t>
      </w:r>
      <w:r w:rsidRPr="005D7B2F">
        <w:t xml:space="preserve"> </w:t>
      </w:r>
      <w:r>
        <w:t xml:space="preserve">GBR coastal seagrass beds were most exposed to the medium categories of potential river plume risk (II and III). Offshore seagrass exposure categories were </w:t>
      </w:r>
      <w:r w:rsidRPr="007919DA">
        <w:t xml:space="preserve">more variable but </w:t>
      </w:r>
      <w:r w:rsidR="004C78F6">
        <w:t>the offshore</w:t>
      </w:r>
      <w:r>
        <w:t xml:space="preserve"> seagrass beds were generally most exposed to the lowest categories of potential river plume risk (I and II). </w:t>
      </w:r>
      <w:r w:rsidRPr="005D7B2F">
        <w:t xml:space="preserve"> </w:t>
      </w:r>
    </w:p>
    <w:p w14:paraId="0E6C7C17" w14:textId="5CFA47AE" w:rsidR="00054B7A" w:rsidRDefault="00054B7A" w:rsidP="002259B1">
      <w:pPr>
        <w:pStyle w:val="ListParagraph"/>
        <w:numPr>
          <w:ilvl w:val="0"/>
          <w:numId w:val="33"/>
        </w:numPr>
        <w:spacing w:before="0" w:after="120"/>
        <w:ind w:left="567" w:hanging="425"/>
        <w:contextualSpacing w:val="0"/>
      </w:pPr>
      <w:r>
        <w:t xml:space="preserve">About </w:t>
      </w:r>
      <w:r w:rsidR="00D37243">
        <w:t>20%</w:t>
      </w:r>
      <w:r>
        <w:t xml:space="preserve"> (Fitzroy and Mackay-Whitsundays regions) to 90% (Cape York and Wet Tropics regions) of the coral reefs </w:t>
      </w:r>
      <w:r w:rsidR="00D37243">
        <w:t xml:space="preserve">in each NRM region </w:t>
      </w:r>
      <w:r>
        <w:t>were exposed to river plumes. Mackay-Whitsundays and Fitzroy reefs experienced the highest potential risk (category III) from river plume exposure (203 km</w:t>
      </w:r>
      <w:r w:rsidRPr="009F4CB0">
        <w:rPr>
          <w:vertAlign w:val="superscript"/>
        </w:rPr>
        <w:t>2</w:t>
      </w:r>
      <w:r>
        <w:t xml:space="preserve"> or 6% and 124 </w:t>
      </w:r>
      <w:r w:rsidR="00D37243">
        <w:t>km</w:t>
      </w:r>
      <w:r w:rsidR="00D37243" w:rsidRPr="009F4CB0">
        <w:rPr>
          <w:vertAlign w:val="superscript"/>
        </w:rPr>
        <w:t xml:space="preserve">2 </w:t>
      </w:r>
      <w:r>
        <w:t xml:space="preserve">or 3 %, respectively). </w:t>
      </w:r>
      <w:r w:rsidR="00D37243">
        <w:t>Less than 1% of</w:t>
      </w:r>
      <w:r>
        <w:t xml:space="preserve"> reefs were exposed to the potential risk category IV.</w:t>
      </w:r>
    </w:p>
    <w:p w14:paraId="43FF6D06" w14:textId="002D9FE0" w:rsidR="00054B7A" w:rsidRDefault="00054B7A" w:rsidP="002259B1">
      <w:pPr>
        <w:pStyle w:val="ListParagraph"/>
        <w:numPr>
          <w:ilvl w:val="0"/>
          <w:numId w:val="33"/>
        </w:numPr>
        <w:spacing w:before="0" w:after="120"/>
        <w:ind w:left="567" w:hanging="425"/>
        <w:contextualSpacing w:val="0"/>
      </w:pPr>
      <w:r>
        <w:t xml:space="preserve">Eighty three percent (Wet Tropics) to 100% (Cape York) of the coastal seagrass beds </w:t>
      </w:r>
      <w:r w:rsidR="00F35076">
        <w:t xml:space="preserve">in each NRM region </w:t>
      </w:r>
      <w:r>
        <w:t>were exposed to river plumes. Cape York, Burdekin and Fitzroy reefs experienced the highest potential risk (category III and IV) from river plume exposure (1</w:t>
      </w:r>
      <w:r w:rsidR="00F35076">
        <w:t>,</w:t>
      </w:r>
      <w:r>
        <w:t>228 km</w:t>
      </w:r>
      <w:r w:rsidRPr="009F4CB0">
        <w:rPr>
          <w:vertAlign w:val="superscript"/>
        </w:rPr>
        <w:t>2</w:t>
      </w:r>
      <w:r>
        <w:t xml:space="preserve"> or 50%, 530 km</w:t>
      </w:r>
      <w:r w:rsidRPr="009F4CB0">
        <w:rPr>
          <w:vertAlign w:val="superscript"/>
        </w:rPr>
        <w:t>2</w:t>
      </w:r>
      <w:r>
        <w:t xml:space="preserve"> or 85% and 236 km</w:t>
      </w:r>
      <w:r w:rsidRPr="009F4CB0">
        <w:rPr>
          <w:vertAlign w:val="superscript"/>
        </w:rPr>
        <w:t>2</w:t>
      </w:r>
      <w:r>
        <w:t xml:space="preserve"> or 95 %, respectively).</w:t>
      </w:r>
    </w:p>
    <w:p w14:paraId="463847F8" w14:textId="6ABD44D6" w:rsidR="00054B7A" w:rsidRDefault="00F35076" w:rsidP="002259B1">
      <w:pPr>
        <w:pStyle w:val="ListParagraph"/>
        <w:numPr>
          <w:ilvl w:val="0"/>
          <w:numId w:val="33"/>
        </w:numPr>
        <w:spacing w:before="0" w:after="120"/>
        <w:ind w:left="567" w:hanging="425"/>
        <w:contextualSpacing w:val="0"/>
      </w:pPr>
      <w:r>
        <w:t>Almost</w:t>
      </w:r>
      <w:r w:rsidR="00054B7A">
        <w:t xml:space="preserve"> 100% of offshores seagrasses areas were exposed to river plumes in all </w:t>
      </w:r>
      <w:r w:rsidR="00385ED4">
        <w:t>regions</w:t>
      </w:r>
      <w:r w:rsidR="00054B7A">
        <w:t>, except in the Burnett-Mary (79% or 4</w:t>
      </w:r>
      <w:r>
        <w:t>,</w:t>
      </w:r>
      <w:r w:rsidR="00054B7A">
        <w:t>979 km</w:t>
      </w:r>
      <w:r w:rsidR="00054B7A" w:rsidRPr="009F4CB0">
        <w:rPr>
          <w:vertAlign w:val="superscript"/>
        </w:rPr>
        <w:t>2</w:t>
      </w:r>
      <w:r w:rsidR="00054B7A">
        <w:t>)</w:t>
      </w:r>
      <w:r w:rsidR="004C78F6">
        <w:t xml:space="preserve">. </w:t>
      </w:r>
      <w:r w:rsidR="004C78F6" w:rsidRPr="00B755E6">
        <w:t>Note that seagrass meadows in Hervey Bay (outside of the GBR southern boundary) were not included in the risk analysis.</w:t>
      </w:r>
      <w:r w:rsidR="00054B7A">
        <w:t xml:space="preserve"> Offshore seagrasses of the Fitzroy and Mackay-Whitsundays </w:t>
      </w:r>
      <w:r w:rsidR="00385ED4">
        <w:t>regions</w:t>
      </w:r>
      <w:r w:rsidR="00054B7A">
        <w:t xml:space="preserve"> </w:t>
      </w:r>
      <w:r w:rsidR="009F4CB0">
        <w:t>had</w:t>
      </w:r>
      <w:r w:rsidR="00054B7A">
        <w:t xml:space="preserve"> the highest potential risk from river plume exposure (282 km</w:t>
      </w:r>
      <w:r w:rsidR="00054B7A" w:rsidRPr="009F4CB0">
        <w:rPr>
          <w:vertAlign w:val="superscript"/>
        </w:rPr>
        <w:t>2</w:t>
      </w:r>
      <w:r w:rsidR="00054B7A">
        <w:t xml:space="preserve"> or 7% and 122 </w:t>
      </w:r>
      <w:r w:rsidR="00054B7A" w:rsidRPr="00B6097A">
        <w:t>km</w:t>
      </w:r>
      <w:r w:rsidR="00054B7A" w:rsidRPr="009F4CB0">
        <w:rPr>
          <w:vertAlign w:val="superscript"/>
        </w:rPr>
        <w:t>2</w:t>
      </w:r>
      <w:r w:rsidR="00054B7A" w:rsidRPr="00B6097A">
        <w:t xml:space="preserve"> </w:t>
      </w:r>
      <w:r w:rsidR="00054B7A">
        <w:t xml:space="preserve">or 55 %, respectively, under risk categories III).  </w:t>
      </w:r>
    </w:p>
    <w:p w14:paraId="782DC0FE" w14:textId="47754451" w:rsidR="00054B7A" w:rsidRPr="008017CE" w:rsidRDefault="00054B7A" w:rsidP="009F4CB0">
      <w:pPr>
        <w:pStyle w:val="ListParagraph"/>
        <w:numPr>
          <w:ilvl w:val="0"/>
          <w:numId w:val="33"/>
        </w:numPr>
        <w:spacing w:before="0" w:after="120"/>
        <w:ind w:left="567" w:hanging="425"/>
        <w:contextualSpacing w:val="0"/>
      </w:pPr>
      <w:r>
        <w:t>The Cape York (1</w:t>
      </w:r>
      <w:r w:rsidR="008A2945">
        <w:t>,</w:t>
      </w:r>
      <w:r>
        <w:t>405 km</w:t>
      </w:r>
      <w:r w:rsidRPr="00B6097A">
        <w:rPr>
          <w:vertAlign w:val="superscript"/>
        </w:rPr>
        <w:t>2</w:t>
      </w:r>
      <w:r>
        <w:t xml:space="preserve"> or 12%), Burdekin (530 km</w:t>
      </w:r>
      <w:r w:rsidRPr="00B6097A">
        <w:rPr>
          <w:vertAlign w:val="superscript"/>
        </w:rPr>
        <w:t>2</w:t>
      </w:r>
      <w:r>
        <w:t xml:space="preserve"> or 9%) and Fitzroy (518 km</w:t>
      </w:r>
      <w:r w:rsidRPr="00B6097A">
        <w:rPr>
          <w:vertAlign w:val="superscript"/>
        </w:rPr>
        <w:t>2</w:t>
      </w:r>
      <w:r>
        <w:t xml:space="preserve"> or 9%) regions had the largest total seagrass areas estimated under risk categories III and IV from river plume exposure.</w:t>
      </w:r>
      <w:r w:rsidR="004C78F6" w:rsidRPr="004C78F6">
        <w:t xml:space="preserve"> </w:t>
      </w:r>
      <w:r w:rsidR="009F4CB0">
        <w:t xml:space="preserve">However, </w:t>
      </w:r>
      <w:r w:rsidR="004C78F6" w:rsidRPr="00724A30">
        <w:t xml:space="preserve">the Mackay-Whitsundays </w:t>
      </w:r>
      <w:r w:rsidR="009F4CB0">
        <w:t>had</w:t>
      </w:r>
      <w:r w:rsidR="004C78F6" w:rsidRPr="00724A30">
        <w:t xml:space="preserve"> the highest percentage </w:t>
      </w:r>
      <w:r w:rsidR="009F4CB0">
        <w:t xml:space="preserve">of total seagrass in these categories </w:t>
      </w:r>
      <w:r w:rsidR="004C78F6" w:rsidRPr="00724A30">
        <w:t>(73% corresponding to 328 km</w:t>
      </w:r>
      <w:r w:rsidR="004C78F6" w:rsidRPr="00724A30">
        <w:rPr>
          <w:vertAlign w:val="superscript"/>
        </w:rPr>
        <w:t>2</w:t>
      </w:r>
      <w:r w:rsidR="004C78F6" w:rsidRPr="00724A30">
        <w:t>).</w:t>
      </w:r>
    </w:p>
    <w:p w14:paraId="73BA89DC" w14:textId="77777777" w:rsidR="00DC0887" w:rsidRPr="009C0BD4" w:rsidRDefault="00DC0887" w:rsidP="009F4CB0">
      <w:r>
        <w:lastRenderedPageBreak/>
        <w:t>A</w:t>
      </w:r>
      <w:r w:rsidRPr="009C0BD4">
        <w:t xml:space="preserve"> multiannual potential risk map was calculated by </w:t>
      </w:r>
      <w:r>
        <w:t>s</w:t>
      </w:r>
      <w:r w:rsidRPr="009C0BD4">
        <w:t>electing the majority  risk value/pixels from the inter-annual risk maps produced</w:t>
      </w:r>
      <w:r>
        <w:t>.</w:t>
      </w:r>
      <w:r w:rsidRPr="009C0BD4">
        <w:t xml:space="preserve"> Recalculating individual wet season risk maps to a long-term (8-year) map is useful to describe where potential risk conditions from river plume are</w:t>
      </w:r>
      <w:r w:rsidRPr="009C0BD4">
        <w:rPr>
          <w:rFonts w:ascii="Calibri" w:eastAsia="Calibri" w:hAnsi="Calibri" w:cs="Times New Roman"/>
          <w:lang w:eastAsia="en-US"/>
        </w:rPr>
        <w:t xml:space="preserve"> </w:t>
      </w:r>
      <w:r>
        <w:rPr>
          <w:rFonts w:ascii="Calibri" w:eastAsia="Calibri" w:hAnsi="Calibri" w:cs="Times New Roman"/>
          <w:lang w:eastAsia="en-US"/>
        </w:rPr>
        <w:t>regularly encountered</w:t>
      </w:r>
      <w:r w:rsidRPr="009C0BD4">
        <w:t>. From this multi-annual composite map, it was estimated that:</w:t>
      </w:r>
    </w:p>
    <w:p w14:paraId="5647B88D" w14:textId="77777777" w:rsidR="00DC0887" w:rsidRPr="009C0BD4" w:rsidRDefault="00DC0887" w:rsidP="009F4CB0">
      <w:pPr>
        <w:pStyle w:val="ListParagraph"/>
        <w:numPr>
          <w:ilvl w:val="0"/>
          <w:numId w:val="33"/>
        </w:numPr>
        <w:spacing w:before="0" w:after="120"/>
        <w:ind w:left="567" w:hanging="425"/>
        <w:contextualSpacing w:val="0"/>
      </w:pPr>
      <w:r w:rsidRPr="009C0BD4">
        <w:t>Coral reef areas exposed to potential risk categories III and IV were greater in Mackay-Whitsunday &gt; Fitzroy &gt; Wet Tropic</w:t>
      </w:r>
      <w:r>
        <w:t>s &gt; Burdekin &gt; Burnett-Mary NRM regions</w:t>
      </w:r>
      <w:r w:rsidRPr="009C0BD4">
        <w:t xml:space="preserve">. </w:t>
      </w:r>
    </w:p>
    <w:p w14:paraId="187FEE57" w14:textId="77777777" w:rsidR="00DC0887" w:rsidRPr="009C0BD4" w:rsidRDefault="00DC0887" w:rsidP="009F4CB0">
      <w:pPr>
        <w:pStyle w:val="ListParagraph"/>
        <w:numPr>
          <w:ilvl w:val="0"/>
          <w:numId w:val="33"/>
        </w:numPr>
        <w:spacing w:before="0" w:after="120"/>
        <w:ind w:left="567" w:hanging="425"/>
        <w:contextualSpacing w:val="0"/>
      </w:pPr>
      <w:r w:rsidRPr="009C0BD4">
        <w:t>Total seagrass areas exposed to potential risk categories III and IV were greater in Fitzroy &gt; Burdekin &gt; Mackay-Whitsunday &gt;</w:t>
      </w:r>
      <w:r>
        <w:t xml:space="preserve"> Wet Tropics &gt; Burnett-Mary NRM regions</w:t>
      </w:r>
      <w:r w:rsidRPr="009C0BD4">
        <w:t>.</w:t>
      </w:r>
    </w:p>
    <w:p w14:paraId="7EE72F68" w14:textId="77777777" w:rsidR="00DC0887" w:rsidRPr="007059E3" w:rsidRDefault="00DC0887" w:rsidP="00DC0887">
      <w:r w:rsidRPr="007059E3">
        <w:t>These result</w:t>
      </w:r>
      <w:r>
        <w:t>s</w:t>
      </w:r>
      <w:r w:rsidRPr="007059E3">
        <w:t xml:space="preserve"> are similar to the result</w:t>
      </w:r>
      <w:r>
        <w:t>s</w:t>
      </w:r>
      <w:r w:rsidRPr="007059E3">
        <w:t xml:space="preserve"> obtained by Brodie et al. </w:t>
      </w:r>
      <w:r>
        <w:t>(</w:t>
      </w:r>
      <w:r w:rsidRPr="007059E3">
        <w:t>2013</w:t>
      </w:r>
      <w:r>
        <w:t>)</w:t>
      </w:r>
      <w:r w:rsidRPr="007059E3">
        <w:t xml:space="preserve"> who assessed the </w:t>
      </w:r>
      <w:r>
        <w:t xml:space="preserve">relative </w:t>
      </w:r>
      <w:r w:rsidRPr="007059E3">
        <w:t>risk of pollutants to GBR ecosystems using a comprehensive combination of qualitative and semi-quantitative WQ information about the influence of individual catchments in the 6</w:t>
      </w:r>
      <w:r>
        <w:t xml:space="preserve"> NRM</w:t>
      </w:r>
      <w:r w:rsidRPr="007059E3">
        <w:t xml:space="preserve"> regions on coral reefs and seagrass ecosystems.</w:t>
      </w:r>
    </w:p>
    <w:p w14:paraId="0612A4A4" w14:textId="36B5B346" w:rsidR="0070425F" w:rsidRDefault="00DC0887" w:rsidP="0070425F">
      <w:r w:rsidRPr="00165B39">
        <w:t>This illustrates the potential of using the Primary, Secondary, Tertiary plume water type classification scheme to simply estimate combined WQ stressors in plume waters and thus simply model the risk of cumulative effects of pollutants in river plumes at different spatial and temporal scales.</w:t>
      </w:r>
    </w:p>
    <w:p w14:paraId="1442E4CC" w14:textId="77777777" w:rsidR="0064679C" w:rsidRPr="009F4CB0" w:rsidRDefault="0064679C" w:rsidP="009F4CB0">
      <w:pPr>
        <w:pStyle w:val="Heading2"/>
        <w:numPr>
          <w:ilvl w:val="1"/>
          <w:numId w:val="3"/>
        </w:numPr>
      </w:pPr>
      <w:bookmarkStart w:id="44" w:name="_Toc427831191"/>
      <w:bookmarkStart w:id="45" w:name="_Toc428793309"/>
      <w:bookmarkStart w:id="46" w:name="_Toc428851323"/>
      <w:bookmarkStart w:id="47" w:name="_Toc443299462"/>
      <w:bookmarkStart w:id="48" w:name="_Toc443299675"/>
      <w:bookmarkStart w:id="49" w:name="_Toc454304695"/>
      <w:r w:rsidRPr="009F4CB0">
        <w:t xml:space="preserve">Future </w:t>
      </w:r>
      <w:r w:rsidR="00787BEF" w:rsidRPr="009F4CB0">
        <w:t>outputs for representing river plume influence</w:t>
      </w:r>
      <w:bookmarkEnd w:id="44"/>
      <w:bookmarkEnd w:id="45"/>
      <w:bookmarkEnd w:id="46"/>
      <w:bookmarkEnd w:id="47"/>
      <w:bookmarkEnd w:id="48"/>
      <w:bookmarkEnd w:id="49"/>
    </w:p>
    <w:p w14:paraId="655028F2" w14:textId="0D869F78" w:rsidR="00211E84" w:rsidRDefault="00211E84" w:rsidP="00787BEF">
      <w:bookmarkStart w:id="50" w:name="_Toc416533844"/>
      <w:r w:rsidRPr="00110A7F">
        <w:t>Recent progress ha</w:t>
      </w:r>
      <w:r w:rsidR="00B40593">
        <w:t>s</w:t>
      </w:r>
      <w:r w:rsidRPr="00110A7F">
        <w:t xml:space="preserve"> been made to develop accurate regional algorithms for the GBR region </w:t>
      </w:r>
      <w:r w:rsidRPr="00110A7F">
        <w:fldChar w:fldCharType="begin">
          <w:fldData xml:space="preserve">PEVuZE5vdGU+PENpdGU+PEF1dGhvcj5CcmFuZG88L0F1dGhvcj48WWVhcj4yMDEwPC9ZZWFyPjxS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</w:fldData>
        </w:fldChar>
      </w:r>
      <w:r w:rsidRPr="00110A7F">
        <w:instrText xml:space="preserve"> ADDIN EN.CITE </w:instrText>
      </w:r>
      <w:r w:rsidRPr="00110A7F">
        <w:fldChar w:fldCharType="begin">
          <w:fldData xml:space="preserve">PEVuZE5vdGU+PENpdGU+PEF1dGhvcj5CcmFuZG88L0F1dGhvcj48WWVhcj4yMDEwPC9ZZWFyPjxS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</w:fldData>
        </w:fldChar>
      </w:r>
      <w:r w:rsidRPr="00110A7F">
        <w:instrText xml:space="preserve"> ADDIN EN.CITE.DATA </w:instrText>
      </w:r>
      <w:r w:rsidRPr="00110A7F">
        <w:fldChar w:fldCharType="end"/>
      </w:r>
      <w:r w:rsidRPr="00110A7F">
        <w:fldChar w:fldCharType="separate"/>
      </w:r>
      <w:r w:rsidRPr="00110A7F">
        <w:rPr>
          <w:noProof/>
        </w:rPr>
        <w:t>(</w:t>
      </w:r>
      <w:hyperlink w:anchor="_ENREF_5" w:tooltip="Brando, 2008 #1027" w:history="1">
        <w:r w:rsidRPr="00110A7F">
          <w:rPr>
            <w:noProof/>
          </w:rPr>
          <w:t>Brando et al., 2008</w:t>
        </w:r>
      </w:hyperlink>
      <w:r w:rsidRPr="00110A7F">
        <w:rPr>
          <w:noProof/>
        </w:rPr>
        <w:t xml:space="preserve">; </w:t>
      </w:r>
      <w:hyperlink w:anchor="_ENREF_6" w:tooltip="Brando, 2010 #1026" w:history="1">
        <w:r w:rsidRPr="00110A7F">
          <w:rPr>
            <w:noProof/>
          </w:rPr>
          <w:t>Brando et al., 2010a</w:t>
        </w:r>
      </w:hyperlink>
      <w:r w:rsidRPr="00110A7F">
        <w:rPr>
          <w:noProof/>
        </w:rPr>
        <w:t xml:space="preserve">; </w:t>
      </w:r>
      <w:hyperlink w:anchor="_ENREF_7" w:tooltip="Brando, 2010 #1028" w:history="1">
        <w:r w:rsidRPr="00110A7F">
          <w:rPr>
            <w:noProof/>
          </w:rPr>
          <w:t>Brando et al., 2010b</w:t>
        </w:r>
      </w:hyperlink>
      <w:r w:rsidRPr="00110A7F">
        <w:rPr>
          <w:noProof/>
        </w:rPr>
        <w:t xml:space="preserve">; </w:t>
      </w:r>
      <w:hyperlink w:anchor="_ENREF_33" w:tooltip="Schroeder, 2007 #1047" w:history="1">
        <w:r w:rsidRPr="00110A7F">
          <w:rPr>
            <w:noProof/>
          </w:rPr>
          <w:t>Schroeder et al., 2007</w:t>
        </w:r>
      </w:hyperlink>
      <w:r w:rsidRPr="00110A7F">
        <w:rPr>
          <w:noProof/>
        </w:rPr>
        <w:t>)</w:t>
      </w:r>
      <w:r w:rsidRPr="00110A7F">
        <w:fldChar w:fldCharType="end"/>
      </w:r>
      <w:r>
        <w:t xml:space="preserve"> </w:t>
      </w:r>
      <w:r w:rsidRPr="00110A7F">
        <w:t xml:space="preserve">that provide better retrieval in optically complex coastal waters. </w:t>
      </w:r>
      <w:r w:rsidRPr="003979AC">
        <w:t xml:space="preserve">Using these algorithms to map </w:t>
      </w:r>
      <w:r w:rsidR="00065BD8">
        <w:t>Chl</w:t>
      </w:r>
      <w:r w:rsidRPr="003979AC">
        <w:t xml:space="preserve">-a concentrations in </w:t>
      </w:r>
      <w:r w:rsidR="00065BD8">
        <w:t xml:space="preserve">the </w:t>
      </w:r>
      <w:r w:rsidRPr="003979AC">
        <w:t>near future will be instrumental in more accurate mapping of river plume waters using the Level-2 method.</w:t>
      </w:r>
      <w:r w:rsidR="00787BEF">
        <w:t xml:space="preserve"> </w:t>
      </w:r>
      <w:r w:rsidRPr="003979AC">
        <w:t xml:space="preserve">MODIS images calibrated into accurate water quality metrics would allow </w:t>
      </w:r>
      <w:r w:rsidR="00065BD8">
        <w:t>production of</w:t>
      </w:r>
      <w:r w:rsidRPr="003979AC">
        <w:t xml:space="preserve"> compliance maps </w:t>
      </w:r>
      <w:r w:rsidR="00065BD8">
        <w:t xml:space="preserve">assessed against </w:t>
      </w:r>
      <w:r w:rsidRPr="003979AC">
        <w:t>ecological threshold</w:t>
      </w:r>
      <w:r w:rsidR="00065BD8">
        <w:t>s</w:t>
      </w:r>
      <w:r>
        <w:t>.</w:t>
      </w:r>
    </w:p>
    <w:p w14:paraId="4F3FA6A7" w14:textId="4B9B0957" w:rsidR="00211E84" w:rsidRDefault="00787BEF" w:rsidP="00787BEF">
      <w:r>
        <w:t>Further comparisons between remote sensing</w:t>
      </w:r>
      <w:r w:rsidR="00211E84" w:rsidRPr="00110A7F">
        <w:t xml:space="preserve">-derived products and in situ WQ data acquired </w:t>
      </w:r>
      <w:r w:rsidR="00065BD8">
        <w:t>in</w:t>
      </w:r>
      <w:r w:rsidR="00211E84" w:rsidRPr="00110A7F">
        <w:t xml:space="preserve"> the </w:t>
      </w:r>
      <w:r w:rsidR="00065BD8">
        <w:t>future</w:t>
      </w:r>
      <w:r w:rsidR="00211E84" w:rsidRPr="00110A7F">
        <w:t xml:space="preserve"> MMP monitoring years will be undertaken. </w:t>
      </w:r>
    </w:p>
    <w:p w14:paraId="57E92D3B" w14:textId="77777777" w:rsidR="00211E84" w:rsidRDefault="00211E84" w:rsidP="00787BEF">
      <w:r w:rsidRPr="00177565">
        <w:t xml:space="preserve">One step further toward the </w:t>
      </w:r>
      <w:r w:rsidRPr="0049273C">
        <w:t>evaluat</w:t>
      </w:r>
      <w:r>
        <w:t>ion of</w:t>
      </w:r>
      <w:r w:rsidRPr="0049273C">
        <w:t xml:space="preserve"> the susceptibility of GBR key ecosystems to the river plume/pollutants exposure</w:t>
      </w:r>
      <w:r w:rsidRPr="00177565">
        <w:t xml:space="preserve"> is to compare predicted pollutant concentration in river plumes to published ecological threshold values for consequences and effects and combine this information </w:t>
      </w:r>
      <w:r>
        <w:t xml:space="preserve">with measures of ecosystem responses (growth rates, diversity, mortality) </w:t>
      </w:r>
      <w:r w:rsidRPr="00177565">
        <w:t xml:space="preserve">to </w:t>
      </w:r>
      <w:r>
        <w:t xml:space="preserve">refine the thresholds of the simplified risk framework. </w:t>
      </w:r>
    </w:p>
    <w:p w14:paraId="27792519" w14:textId="77777777" w:rsidR="00211E84" w:rsidRPr="000D6853" w:rsidRDefault="00211E84" w:rsidP="00787BEF">
      <w:r w:rsidRPr="00211E84">
        <w:rPr>
          <w:rFonts w:cs="Times New Roman"/>
          <w:lang w:val="en-US"/>
        </w:rPr>
        <w:t>Future risk models should incorporate the potential of cumulative impacts from multiple pollutants in river plume waters and the susceptibility of specific ecosystems (seagrass or coral reefs) should be taken into account. This exercise is, however, challenging because the response of GBR ecosystems to an amount and/or duration of exposure to land-sourced contaminants (respectively or combined) in river plume waters are often unknown at a regional or ecosystem level.</w:t>
      </w:r>
    </w:p>
    <w:p w14:paraId="6D9102CD" w14:textId="77777777" w:rsidR="00211E84" w:rsidRDefault="00211E84" w:rsidP="00787BEF">
      <w:r>
        <w:t>We are currently testing</w:t>
      </w:r>
      <w:r w:rsidRPr="000D6853">
        <w:t xml:space="preserve"> and revisit</w:t>
      </w:r>
      <w:r>
        <w:t>ing</w:t>
      </w:r>
      <w:r w:rsidRPr="000D6853">
        <w:t xml:space="preserve"> </w:t>
      </w:r>
      <w:r>
        <w:t>the</w:t>
      </w:r>
      <w:r w:rsidRPr="000D6853">
        <w:t xml:space="preserve"> simplified </w:t>
      </w:r>
      <w:r>
        <w:t xml:space="preserve">river plume risk </w:t>
      </w:r>
      <w:r w:rsidRPr="000D6853">
        <w:t xml:space="preserve">framework </w:t>
      </w:r>
      <w:r>
        <w:t>for</w:t>
      </w:r>
      <w:r w:rsidRPr="000D6853">
        <w:t xml:space="preserve"> the GBR</w:t>
      </w:r>
      <w:r>
        <w:t xml:space="preserve"> presented in </w:t>
      </w:r>
      <w:r w:rsidRPr="00BA3569">
        <w:t>Petus et al.</w:t>
      </w:r>
      <w:r w:rsidR="00787BEF">
        <w:t xml:space="preserve"> </w:t>
      </w:r>
      <w:r>
        <w:t>(</w:t>
      </w:r>
      <w:r w:rsidRPr="00BA3569">
        <w:t>2014b</w:t>
      </w:r>
      <w:r>
        <w:t>)</w:t>
      </w:r>
      <w:r w:rsidRPr="000D6853">
        <w:t xml:space="preserve">. </w:t>
      </w:r>
      <w:r>
        <w:t>This work aims to</w:t>
      </w:r>
      <w:r w:rsidRPr="000D6853">
        <w:t xml:space="preserve"> compare the vulnerab</w:t>
      </w:r>
      <w:r>
        <w:t>ility of</w:t>
      </w:r>
      <w:r w:rsidRPr="000D6853">
        <w:t xml:space="preserve"> areas</w:t>
      </w:r>
      <w:r>
        <w:t xml:space="preserve"> (or </w:t>
      </w:r>
      <w:r w:rsidRPr="000D6853">
        <w:t>ecosystems</w:t>
      </w:r>
      <w:r>
        <w:t>)</w:t>
      </w:r>
      <w:r w:rsidRPr="000D6853">
        <w:t xml:space="preserve"> predicted </w:t>
      </w:r>
      <w:r>
        <w:t xml:space="preserve">in the </w:t>
      </w:r>
      <w:r w:rsidRPr="000D6853">
        <w:t xml:space="preserve">risk model </w:t>
      </w:r>
      <w:r>
        <w:t xml:space="preserve">as of potential risk </w:t>
      </w:r>
      <w:r w:rsidRPr="000D6853">
        <w:t>with monitored ca</w:t>
      </w:r>
      <w:r>
        <w:t xml:space="preserve">ses of ecosystem health decline. This study will use multi-annual WQ data, </w:t>
      </w:r>
      <w:r w:rsidRPr="000D6853">
        <w:t>seagrass abundance</w:t>
      </w:r>
      <w:r>
        <w:t xml:space="preserve"> data and</w:t>
      </w:r>
      <w:r w:rsidRPr="000D6853">
        <w:t xml:space="preserve"> percent cover of macroalgae</w:t>
      </w:r>
      <w:r>
        <w:t xml:space="preserve"> (used as index of declining </w:t>
      </w:r>
      <w:r w:rsidRPr="00211E84">
        <w:rPr>
          <w:rFonts w:cs="Times New Roman"/>
        </w:rPr>
        <w:t xml:space="preserve">coral biodiversity) as well as </w:t>
      </w:r>
      <w:r>
        <w:t>p</w:t>
      </w:r>
      <w:r w:rsidRPr="000D6853">
        <w:t>ublished ecological thresholds for land-sourced contaminants</w:t>
      </w:r>
      <w:r>
        <w:t xml:space="preserve"> (e.g., Brodie et al.</w:t>
      </w:r>
      <w:r w:rsidR="00787BEF">
        <w:t xml:space="preserve"> </w:t>
      </w:r>
      <w:r w:rsidRPr="000D6853">
        <w:t>2013)</w:t>
      </w:r>
      <w:r>
        <w:t>.</w:t>
      </w:r>
    </w:p>
    <w:p w14:paraId="6F2560B1" w14:textId="38936BD1" w:rsidR="00211E84" w:rsidRPr="00110A7F" w:rsidRDefault="00211E84" w:rsidP="00787BEF">
      <w:r w:rsidRPr="00110A7F">
        <w:t xml:space="preserve">Further developments of our </w:t>
      </w:r>
      <w:r w:rsidR="009F4CB0">
        <w:t>remote sensing</w:t>
      </w:r>
      <w:r w:rsidRPr="00110A7F">
        <w:t xml:space="preserve"> methods to map </w:t>
      </w:r>
      <w:r>
        <w:t xml:space="preserve">the dispersion of land-based </w:t>
      </w:r>
      <w:r w:rsidRPr="00110A7F">
        <w:t>pollutants (</w:t>
      </w:r>
      <w:r>
        <w:t xml:space="preserve">e.g., </w:t>
      </w:r>
      <w:r w:rsidRPr="00110A7F">
        <w:t>TSS, DIN</w:t>
      </w:r>
      <w:r>
        <w:t>,</w:t>
      </w:r>
      <w:r w:rsidRPr="00110A7F">
        <w:t xml:space="preserve"> pesticides)</w:t>
      </w:r>
      <w:r>
        <w:t xml:space="preserve"> delivered by rivers to the GBR waters</w:t>
      </w:r>
      <w:r w:rsidRPr="00110A7F">
        <w:t xml:space="preserve"> include:</w:t>
      </w:r>
    </w:p>
    <w:p w14:paraId="07FB47A3" w14:textId="77777777" w:rsidR="00211E84" w:rsidRPr="00110A7F" w:rsidRDefault="00211E84" w:rsidP="00D60A3F">
      <w:pPr>
        <w:pStyle w:val="ListParagraph"/>
        <w:numPr>
          <w:ilvl w:val="0"/>
          <w:numId w:val="33"/>
        </w:numPr>
        <w:spacing w:before="0" w:after="120"/>
        <w:ind w:left="567" w:hanging="425"/>
        <w:contextualSpacing w:val="0"/>
      </w:pPr>
      <w:r w:rsidRPr="00110A7F">
        <w:lastRenderedPageBreak/>
        <w:t xml:space="preserve">The increase of the spatial resolution of WQ data used to calculate the spatially distributed DIN and TSS maps and re-run the model with the annual loads from the Source Catchments modelling for all of the 35 GBR catchments. </w:t>
      </w:r>
    </w:p>
    <w:p w14:paraId="4DF7E9E4" w14:textId="77777777" w:rsidR="00211E84" w:rsidRPr="00110A7F" w:rsidRDefault="00211E84" w:rsidP="00D60A3F">
      <w:pPr>
        <w:pStyle w:val="ListParagraph"/>
        <w:numPr>
          <w:ilvl w:val="0"/>
          <w:numId w:val="33"/>
        </w:numPr>
        <w:spacing w:before="0" w:after="120"/>
        <w:ind w:left="567" w:hanging="425"/>
        <w:contextualSpacing w:val="0"/>
      </w:pPr>
      <w:r>
        <w:t>Further development on the load maps is being progressed through a combination of increased number of samples over annual cycles (i.e., not constrained to the wet season only), and by increasing the number of rivers with monitored loads.</w:t>
      </w:r>
    </w:p>
    <w:p w14:paraId="3AD4BA14" w14:textId="77777777" w:rsidR="00AC06D6" w:rsidRPr="00FB5AAA" w:rsidRDefault="002D1F86" w:rsidP="003A69C4">
      <w:pPr>
        <w:pStyle w:val="Heading1"/>
        <w:numPr>
          <w:ilvl w:val="0"/>
          <w:numId w:val="3"/>
        </w:numPr>
        <w:spacing w:after="240" w:line="80" w:lineRule="atLeast"/>
        <w:rPr>
          <w:caps w:val="0"/>
        </w:rPr>
      </w:pPr>
      <w:r w:rsidRPr="003A69C4">
        <w:lastRenderedPageBreak/>
        <w:t xml:space="preserve"> </w:t>
      </w:r>
      <w:bookmarkStart w:id="51" w:name="_Toc443299463"/>
      <w:bookmarkStart w:id="52" w:name="_Toc443299676"/>
      <w:bookmarkStart w:id="53" w:name="_Toc454304696"/>
      <w:r w:rsidR="00AC06D6" w:rsidRPr="003A69C4">
        <w:t>I</w:t>
      </w:r>
      <w:bookmarkEnd w:id="50"/>
      <w:r w:rsidR="00FB5AAA" w:rsidRPr="003A69C4">
        <w:t>ntroduction</w:t>
      </w:r>
      <w:bookmarkEnd w:id="51"/>
      <w:bookmarkEnd w:id="52"/>
      <w:bookmarkEnd w:id="53"/>
    </w:p>
    <w:p w14:paraId="0DF35A79" w14:textId="77777777" w:rsidR="008D3A01" w:rsidRDefault="00EE42C6" w:rsidP="00B46AF9">
      <w:pPr>
        <w:pStyle w:val="Heading2"/>
        <w:numPr>
          <w:ilvl w:val="1"/>
          <w:numId w:val="3"/>
        </w:numPr>
      </w:pPr>
      <w:bookmarkStart w:id="54" w:name="_Toc443299464"/>
      <w:bookmarkStart w:id="55" w:name="_Toc443299677"/>
      <w:bookmarkStart w:id="56" w:name="_Toc454304697"/>
      <w:r>
        <w:t>Marine Monitoring Program</w:t>
      </w:r>
      <w:bookmarkEnd w:id="54"/>
      <w:bookmarkEnd w:id="55"/>
      <w:bookmarkEnd w:id="56"/>
    </w:p>
    <w:p w14:paraId="4BE29931" w14:textId="23208BD9" w:rsidR="00EE42C6" w:rsidRDefault="00EE42C6" w:rsidP="00EE42C6">
      <w:bookmarkStart w:id="57" w:name="_Toc410584195"/>
      <w:bookmarkStart w:id="58" w:name="_Toc416533846"/>
      <w:r w:rsidRPr="007E554A">
        <w:t xml:space="preserve">The Marine Monitoring Program (herein referred to as the MMP) undertaken in the Great Barrier Reef (GBR) lagoon assesses the long-term effectiveness of the Australian and Queensland Government’s Reef Water Quality Protection Plan (Reef Plan) and the Australian Government’s Reef </w:t>
      </w:r>
      <w:r w:rsidR="00434EFC">
        <w:t>Programme</w:t>
      </w:r>
      <w:r w:rsidR="00434EFC" w:rsidRPr="007E554A">
        <w:t xml:space="preserve"> </w:t>
      </w:r>
      <w:r w:rsidRPr="007E554A">
        <w:t xml:space="preserve">initiative. The MMP was established in 2005 to help assess the long-term status and health of GBR ecosystems and is a critical component in the assessment of regional water quality as land management practices are improved across GBR catchments. The program forms an integral part of the Reef Plan Paddock to Reef Integrated Monitoring, Modelling and Reporting Program (P2R program) supported through Reef Plan and </w:t>
      </w:r>
      <w:r w:rsidR="00434EFC">
        <w:t>Australian Government Reef Programme</w:t>
      </w:r>
      <w:r w:rsidRPr="007E554A">
        <w:t xml:space="preserve"> initiatives. </w:t>
      </w:r>
      <w:r w:rsidRPr="00A76E6A">
        <w:t xml:space="preserve">The </w:t>
      </w:r>
      <w:r w:rsidR="00065BD8">
        <w:t>w</w:t>
      </w:r>
      <w:r>
        <w:t xml:space="preserve">et </w:t>
      </w:r>
      <w:r w:rsidR="00065BD8">
        <w:t>s</w:t>
      </w:r>
      <w:r>
        <w:t>eason</w:t>
      </w:r>
      <w:r w:rsidRPr="00A76E6A">
        <w:t xml:space="preserve"> monitoring</w:t>
      </w:r>
      <w:r>
        <w:t xml:space="preserve"> program</w:t>
      </w:r>
      <w:r w:rsidRPr="00A76E6A">
        <w:t xml:space="preserve"> is part of </w:t>
      </w:r>
      <w:r>
        <w:t>the</w:t>
      </w:r>
      <w:r w:rsidRPr="00A76E6A">
        <w:t xml:space="preserve"> water quality </w:t>
      </w:r>
      <w:r>
        <w:t>monitoring program under</w:t>
      </w:r>
      <w:r w:rsidRPr="00A76E6A">
        <w:t xml:space="preserve"> the MMP</w:t>
      </w:r>
      <w:r>
        <w:t>,</w:t>
      </w:r>
      <w:r w:rsidRPr="00A76E6A">
        <w:t xml:space="preserve"> which includes baseline</w:t>
      </w:r>
      <w:r>
        <w:t xml:space="preserve">, ambient and event sampling </w:t>
      </w:r>
      <w:r w:rsidR="005935D5">
        <w:fldChar w:fldCharType="begin"/>
      </w:r>
      <w:r>
        <w:instrText xml:space="preserve"> ADDIN EN.CITE &lt;EndNote&gt;&lt;Cite&gt;&lt;Author&gt;Johnson&lt;/Author&gt;&lt;Year&gt;2011&lt;/Year&gt;&lt;RecNum&gt;1001&lt;/RecNum&gt;&lt;DisplayText&gt;(Johnson et al., 2011; Martin et al., 2014)&lt;/DisplayText&gt;&lt;record&gt;&lt;rec-number&gt;1001&lt;/rec-number&gt;&lt;foreign-keys&gt;&lt;key app="EN" db-id="wwzpfssaux292keptesxd5t6srsfvpzsde2p"&gt;1001&lt;/key&gt;&lt;/foreign-keys&gt;&lt;ref-type name="Book"&gt;6&lt;/ref-type&gt;&lt;contributors&gt;&lt;authors&gt;&lt;author&gt;Johnson, Johanna&lt;/author&gt;&lt;author&gt;Brando, Vittorio&lt;/author&gt;&lt;author&gt;Devlin, Michelle&lt;/author&gt;&lt;author&gt;McKenzie, Len&lt;/author&gt;&lt;author&gt;Morris, Sheridan&lt;/author&gt;&lt;author&gt;Schaffelke, Britta&lt;/author&gt;&lt;author&gt;Thompson, Angus&lt;/author&gt;&lt;author&gt;Waterhouse, Jane&lt;/author&gt;&lt;author&gt;Waycott, M&lt;/author&gt;&lt;/authors&gt;&lt;/contributors&gt;&lt;titles&gt;&lt;title&gt;Reef rescue marine monitoring program: 2009/2010 synthesis report&lt;/title&gt;&lt;/titles&gt;&lt;dates&gt;&lt;year&gt;2011&lt;/year&gt;&lt;/dates&gt;&lt;publisher&gt;Reef and Rainforest Research Centre&lt;/publisher&gt;&lt;isbn&gt;1921359617&lt;/isbn&gt;&lt;urls&gt;&lt;/urls&gt;&lt;/record&gt;&lt;/Cite&gt;&lt;Cite&gt;&lt;Author&gt;Martin&lt;/Author&gt;&lt;Year&gt;2014&lt;/Year&gt;&lt;RecNum&gt;1141&lt;/RecNum&gt;&lt;record&gt;&lt;rec-number&gt;1141&lt;/rec-number&gt;&lt;foreign-keys&gt;&lt;key app="EN" db-id="wwzpfssaux292keptesxd5t6srsfvpzsde2p"&gt;1141&lt;/key&gt;&lt;/foreign-keys&gt;&lt;ref-type name="Report"&gt;27&lt;/ref-type&gt;&lt;contributors&gt;&lt;authors&gt;&lt;author&gt;Martin, KC&lt;/author&gt;&lt;author&gt;McKenzie, L.J&lt;/author&gt;&lt;author&gt;Thompson, A&lt;/author&gt;&lt;author&gt;Muller, J&lt;/author&gt;&lt;author&gt;Bentley, C&lt;/author&gt;&lt;author&gt;Paxman, C&lt;/author&gt;&lt;author&gt;Collier, C&lt;/author&gt;&lt;author&gt;Waycott, M&lt;/author&gt;&lt;author&gt;Brando, V&lt;/author&gt;&lt;author&gt;Devlin, M&lt;/author&gt;&lt;author&gt;Schaffelke, B. 2014, &lt;/author&gt;&lt;/authors&gt;&lt;/contributors&gt;&lt;titles&gt;&lt;title&gt;Reef Rescue Marine Monitoring Program synthesis report. 2010-2011&lt;/title&gt;&lt;secondary-title&gt;A report to the Great Barrier Reef Marine Park Authority.&lt;/secondary-title&gt;&lt;/titles&gt;&lt;dates&gt;&lt;year&gt;2014&lt;/year&gt;&lt;/dates&gt;&lt;pub-location&gt;GBRMPA, Townsville.&lt;/pub-location&gt;&lt;urls&gt;&lt;/urls&gt;&lt;/record&gt;&lt;/Cite&gt;&lt;/EndNote&gt;</w:instrText>
      </w:r>
      <w:r w:rsidR="005935D5">
        <w:fldChar w:fldCharType="separate"/>
      </w:r>
      <w:r>
        <w:rPr>
          <w:noProof/>
        </w:rPr>
        <w:t>(</w:t>
      </w:r>
      <w:hyperlink w:anchor="_ENREF_22" w:tooltip="Johnson, 2011 #1001" w:history="1">
        <w:r w:rsidR="00D23C68">
          <w:rPr>
            <w:noProof/>
          </w:rPr>
          <w:t>Johnson et al., 2011</w:t>
        </w:r>
      </w:hyperlink>
      <w:r>
        <w:rPr>
          <w:noProof/>
        </w:rPr>
        <w:t xml:space="preserve">; </w:t>
      </w:r>
      <w:hyperlink w:anchor="_ENREF_26" w:tooltip="Martin, 2014 #1141" w:history="1">
        <w:r w:rsidR="00D23C68">
          <w:rPr>
            <w:noProof/>
          </w:rPr>
          <w:t>Martin et al., 2014</w:t>
        </w:r>
      </w:hyperlink>
      <w:r>
        <w:rPr>
          <w:noProof/>
        </w:rPr>
        <w:t>)</w:t>
      </w:r>
      <w:r w:rsidR="005935D5">
        <w:fldChar w:fldCharType="end"/>
      </w:r>
      <w:r w:rsidRPr="00A76E6A">
        <w:t xml:space="preserve">. This monitoring is run in partnership with the other MMP </w:t>
      </w:r>
      <w:r w:rsidRPr="00651252">
        <w:t>programs including water quality</w:t>
      </w:r>
      <w:r>
        <w:t xml:space="preserve"> </w:t>
      </w:r>
      <w:r w:rsidR="005935D5">
        <w:fldChar w:fldCharType="begin">
          <w:fldData xml:space="preserve">PEVuZE5vdGU+PENpdGU+PEF1dGhvcj5Kb2huc29uPC9BdXRob3I+PFllYXI+MjAxMTwvWWVhcj48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</w:fldData>
        </w:fldChar>
      </w:r>
      <w:r w:rsidR="00E635A2">
        <w:instrText xml:space="preserve"> ADDIN EN.CITE </w:instrText>
      </w:r>
      <w:r w:rsidR="005935D5">
        <w:fldChar w:fldCharType="begin">
          <w:fldData xml:space="preserve">PEVuZE5vdGU+PENpdGU+PEF1dGhvcj5Kb2huc29uPC9BdXRob3I+PFllYXI+MjAxMTwvWWVhcj48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</w:fldData>
        </w:fldChar>
      </w:r>
      <w:r w:rsidR="00E635A2">
        <w:instrText xml:space="preserve"> ADDIN EN.CITE.DATA </w:instrText>
      </w:r>
      <w:r w:rsidR="005935D5">
        <w:fldChar w:fldCharType="end"/>
      </w:r>
      <w:r w:rsidR="005935D5">
        <w:fldChar w:fldCharType="separate"/>
      </w:r>
      <w:r w:rsidR="00E635A2">
        <w:rPr>
          <w:noProof/>
        </w:rPr>
        <w:t>(</w:t>
      </w:r>
      <w:hyperlink w:anchor="_ENREF_4" w:tooltip="Bentley, 2012 #1071" w:history="1">
        <w:r w:rsidR="00D23C68">
          <w:rPr>
            <w:noProof/>
          </w:rPr>
          <w:t>Bentley et al., 2012</w:t>
        </w:r>
      </w:hyperlink>
      <w:r w:rsidR="00E635A2">
        <w:rPr>
          <w:noProof/>
        </w:rPr>
        <w:t xml:space="preserve">; </w:t>
      </w:r>
      <w:hyperlink w:anchor="_ENREF_5" w:tooltip="Brando, 2008 #1027" w:history="1">
        <w:r w:rsidR="00D23C68">
          <w:rPr>
            <w:noProof/>
          </w:rPr>
          <w:t>Brando et al., 2008</w:t>
        </w:r>
      </w:hyperlink>
      <w:r w:rsidR="00E635A2">
        <w:rPr>
          <w:noProof/>
        </w:rPr>
        <w:t xml:space="preserve">; </w:t>
      </w:r>
      <w:hyperlink w:anchor="_ENREF_6" w:tooltip="Brando, 2010 #1026" w:history="1">
        <w:r w:rsidR="00D23C68">
          <w:rPr>
            <w:noProof/>
          </w:rPr>
          <w:t>Brando et al., 2010a</w:t>
        </w:r>
      </w:hyperlink>
      <w:r w:rsidR="00E635A2">
        <w:rPr>
          <w:noProof/>
        </w:rPr>
        <w:t xml:space="preserve">; </w:t>
      </w:r>
      <w:hyperlink w:anchor="_ENREF_22" w:tooltip="Johnson, 2011 #1001" w:history="1">
        <w:r w:rsidR="00D23C68">
          <w:rPr>
            <w:noProof/>
          </w:rPr>
          <w:t>Johnson et al., 2011</w:t>
        </w:r>
      </w:hyperlink>
      <w:r w:rsidR="00E635A2">
        <w:rPr>
          <w:noProof/>
        </w:rPr>
        <w:t xml:space="preserve">; </w:t>
      </w:r>
      <w:hyperlink w:anchor="_ENREF_24" w:tooltip="Kennedy, 2012 #979" w:history="1">
        <w:r w:rsidR="00D23C68">
          <w:rPr>
            <w:noProof/>
          </w:rPr>
          <w:t>Kennedy et al., 2012</w:t>
        </w:r>
      </w:hyperlink>
      <w:r w:rsidR="00E635A2">
        <w:rPr>
          <w:noProof/>
        </w:rPr>
        <w:t xml:space="preserve">; </w:t>
      </w:r>
      <w:hyperlink w:anchor="_ENREF_31" w:tooltip="Schaffelke, 2012 #980" w:history="1">
        <w:r w:rsidR="00D23C68">
          <w:rPr>
            <w:noProof/>
          </w:rPr>
          <w:t>Schaffelke et al., 2012</w:t>
        </w:r>
      </w:hyperlink>
      <w:r w:rsidR="00E635A2">
        <w:rPr>
          <w:noProof/>
        </w:rPr>
        <w:t>)</w:t>
      </w:r>
      <w:r w:rsidR="005935D5">
        <w:fldChar w:fldCharType="end"/>
      </w:r>
      <w:r w:rsidRPr="008926B3">
        <w:t xml:space="preserve">, coral monitoring and seagrass monitoring </w:t>
      </w:r>
      <w:r w:rsidR="005935D5">
        <w:fldChar w:fldCharType="begin">
          <w:fldData xml:space="preserve">PEVuZE5vdGU+PENpdGU+PEF1dGhvcj5UaG9tcHNvbjwvQXV0aG9yPjxZZWFyPjIwMTM8L1llYXI+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</w:fldData>
        </w:fldChar>
      </w:r>
      <w:r w:rsidR="00E635A2">
        <w:instrText xml:space="preserve"> ADDIN EN.CITE </w:instrText>
      </w:r>
      <w:r w:rsidR="005935D5">
        <w:fldChar w:fldCharType="begin">
          <w:fldData xml:space="preserve">PEVuZE5vdGU+PENpdGU+PEF1dGhvcj5UaG9tcHNvbjwvQXV0aG9yPjxZZWFyPjIwMTM8L1llYXI+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</w:fldData>
        </w:fldChar>
      </w:r>
      <w:r w:rsidR="00E635A2">
        <w:instrText xml:space="preserve"> ADDIN EN.CITE.DATA </w:instrText>
      </w:r>
      <w:r w:rsidR="005935D5">
        <w:fldChar w:fldCharType="end"/>
      </w:r>
      <w:r w:rsidR="005935D5">
        <w:fldChar w:fldCharType="separate"/>
      </w:r>
      <w:r w:rsidR="00E635A2">
        <w:rPr>
          <w:noProof/>
        </w:rPr>
        <w:t>(</w:t>
      </w:r>
      <w:hyperlink w:anchor="_ENREF_28" w:tooltip="McKenzie, 2014 #967" w:history="1">
        <w:r w:rsidR="00D23C68">
          <w:rPr>
            <w:noProof/>
          </w:rPr>
          <w:t>McKenzie et al., 2014</w:t>
        </w:r>
      </w:hyperlink>
      <w:r w:rsidR="00E635A2">
        <w:rPr>
          <w:noProof/>
        </w:rPr>
        <w:t xml:space="preserve">; </w:t>
      </w:r>
      <w:hyperlink w:anchor="_ENREF_29" w:tooltip="McKenzie, 2012 #1005" w:history="1">
        <w:r w:rsidR="00D23C68">
          <w:rPr>
            <w:noProof/>
          </w:rPr>
          <w:t>McKenzie et al., 2012</w:t>
        </w:r>
      </w:hyperlink>
      <w:r w:rsidR="00E635A2">
        <w:rPr>
          <w:noProof/>
        </w:rPr>
        <w:t xml:space="preserve">; </w:t>
      </w:r>
      <w:hyperlink w:anchor="_ENREF_33" w:tooltip="Thompson, 2013 #1018" w:history="1">
        <w:r w:rsidR="00D23C68">
          <w:rPr>
            <w:noProof/>
          </w:rPr>
          <w:t>Thompson et al., 2013</w:t>
        </w:r>
      </w:hyperlink>
      <w:r w:rsidR="00E635A2">
        <w:rPr>
          <w:noProof/>
        </w:rPr>
        <w:t>)</w:t>
      </w:r>
      <w:r w:rsidR="005935D5">
        <w:fldChar w:fldCharType="end"/>
      </w:r>
      <w:r>
        <w:t>.</w:t>
      </w:r>
    </w:p>
    <w:p w14:paraId="4F1BC058" w14:textId="77777777" w:rsidR="00EE42C6" w:rsidRDefault="00EE42C6" w:rsidP="00EE42C6">
      <w:r w:rsidRPr="007E554A">
        <w:t xml:space="preserve">Water quality in the GBR is influenced by an array of factors including </w:t>
      </w:r>
      <w:r>
        <w:t xml:space="preserve">diffuse source </w:t>
      </w:r>
      <w:r w:rsidRPr="007E554A">
        <w:t xml:space="preserve">land-based runoff, point source pollution, and extreme weather conditions. Monitoring the impacts of </w:t>
      </w:r>
      <w:r>
        <w:t>land based runoff</w:t>
      </w:r>
      <w:r w:rsidRPr="007E554A">
        <w:t xml:space="preserve"> into the GBR is undertaken within the </w:t>
      </w:r>
      <w:r>
        <w:t>wet season</w:t>
      </w:r>
      <w:r w:rsidRPr="007E554A">
        <w:t xml:space="preserve"> monitoring </w:t>
      </w:r>
      <w:r>
        <w:t>program under</w:t>
      </w:r>
      <w:r w:rsidRPr="007E554A">
        <w:t xml:space="preserve"> the MMP, which targets sampling of the</w:t>
      </w:r>
      <w:r>
        <w:t xml:space="preserve"> wet season and</w:t>
      </w:r>
      <w:r w:rsidRPr="007E554A">
        <w:t xml:space="preserve"> high flow events </w:t>
      </w:r>
      <w:r>
        <w:t xml:space="preserve">to characterise the input of </w:t>
      </w:r>
      <w:r w:rsidRPr="007E554A">
        <w:t xml:space="preserve">terrestrially sourced pollutants </w:t>
      </w:r>
      <w:r>
        <w:t xml:space="preserve">delivered through </w:t>
      </w:r>
      <w:r w:rsidRPr="007E554A">
        <w:t>river discharge to the GBR</w:t>
      </w:r>
      <w:r>
        <w:t xml:space="preserve"> </w:t>
      </w:r>
      <w:r w:rsidR="005935D5">
        <w:fldChar w:fldCharType="begin">
          <w:fldData xml:space="preserve">PEVuZE5vdGU+PENpdGU+PEF1dGhvcj5EZXZsaW48L0F1dGhvcj48WWVhcj4yMDEyPC9ZZWFyPjxS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</w:fldData>
        </w:fldChar>
      </w:r>
      <w:r>
        <w:instrText xml:space="preserve"> ADDIN EN.CITE </w:instrText>
      </w:r>
      <w:r w:rsidR="005935D5">
        <w:fldChar w:fldCharType="begin">
          <w:fldData xml:space="preserve">PEVuZE5vdGU+PENpdGU+PEF1dGhvcj5EZXZsaW48L0F1dGhvcj48WWVhcj4yMDEyPC9ZZWFyPjxS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</w:fldData>
        </w:fldChar>
      </w:r>
      <w:r>
        <w:instrText xml:space="preserve"> ADDIN EN.CITE.DATA </w:instrText>
      </w:r>
      <w:r w:rsidR="005935D5">
        <w:fldChar w:fldCharType="end"/>
      </w:r>
      <w:r w:rsidR="005935D5">
        <w:fldChar w:fldCharType="separate"/>
      </w:r>
      <w:r>
        <w:rPr>
          <w:noProof/>
        </w:rPr>
        <w:t>(</w:t>
      </w:r>
      <w:hyperlink w:anchor="_ENREF_18" w:tooltip="Devlin, 2012 #1007" w:history="1">
        <w:r w:rsidR="00D23C68">
          <w:rPr>
            <w:noProof/>
          </w:rPr>
          <w:t>Devlin et al., 2012</w:t>
        </w:r>
      </w:hyperlink>
      <w:r>
        <w:rPr>
          <w:noProof/>
        </w:rPr>
        <w:t xml:space="preserve">; </w:t>
      </w:r>
      <w:hyperlink w:anchor="_ENREF_19" w:tooltip="Devlin, 2013 #791" w:history="1">
        <w:r w:rsidR="00D23C68">
          <w:rPr>
            <w:noProof/>
          </w:rPr>
          <w:t>Devlin et al., 2013</w:t>
        </w:r>
      </w:hyperlink>
      <w:r>
        <w:rPr>
          <w:noProof/>
        </w:rPr>
        <w:t xml:space="preserve">; </w:t>
      </w:r>
      <w:hyperlink w:anchor="_ENREF_22" w:tooltip="Johnson, 2011 #1001" w:history="1">
        <w:r w:rsidR="00D23C68">
          <w:rPr>
            <w:noProof/>
          </w:rPr>
          <w:t>Johnson et al., 2011</w:t>
        </w:r>
      </w:hyperlink>
      <w:r>
        <w:rPr>
          <w:noProof/>
        </w:rPr>
        <w:t>)</w:t>
      </w:r>
      <w:r w:rsidR="005935D5">
        <w:fldChar w:fldCharType="end"/>
      </w:r>
      <w:r w:rsidRPr="007E554A">
        <w:t xml:space="preserve">. </w:t>
      </w:r>
    </w:p>
    <w:p w14:paraId="76AEDE1C" w14:textId="77777777" w:rsidR="00EE42C6" w:rsidRPr="004B697F" w:rsidRDefault="00EE42C6" w:rsidP="00EE42C6">
      <w:r w:rsidRPr="00EE42C6">
        <w:rPr>
          <w:rFonts w:ascii="Calibri" w:eastAsia="Calibri" w:hAnsi="Calibri" w:cs="Times New Roman"/>
          <w:lang w:eastAsia="en-US"/>
        </w:rPr>
        <w:t xml:space="preserve">This program, through </w:t>
      </w:r>
      <w:r w:rsidRPr="00EE42C6">
        <w:rPr>
          <w:rFonts w:ascii="Calibri" w:eastAsia="Calibri" w:hAnsi="Calibri" w:cs="Times New Roman"/>
          <w:i/>
          <w:lang w:eastAsia="en-US"/>
        </w:rPr>
        <w:t>in-situ</w:t>
      </w:r>
      <w:r w:rsidRPr="00EE42C6">
        <w:rPr>
          <w:rFonts w:ascii="Calibri" w:eastAsia="Calibri" w:hAnsi="Calibri" w:cs="Times New Roman"/>
          <w:lang w:eastAsia="en-US"/>
        </w:rPr>
        <w:t xml:space="preserve"> water quality sampling and remote sensed data </w:t>
      </w:r>
      <w:r>
        <w:rPr>
          <w:rFonts w:ascii="Calibri" w:eastAsia="Calibri" w:hAnsi="Calibri" w:cs="Times New Roman"/>
          <w:lang w:eastAsia="en-US"/>
        </w:rPr>
        <w:t xml:space="preserve">identifies and maps </w:t>
      </w:r>
      <w:r w:rsidRPr="00EE42C6">
        <w:rPr>
          <w:rFonts w:ascii="Calibri" w:eastAsia="Calibri" w:hAnsi="Calibri" w:cs="Times New Roman"/>
          <w:lang w:eastAsia="en-US"/>
        </w:rPr>
        <w:t>the risk and exposure of GBR ecosystems to anthropogenic water quality influences (e.g., nutrients, sediments and pesticides). River flood plumes are important pathway for terrestrial materials entering the sea, and a dominant sourc</w:t>
      </w:r>
      <w:r w:rsidR="00C77C3C">
        <w:rPr>
          <w:rFonts w:ascii="Calibri" w:eastAsia="Calibri" w:hAnsi="Calibri" w:cs="Times New Roman"/>
          <w:lang w:eastAsia="en-US"/>
        </w:rPr>
        <w:t xml:space="preserve">e of coastal pollutants. Spatial and temporal maps of </w:t>
      </w:r>
      <w:r w:rsidRPr="00EE42C6">
        <w:rPr>
          <w:rFonts w:ascii="Calibri" w:eastAsia="Calibri" w:hAnsi="Calibri" w:cs="Times New Roman"/>
          <w:lang w:eastAsia="en-US"/>
        </w:rPr>
        <w:t xml:space="preserve">the </w:t>
      </w:r>
      <w:r w:rsidR="00C77C3C">
        <w:rPr>
          <w:rFonts w:ascii="Calibri" w:eastAsia="Calibri" w:hAnsi="Calibri" w:cs="Times New Roman"/>
          <w:lang w:eastAsia="en-US"/>
        </w:rPr>
        <w:t xml:space="preserve">river plume extent, </w:t>
      </w:r>
      <w:r w:rsidRPr="00EE42C6">
        <w:rPr>
          <w:rFonts w:ascii="Calibri" w:eastAsia="Calibri" w:hAnsi="Calibri" w:cs="Times New Roman"/>
          <w:lang w:eastAsia="en-US"/>
        </w:rPr>
        <w:t>frequency of occurrence and duration</w:t>
      </w:r>
      <w:r w:rsidR="00C77C3C">
        <w:rPr>
          <w:rFonts w:ascii="Calibri" w:eastAsia="Calibri" w:hAnsi="Calibri" w:cs="Times New Roman"/>
          <w:lang w:eastAsia="en-US"/>
        </w:rPr>
        <w:t xml:space="preserve"> of exposure provides information</w:t>
      </w:r>
      <w:r w:rsidRPr="00EE42C6">
        <w:rPr>
          <w:rFonts w:ascii="Calibri" w:eastAsia="Calibri" w:hAnsi="Calibri" w:cs="Times New Roman"/>
          <w:lang w:eastAsia="en-US"/>
        </w:rPr>
        <w:t xml:space="preserve"> </w:t>
      </w:r>
      <w:r w:rsidR="00C77C3C">
        <w:rPr>
          <w:rFonts w:ascii="Calibri" w:eastAsia="Calibri" w:hAnsi="Calibri" w:cs="Times New Roman"/>
          <w:lang w:eastAsia="en-US"/>
        </w:rPr>
        <w:t xml:space="preserve">in the development of </w:t>
      </w:r>
      <w:r w:rsidRPr="00EE42C6">
        <w:rPr>
          <w:rFonts w:ascii="Calibri" w:eastAsia="Calibri" w:hAnsi="Calibri" w:cs="Times New Roman"/>
          <w:lang w:eastAsia="en-US"/>
        </w:rPr>
        <w:t>river plume risk models</w:t>
      </w:r>
      <w:r w:rsidR="00C77C3C">
        <w:rPr>
          <w:rFonts w:ascii="Calibri" w:eastAsia="Calibri" w:hAnsi="Calibri" w:cs="Times New Roman"/>
          <w:lang w:eastAsia="en-US"/>
        </w:rPr>
        <w:t>. These models</w:t>
      </w:r>
      <w:r w:rsidRPr="00EE42C6">
        <w:rPr>
          <w:rFonts w:ascii="Calibri" w:eastAsia="Calibri" w:hAnsi="Calibri" w:cs="Times New Roman"/>
          <w:lang w:eastAsia="en-US"/>
        </w:rPr>
        <w:t xml:space="preserve"> </w:t>
      </w:r>
      <w:r w:rsidR="00C77C3C">
        <w:rPr>
          <w:rFonts w:ascii="Calibri" w:eastAsia="Calibri" w:hAnsi="Calibri" w:cs="Times New Roman"/>
          <w:lang w:eastAsia="en-US"/>
        </w:rPr>
        <w:t>identify</w:t>
      </w:r>
      <w:r w:rsidRPr="00EE42C6">
        <w:rPr>
          <w:rFonts w:ascii="Calibri" w:eastAsia="Calibri" w:hAnsi="Calibri" w:cs="Times New Roman"/>
          <w:lang w:eastAsia="en-US"/>
        </w:rPr>
        <w:t xml:space="preserve"> plume-affected areas that may experience acute or chronic exposure to contaminants delivered by river discharge. Knowledge of the areas and ecosystems that are most likely to be impacted by changing water quality helps focus our understanding on what type of ecological impacts are occurring and to better inform marine, coastal and catchment management.</w:t>
      </w:r>
    </w:p>
    <w:p w14:paraId="2D8BD8D3" w14:textId="77777777" w:rsidR="00EE42C6" w:rsidRDefault="00EE42C6" w:rsidP="00EE42C6">
      <w:r>
        <w:t xml:space="preserve">Due to </w:t>
      </w:r>
      <w:r w:rsidRPr="007E554A">
        <w:t>the large size of the GBR Marine Park (350,000 km</w:t>
      </w:r>
      <w:r w:rsidRPr="00EE42C6">
        <w:rPr>
          <w:vertAlign w:val="superscript"/>
        </w:rPr>
        <w:t>2</w:t>
      </w:r>
      <w:r w:rsidRPr="007E554A">
        <w:t>), the short-term nature and variability of runoff events (hours to weeks) and the often difficult weather conditions associated with floods, it is difficult and expensive to launch and coordinate comprehensive runoff plume water quality sampling campaigns across a large section of the GBR</w:t>
      </w:r>
      <w:r>
        <w:t xml:space="preserve"> </w:t>
      </w:r>
      <w:r w:rsidR="005935D5">
        <w:fldChar w:fldCharType="begin"/>
      </w:r>
      <w:r>
        <w:instrText xml:space="preserve"> ADDIN EN.CITE &lt;EndNote&gt;&lt;Cite&gt;&lt;Author&gt;Devlin&lt;/Author&gt;&lt;Year&gt;2001&lt;/Year&gt;&lt;RecNum&gt;792&lt;/RecNum&gt;&lt;DisplayText&gt;(Devlin et al., 2001)&lt;/DisplayText&gt;&lt;record&gt;&lt;rec-number&gt;792&lt;/rec-number&gt;&lt;foreign-keys&gt;&lt;key app="EN" db-id="wwzpfssaux292keptesxd5t6srsfvpzsde2p"&gt;792&lt;/key&gt;&lt;/foreign-keys&gt;&lt;ref-type name="Book"&gt;6&lt;/ref-type&gt;&lt;contributors&gt;&lt;authors&gt;&lt;author&gt;Devlin, Michelle&lt;/author&gt;&lt;author&gt;Waterhouse, Jane&lt;/author&gt;&lt;author&gt;Taylor, Jeremy&lt;/author&gt;&lt;author&gt;Brodie, JE&lt;/author&gt;&lt;/authors&gt;&lt;/contributors&gt;&lt;titles&gt;&lt;title&gt;Flood plumes in the Great Barrier Reef: spatial and temporal patterns in composition and distribution&lt;/title&gt;&lt;/titles&gt;&lt;dates&gt;&lt;year&gt;2001&lt;/year&gt;&lt;/dates&gt;&lt;publisher&gt;Great Barrier Reef Marine Park Authority&lt;/publisher&gt;&lt;isbn&gt;0642230978&lt;/isbn&gt;&lt;urls&gt;&lt;/urls&gt;&lt;/record&gt;&lt;/Cite&gt;&lt;/EndNote&gt;</w:instrText>
      </w:r>
      <w:r w:rsidR="005935D5">
        <w:fldChar w:fldCharType="separate"/>
      </w:r>
      <w:r>
        <w:rPr>
          <w:noProof/>
        </w:rPr>
        <w:t>(</w:t>
      </w:r>
      <w:hyperlink w:anchor="_ENREF_17" w:tooltip="Devlin, 2001 #792" w:history="1">
        <w:r w:rsidR="00D23C68">
          <w:rPr>
            <w:noProof/>
          </w:rPr>
          <w:t>Devlin et al., 2001</w:t>
        </w:r>
      </w:hyperlink>
      <w:r>
        <w:rPr>
          <w:noProof/>
        </w:rPr>
        <w:t>)</w:t>
      </w:r>
      <w:r w:rsidR="005935D5">
        <w:fldChar w:fldCharType="end"/>
      </w:r>
      <w:r>
        <w:t>. Wet season water</w:t>
      </w:r>
      <w:r w:rsidRPr="007E554A">
        <w:t xml:space="preserve"> quality data is measured through a combination of </w:t>
      </w:r>
      <w:r w:rsidRPr="00EC36B8">
        <w:t>in-situ</w:t>
      </w:r>
      <w:r w:rsidRPr="007E554A">
        <w:t xml:space="preserve"> water quality measurements taken at peak and post flow conditions in targeted catchments throughout the wet season. River plume extent, frequency and duration are </w:t>
      </w:r>
      <w:r>
        <w:t xml:space="preserve">also </w:t>
      </w:r>
      <w:r w:rsidRPr="007E554A">
        <w:t>measured</w:t>
      </w:r>
      <w:r>
        <w:t xml:space="preserve"> and mapped</w:t>
      </w:r>
      <w:r w:rsidRPr="007E554A">
        <w:t xml:space="preserve"> through the use of remote sensing products</w:t>
      </w:r>
      <w:r>
        <w:t>, and more recently, the development of hydrodynamic models</w:t>
      </w:r>
      <w:r w:rsidRPr="007E554A">
        <w:t xml:space="preserve">. </w:t>
      </w:r>
    </w:p>
    <w:p w14:paraId="6909EBD8" w14:textId="5C98B1E3" w:rsidR="00EE42C6" w:rsidRPr="00EE42C6" w:rsidRDefault="00EE42C6" w:rsidP="00EE42C6">
      <w:pPr>
        <w:rPr>
          <w:rFonts w:ascii="Calibri" w:eastAsia="Calibri" w:hAnsi="Calibri" w:cs="Times New Roman"/>
          <w:lang w:eastAsia="en-US"/>
        </w:rPr>
      </w:pPr>
      <w:r w:rsidRPr="00EE42C6">
        <w:rPr>
          <w:rFonts w:ascii="Calibri" w:eastAsia="Calibri" w:hAnsi="Calibri" w:cs="Times New Roman"/>
          <w:lang w:eastAsia="en-US"/>
        </w:rPr>
        <w:t>The GBR is the most extensive reef system in the world and comprises over 2</w:t>
      </w:r>
      <w:r w:rsidR="001C15E1">
        <w:rPr>
          <w:rFonts w:ascii="Calibri" w:eastAsia="Calibri" w:hAnsi="Calibri" w:cs="Times New Roman"/>
          <w:lang w:eastAsia="en-US"/>
        </w:rPr>
        <w:t>,</w:t>
      </w:r>
      <w:r w:rsidRPr="00EE42C6">
        <w:rPr>
          <w:rFonts w:ascii="Calibri" w:eastAsia="Calibri" w:hAnsi="Calibri" w:cs="Times New Roman"/>
          <w:lang w:eastAsia="en-US"/>
        </w:rPr>
        <w:t>900 km</w:t>
      </w:r>
      <w:r w:rsidRPr="00EE42C6">
        <w:rPr>
          <w:rFonts w:ascii="Calibri" w:eastAsia="Calibri" w:hAnsi="Calibri" w:cs="Times New Roman"/>
          <w:vertAlign w:val="superscript"/>
          <w:lang w:eastAsia="en-US"/>
        </w:rPr>
        <w:t>2</w:t>
      </w:r>
      <w:r w:rsidRPr="00EE42C6">
        <w:rPr>
          <w:rFonts w:ascii="Calibri" w:eastAsia="Calibri" w:hAnsi="Calibri" w:cs="Times New Roman"/>
          <w:lang w:eastAsia="en-US"/>
        </w:rPr>
        <w:t xml:space="preserve"> of coral reefs. It also comprises over 43</w:t>
      </w:r>
      <w:r w:rsidR="00C6470A">
        <w:rPr>
          <w:rFonts w:ascii="Calibri" w:eastAsia="Calibri" w:hAnsi="Calibri" w:cs="Times New Roman"/>
          <w:lang w:eastAsia="en-US"/>
        </w:rPr>
        <w:t>,</w:t>
      </w:r>
      <w:r w:rsidRPr="00EE42C6">
        <w:rPr>
          <w:rFonts w:ascii="Calibri" w:eastAsia="Calibri" w:hAnsi="Calibri" w:cs="Times New Roman"/>
          <w:lang w:eastAsia="en-US"/>
        </w:rPr>
        <w:t>000 km</w:t>
      </w:r>
      <w:r w:rsidRPr="00EE42C6">
        <w:rPr>
          <w:rFonts w:ascii="Calibri" w:eastAsia="Calibri" w:hAnsi="Calibri" w:cs="Times New Roman"/>
          <w:vertAlign w:val="superscript"/>
          <w:lang w:eastAsia="en-US"/>
        </w:rPr>
        <w:t>2</w:t>
      </w:r>
      <w:r w:rsidRPr="00EE42C6">
        <w:rPr>
          <w:rFonts w:ascii="Calibri" w:eastAsia="Calibri" w:hAnsi="Calibri" w:cs="Times New Roman"/>
          <w:lang w:eastAsia="en-US"/>
        </w:rPr>
        <w:t xml:space="preserve"> of seagrass meadows (</w:t>
      </w:r>
      <w:r w:rsidR="009246AC">
        <w:rPr>
          <w:rFonts w:ascii="Calibri" w:eastAsia="Calibri" w:hAnsi="Calibri" w:cs="Times New Roman"/>
          <w:lang w:eastAsia="en-US"/>
        </w:rPr>
        <w:t>Figure 2</w:t>
      </w:r>
      <w:r w:rsidR="001C15E1">
        <w:t>-1</w:t>
      </w:r>
      <w:r w:rsidRPr="00EE42C6">
        <w:rPr>
          <w:rFonts w:ascii="Calibri" w:eastAsia="Calibri" w:hAnsi="Calibri" w:cs="Times New Roman"/>
          <w:lang w:eastAsia="en-US"/>
        </w:rPr>
        <w:t xml:space="preserve">). Thirty major rivers drain into the GBR, all of which vary considerably in length, catchment area, and flow frequency and intensity. Rivers discharging into the GBR lagoon are the main land-based source of pollutants (i.e., sediments, nutrients and pesticides) of the GBR. The actual distribution and movement of the individual </w:t>
      </w:r>
      <w:r w:rsidRPr="00EE42C6">
        <w:rPr>
          <w:rFonts w:ascii="Calibri" w:eastAsia="Calibri" w:hAnsi="Calibri" w:cs="Times New Roman"/>
          <w:lang w:eastAsia="en-US"/>
        </w:rPr>
        <w:lastRenderedPageBreak/>
        <w:t>pollutants varies considerably between the Wet and Dry Tropic</w:t>
      </w:r>
      <w:r w:rsidR="009246AC">
        <w:rPr>
          <w:rFonts w:ascii="Calibri" w:eastAsia="Calibri" w:hAnsi="Calibri" w:cs="Times New Roman"/>
          <w:lang w:eastAsia="en-US"/>
        </w:rPr>
        <w:t>s</w:t>
      </w:r>
      <w:r w:rsidRPr="00EE42C6">
        <w:rPr>
          <w:rFonts w:ascii="Calibri" w:eastAsia="Calibri" w:hAnsi="Calibri" w:cs="Times New Roman"/>
          <w:lang w:eastAsia="en-US"/>
        </w:rPr>
        <w:t xml:space="preserve"> rivers </w:t>
      </w:r>
      <w:r w:rsidR="005935D5" w:rsidRPr="00EE42C6">
        <w:rPr>
          <w:rFonts w:ascii="Calibri" w:eastAsia="Calibri" w:hAnsi="Calibri" w:cs="Times New Roman"/>
          <w:lang w:eastAsia="en-US"/>
        </w:rPr>
        <w:fldChar w:fldCharType="begin"/>
      </w:r>
      <w:r w:rsidRPr="00EE42C6">
        <w:rPr>
          <w:rFonts w:ascii="Calibri" w:eastAsia="Calibri" w:hAnsi="Calibri" w:cs="Times New Roman"/>
          <w:lang w:eastAsia="en-US"/>
        </w:rPr>
        <w:instrText xml:space="preserve"> ADDIN EN.CITE &lt;EndNote&gt;&lt;Cite&gt;&lt;Author&gt;Devlin&lt;/Author&gt;&lt;Year&gt;2011&lt;/Year&gt;&lt;RecNum&gt;1034&lt;/RecNum&gt;&lt;DisplayText&gt;(Devlin et al., 2011; Devlin et al., 2013)&lt;/DisplayText&gt;&lt;record&gt;&lt;rec-number&gt;1034&lt;/rec-number&gt;&lt;foreign-keys&gt;&lt;key app="EN" db-id="wwzpfssaux292keptesxd5t6srsfvpzsde2p"&gt;1034&lt;/key&gt;&lt;/foreign-keys&gt;&lt;ref-type name="Journal Article"&gt;17&lt;/ref-type&gt;&lt;contributors&gt;&lt;authors&gt;&lt;author&gt;Devlin, Michelle&lt;/author&gt;&lt;author&gt;Schroeder, Thomas&lt;/author&gt;&lt;author&gt;McKinna, Lachlan&lt;/author&gt;&lt;author&gt;Brodie, Jon&lt;/author&gt;&lt;author&gt;Brando, Vittorio&lt;/author&gt;&lt;author&gt;Dekker, Arnold&lt;/author&gt;&lt;/authors&gt;&lt;/contributors&gt;&lt;titles&gt;&lt;title&gt;Monitoring and mapping of flood plumes in the Great Barrier Reef based on in-situ and remote sensing observations&lt;/title&gt;&lt;secondary-title&gt;Advances in Environmental Remote Sensing to Monitor Global Changes, CRC Press, Boca Raton&lt;/secondary-title&gt;&lt;/titles&gt;&lt;periodical&gt;&lt;full-title&gt;Advances in Environmental Remote Sensing to Monitor Global Changes, CRC Press, Boca Raton&lt;/full-title&gt;&lt;/periodical&gt;&lt;dates&gt;&lt;year&gt;2011&lt;/year&gt;&lt;/dates&gt;&lt;urls&gt;&lt;/urls&gt;&lt;/record&gt;&lt;/Cite&gt;&lt;Cite&gt;&lt;Author&gt;Devlin&lt;/Author&gt;&lt;Year&gt;2013&lt;/Year&gt;&lt;RecNum&gt;791&lt;/RecNum&gt;&lt;record&gt;&lt;rec-number&gt;791&lt;/rec-number&gt;&lt;foreign-keys&gt;&lt;key app="EN" db-id="wwzpfssaux292keptesxd5t6srsfvpzsde2p"&gt;791&lt;/key&gt;&lt;/foreign-keys&gt;&lt;ref-type name="Report"&gt;27&lt;/ref-type&gt;&lt;contributors&gt;&lt;authors&gt;&lt;author&gt;Devlin, M. J.&lt;/author&gt;&lt;author&gt;Álvarez-Romero, J.&lt;/author&gt;&lt;author&gt;da Silva, E. T.&lt;/author&gt;&lt;author&gt;DeBose, J.&lt;/author&gt;&lt;author&gt;Petus, C.&lt;/author&gt;&lt;author&gt;Wenger, A.&lt;/author&gt;&lt;/authors&gt;&lt;/contributors&gt;&lt;titles&gt;&lt;title&gt;Reef Rescue Marine Monitoring Program. Final report of JCU activities 2011/12 – Flood plumes and extreme weather monitoring for the Great Barrier Reef Marine Park Authority&lt;/title&gt;&lt;/titles&gt;&lt;dates&gt;&lt;year&gt;2013&lt;/year&gt;&lt;/dates&gt;&lt;pub-location&gt;Townsville&lt;/pub-location&gt;&lt;publisher&gt;James Cook University&lt;/publisher&gt;&lt;work-type&gt;Report ER&lt;/work-type&gt;&lt;urls&gt;&lt;related-urls&gt;&lt;url&gt;http://hdl.handle.net/11017/2803&lt;/url&gt;&lt;/related-urls&gt;&lt;/urls&gt;&lt;/record&gt;&lt;/Cite&gt;&lt;/EndNote&gt;</w:instrText>
      </w:r>
      <w:r w:rsidR="005935D5" w:rsidRPr="00EE42C6">
        <w:rPr>
          <w:rFonts w:ascii="Calibri" w:eastAsia="Calibri" w:hAnsi="Calibri" w:cs="Times New Roman"/>
          <w:lang w:eastAsia="en-US"/>
        </w:rPr>
        <w:fldChar w:fldCharType="separate"/>
      </w:r>
      <w:r w:rsidRPr="00EE42C6">
        <w:rPr>
          <w:rFonts w:ascii="Calibri" w:eastAsia="Calibri" w:hAnsi="Calibri" w:cs="Times New Roman"/>
          <w:noProof/>
          <w:lang w:eastAsia="en-US"/>
        </w:rPr>
        <w:t>(</w:t>
      </w:r>
      <w:hyperlink w:anchor="_ENREF_16" w:tooltip="Devlin, 2011 #1034" w:history="1">
        <w:r w:rsidR="00D23C68" w:rsidRPr="00EE42C6">
          <w:rPr>
            <w:rFonts w:ascii="Calibri" w:eastAsia="Calibri" w:hAnsi="Calibri" w:cs="Times New Roman"/>
            <w:noProof/>
            <w:lang w:eastAsia="en-US"/>
          </w:rPr>
          <w:t>Devlin et al., 2011</w:t>
        </w:r>
      </w:hyperlink>
      <w:r w:rsidRPr="00EE42C6">
        <w:rPr>
          <w:rFonts w:ascii="Calibri" w:eastAsia="Calibri" w:hAnsi="Calibri" w:cs="Times New Roman"/>
          <w:noProof/>
          <w:lang w:eastAsia="en-US"/>
        </w:rPr>
        <w:t xml:space="preserve">; </w:t>
      </w:r>
      <w:hyperlink w:anchor="_ENREF_19" w:tooltip="Devlin, 2013 #791" w:history="1">
        <w:r w:rsidR="00D23C68" w:rsidRPr="00EE42C6">
          <w:rPr>
            <w:rFonts w:ascii="Calibri" w:eastAsia="Calibri" w:hAnsi="Calibri" w:cs="Times New Roman"/>
            <w:noProof/>
            <w:lang w:eastAsia="en-US"/>
          </w:rPr>
          <w:t>Devlin et al., 2013</w:t>
        </w:r>
      </w:hyperlink>
      <w:r w:rsidRPr="00EE42C6">
        <w:rPr>
          <w:rFonts w:ascii="Calibri" w:eastAsia="Calibri" w:hAnsi="Calibri" w:cs="Times New Roman"/>
          <w:noProof/>
          <w:lang w:eastAsia="en-US"/>
        </w:rPr>
        <w:t>)</w:t>
      </w:r>
      <w:r w:rsidR="005935D5" w:rsidRPr="00EE42C6">
        <w:rPr>
          <w:rFonts w:ascii="Calibri" w:eastAsia="Calibri" w:hAnsi="Calibri" w:cs="Times New Roman"/>
          <w:lang w:eastAsia="en-US"/>
        </w:rPr>
        <w:fldChar w:fldCharType="end"/>
      </w:r>
      <w:r w:rsidRPr="00EE42C6">
        <w:rPr>
          <w:rFonts w:ascii="Calibri" w:eastAsia="Calibri" w:hAnsi="Calibri" w:cs="Times New Roman"/>
          <w:lang w:eastAsia="en-US"/>
        </w:rPr>
        <w:t>.</w:t>
      </w:r>
    </w:p>
    <w:p w14:paraId="3CA9AB77" w14:textId="28AD1629" w:rsidR="00EE42C6" w:rsidRPr="00EE42C6" w:rsidRDefault="001C15E1" w:rsidP="00EE42C6">
      <w:pPr>
        <w:rPr>
          <w:rFonts w:ascii="Calibri" w:eastAsia="Calibri" w:hAnsi="Calibri" w:cs="Times New Roman"/>
          <w:lang w:eastAsia="en-US"/>
        </w:rPr>
      </w:pPr>
      <w:r>
        <w:rPr>
          <w:rFonts w:ascii="Calibri" w:eastAsia="Calibri" w:hAnsi="Calibri" w:cs="Times New Roman"/>
          <w:noProof/>
        </w:rPr>
        <w:drawing>
          <wp:anchor distT="0" distB="0" distL="114300" distR="114300" simplePos="0" relativeHeight="251803648" behindDoc="0" locked="0" layoutInCell="1" allowOverlap="1" wp14:anchorId="3C0820D2" wp14:editId="4F727685">
            <wp:simplePos x="0" y="0"/>
            <wp:positionH relativeFrom="margin">
              <wp:posOffset>1176655</wp:posOffset>
            </wp:positionH>
            <wp:positionV relativeFrom="paragraph">
              <wp:posOffset>1647825</wp:posOffset>
            </wp:positionV>
            <wp:extent cx="3027680" cy="4662170"/>
            <wp:effectExtent l="0" t="0" r="1270" b="5080"/>
            <wp:wrapTopAndBottom/>
            <wp:docPr id="4" name="Picture 4" descr="The Great Barrier Reef Marine Park (light grey, Queensland, Australia), major marine ecosystems (coral reefs and seagrass beds), Natural Resource Management regions and marine portions (delineated by dark grey lines) of the NRM regions and major rivers." title="The Great Barrier Reef Marine Park (light grey, Queensland, Australia), major marine ecosystems (coral reefs and seagrass beds), Natural Resource Management regions and marine portions (delineated by dark grey lines) of the NRM regions and major riv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BR_catchment_map_v2_300ppi-01.jpg"/>
                    <pic:cNvPicPr/>
                  </pic:nvPicPr>
                  <pic:blipFill>
                    <a:blip r:embed="rId44" cstate="screen">
                      <a:extLst>
                        <a:ext uri="{28A0092B-C50C-407E-A947-70E740481C1C}">
                          <a14:useLocalDpi xmlns:a14="http://schemas.microsoft.com/office/drawing/2010/main"/>
                        </a:ext>
                      </a:extLst>
                    </a:blip>
                    <a:stretch>
                      <a:fillRect/>
                    </a:stretch>
                  </pic:blipFill>
                  <pic:spPr>
                    <a:xfrm>
                      <a:off x="0" y="0"/>
                      <a:ext cx="3027680" cy="4662170"/>
                    </a:xfrm>
                    <a:prstGeom prst="rect">
                      <a:avLst/>
                    </a:prstGeom>
                  </pic:spPr>
                </pic:pic>
              </a:graphicData>
            </a:graphic>
            <wp14:sizeRelH relativeFrom="page">
              <wp14:pctWidth>0</wp14:pctWidth>
            </wp14:sizeRelH>
            <wp14:sizeRelV relativeFrom="page">
              <wp14:pctHeight>0</wp14:pctHeight>
            </wp14:sizeRelV>
          </wp:anchor>
        </w:drawing>
      </w:r>
      <w:r w:rsidR="00211E84">
        <w:rPr>
          <w:rFonts w:ascii="Calibri" w:eastAsia="Calibri" w:hAnsi="Calibri" w:cs="Times New Roman"/>
          <w:lang w:eastAsia="en-US"/>
        </w:rPr>
        <w:t xml:space="preserve">The GBR </w:t>
      </w:r>
      <w:r w:rsidR="00EE42C6" w:rsidRPr="00EE42C6">
        <w:rPr>
          <w:rFonts w:ascii="Calibri" w:eastAsia="Calibri" w:hAnsi="Calibri" w:cs="Times New Roman"/>
          <w:lang w:eastAsia="en-US"/>
        </w:rPr>
        <w:t xml:space="preserve">river plumes are driven by high river flow conditions, which occur during the monsoonal season and are typically associated with the passage of cyclones or low pressure systems, i.e., from about December to April </w:t>
      </w:r>
      <w:r w:rsidR="005935D5">
        <w:rPr>
          <w:rFonts w:ascii="Calibri" w:eastAsia="Calibri" w:hAnsi="Calibri" w:cs="Times New Roman"/>
          <w:lang w:eastAsia="en-US"/>
        </w:rPr>
        <w:fldChar w:fldCharType="begin"/>
      </w:r>
      <w:r w:rsidR="00C77C3C">
        <w:rPr>
          <w:rFonts w:ascii="Calibri" w:eastAsia="Calibri" w:hAnsi="Calibri" w:cs="Times New Roman"/>
          <w:lang w:eastAsia="en-US"/>
        </w:rPr>
        <w:instrText xml:space="preserve"> ADDIN EN.CITE &lt;EndNote&gt;&lt;Cite&gt;&lt;Author&gt;Devlin&lt;/Author&gt;&lt;Year&gt;2005&lt;/Year&gt;&lt;RecNum&gt;411&lt;/RecNum&gt;&lt;DisplayText&gt;(Devlin and Brodie, 2005)&lt;/DisplayText&gt;&lt;record&gt;&lt;rec-number&gt;411&lt;/rec-number&gt;&lt;foreign-keys&gt;&lt;key app="EN" db-id="wwzpfssaux292keptesxd5t6srsfvpzsde2p"&gt;411&lt;/key&gt;&lt;/foreign-keys&gt;&lt;ref-type name="Journal Article"&gt;17&lt;/ref-type&gt;&lt;contributors&gt;&lt;authors&gt;&lt;author&gt;Devlin, M. J.&lt;/author&gt;&lt;author&gt;Brodie, J.&lt;/author&gt;&lt;/authors&gt;&lt;/contributors&gt;&lt;auth-address&gt;Centre for Environment, Fisheries and Aquaculture Science, Pakefield Road, Lowestoft NR33 0HT, UK.&lt;/auth-address&gt;&lt;titles&gt;&lt;title&gt;Terrestrial discharge into the Great Barrier Reef Lagoon: nutrient behavior in coastal waters&lt;/title&gt;&lt;secondary-title&gt;Mar Pollut Bull&lt;/secondary-title&gt;&lt;alt-title&gt;Marine pollution bulletin&lt;/alt-title&gt;&lt;/titles&gt;&lt;periodical&gt;&lt;full-title&gt;Mar Pollut Bull&lt;/full-title&gt;&lt;abbr-1&gt;Marine pollution bulletin&lt;/abbr-1&gt;&lt;/periodical&gt;&lt;alt-periodical&gt;&lt;full-title&gt;Mar Pollut Bull&lt;/full-title&gt;&lt;abbr-1&gt;Marine pollution bulletin&lt;/abbr-1&gt;&lt;/alt-periodical&gt;&lt;pages&gt;9-22&lt;/pages&gt;&lt;volume&gt;51&lt;/volume&gt;&lt;number&gt;1-4&lt;/number&gt;&lt;keywords&gt;&lt;keyword&gt;*Agriculture&lt;/keyword&gt;&lt;keyword&gt;Animals&lt;/keyword&gt;&lt;keyword&gt;*Anthozoa&lt;/keyword&gt;&lt;keyword&gt;Disasters&lt;/keyword&gt;&lt;keyword&gt;Nitrogen/analysis&lt;/keyword&gt;&lt;keyword&gt;Particle Size&lt;/keyword&gt;&lt;keyword&gt;Pesticides/analysis&lt;/keyword&gt;&lt;keyword&gt;Phosphorus/analysis&lt;/keyword&gt;&lt;keyword&gt;Queensland&lt;/keyword&gt;&lt;keyword&gt;Water Movements&lt;/keyword&gt;&lt;keyword&gt;Water Pollutants/*analysis&lt;/keyword&gt;&lt;/keywords&gt;&lt;dates&gt;&lt;year&gt;2005&lt;/year&gt;&lt;/dates&gt;&lt;isbn&gt;0025-326X (Print)&amp;#xD;0025-326X (Linking)&lt;/isbn&gt;&lt;accession-num&gt;15757704&lt;/accession-num&gt;&lt;urls&gt;&lt;related-urls&gt;&lt;url&gt;http://www.ncbi.nlm.nih.gov/pubmed/15757704&lt;/url&gt;&lt;/related-urls&gt;&lt;/urls&gt;&lt;electronic-resource-num&gt;10.1016/j.marpolbul.2004.10.037&lt;/electronic-resource-num&gt;&lt;/record&gt;&lt;/Cite&gt;&lt;/EndNote&gt;</w:instrText>
      </w:r>
      <w:r w:rsidR="005935D5">
        <w:rPr>
          <w:rFonts w:ascii="Calibri" w:eastAsia="Calibri" w:hAnsi="Calibri" w:cs="Times New Roman"/>
          <w:lang w:eastAsia="en-US"/>
        </w:rPr>
        <w:fldChar w:fldCharType="separate"/>
      </w:r>
      <w:r w:rsidR="00C77C3C">
        <w:rPr>
          <w:rFonts w:ascii="Calibri" w:eastAsia="Calibri" w:hAnsi="Calibri" w:cs="Times New Roman"/>
          <w:noProof/>
          <w:lang w:eastAsia="en-US"/>
        </w:rPr>
        <w:t>(</w:t>
      </w:r>
      <w:hyperlink w:anchor="_ENREF_20" w:tooltip="Devlin, 2005 #411" w:history="1">
        <w:r w:rsidR="00D23C68">
          <w:rPr>
            <w:rFonts w:ascii="Calibri" w:eastAsia="Calibri" w:hAnsi="Calibri" w:cs="Times New Roman"/>
            <w:noProof/>
            <w:lang w:eastAsia="en-US"/>
          </w:rPr>
          <w:t>Devlin and Brodie, 2005</w:t>
        </w:r>
      </w:hyperlink>
      <w:r w:rsidR="00C77C3C">
        <w:rPr>
          <w:rFonts w:ascii="Calibri" w:eastAsia="Calibri" w:hAnsi="Calibri" w:cs="Times New Roman"/>
          <w:noProof/>
          <w:lang w:eastAsia="en-US"/>
        </w:rPr>
        <w:t>)</w:t>
      </w:r>
      <w:r w:rsidR="005935D5">
        <w:rPr>
          <w:rFonts w:ascii="Calibri" w:eastAsia="Calibri" w:hAnsi="Calibri" w:cs="Times New Roman"/>
          <w:lang w:eastAsia="en-US"/>
        </w:rPr>
        <w:fldChar w:fldCharType="end"/>
      </w:r>
      <w:r w:rsidR="00C77C3C">
        <w:rPr>
          <w:rFonts w:ascii="Calibri" w:eastAsia="Calibri" w:hAnsi="Calibri" w:cs="Times New Roman"/>
          <w:lang w:eastAsia="en-US"/>
        </w:rPr>
        <w:t xml:space="preserve">. </w:t>
      </w:r>
      <w:r w:rsidR="00EE42C6" w:rsidRPr="00EE42C6">
        <w:rPr>
          <w:rFonts w:ascii="Calibri" w:eastAsia="Calibri" w:hAnsi="Calibri" w:cs="Times New Roman"/>
          <w:lang w:eastAsia="en-US"/>
        </w:rPr>
        <w:t>Wet Tropic</w:t>
      </w:r>
      <w:r w:rsidR="009246AC">
        <w:rPr>
          <w:rFonts w:ascii="Calibri" w:eastAsia="Calibri" w:hAnsi="Calibri" w:cs="Times New Roman"/>
          <w:lang w:eastAsia="en-US"/>
        </w:rPr>
        <w:t>s</w:t>
      </w:r>
      <w:r w:rsidR="00EE42C6" w:rsidRPr="00EE42C6">
        <w:rPr>
          <w:rFonts w:ascii="Calibri" w:eastAsia="Calibri" w:hAnsi="Calibri" w:cs="Times New Roman"/>
          <w:lang w:eastAsia="en-US"/>
        </w:rPr>
        <w:t xml:space="preserve"> catchments, located between Townsville and Cooktown, have frequent storm and runoff events in generally short, steep catchments that have more direct and frequent linkages to coastal environments. In the Dry Tropic</w:t>
      </w:r>
      <w:r w:rsidR="009246AC">
        <w:rPr>
          <w:rFonts w:ascii="Calibri" w:eastAsia="Calibri" w:hAnsi="Calibri" w:cs="Times New Roman"/>
          <w:lang w:eastAsia="en-US"/>
        </w:rPr>
        <w:t>s</w:t>
      </w:r>
      <w:r w:rsidR="00EE42C6" w:rsidRPr="00EE42C6">
        <w:rPr>
          <w:rFonts w:ascii="Calibri" w:eastAsia="Calibri" w:hAnsi="Calibri" w:cs="Times New Roman"/>
          <w:lang w:eastAsia="en-US"/>
        </w:rPr>
        <w:t xml:space="preserve"> catchments, the major flow events may occur at intervals of years, with long lag times for the transport of material through these large catchments</w:t>
      </w:r>
      <w:r w:rsidR="00D23397">
        <w:rPr>
          <w:rFonts w:ascii="Calibri" w:eastAsia="Calibri" w:hAnsi="Calibri" w:cs="Times New Roman"/>
          <w:lang w:eastAsia="en-US"/>
        </w:rPr>
        <w:t xml:space="preserve"> </w:t>
      </w:r>
      <w:r w:rsidR="005935D5">
        <w:rPr>
          <w:rFonts w:ascii="Calibri" w:eastAsia="Calibri" w:hAnsi="Calibri" w:cs="Times New Roman"/>
          <w:lang w:eastAsia="en-US"/>
        </w:rPr>
        <w:fldChar w:fldCharType="begin"/>
      </w:r>
      <w:r w:rsidR="00C77C3C">
        <w:rPr>
          <w:rFonts w:ascii="Calibri" w:eastAsia="Calibri" w:hAnsi="Calibri" w:cs="Times New Roman"/>
          <w:lang w:eastAsia="en-US"/>
        </w:rPr>
        <w:instrText xml:space="preserve"> ADDIN EN.CITE &lt;EndNote&gt;&lt;Cite&gt;&lt;Author&gt;Brodie&lt;/Author&gt;&lt;Year&gt;2009&lt;/Year&gt;&lt;RecNum&gt;1142&lt;/RecNum&gt;&lt;DisplayText&gt;(Brodie et al., 2009)&lt;/DisplayText&gt;&lt;record&gt;&lt;rec-number&gt;1142&lt;/rec-number&gt;&lt;foreign-keys&gt;&lt;key app="EN" db-id="wwzpfssaux292keptesxd5t6srsfvpzsde2p"&gt;1142&lt;/key&gt;&lt;/foreign-keys&gt;&lt;ref-type name="Journal Article"&gt;17&lt;/ref-type&gt;&lt;contributors&gt;&lt;authors&gt;&lt;author&gt;Brodie, Jon&lt;/author&gt;&lt;author&gt;Lewis, Stephen&lt;/author&gt;&lt;author&gt;Bainbridge, Zoe&lt;/author&gt;&lt;author&gt;Mitchell, Alan&lt;/author&gt;&lt;author&gt;Waterhouse, Jane&lt;/author&gt;&lt;author&gt;Kroon, Frederieke&lt;/author&gt;&lt;/authors&gt;&lt;/contributors&gt;&lt;titles&gt;&lt;title&gt;Target setting for pollutant discharge management of rivers in the Great Barrier Reef catchment area&lt;/title&gt;&lt;secondary-title&gt;Marine and Freshwater Research&lt;/secondary-title&gt;&lt;/titles&gt;&lt;periodical&gt;&lt;full-title&gt;Marine and Freshwater Research&lt;/full-title&gt;&lt;/periodical&gt;&lt;pages&gt;1141-1149&lt;/pages&gt;&lt;volume&gt;60&lt;/volume&gt;&lt;number&gt;11&lt;/number&gt;&lt;dates&gt;&lt;year&gt;2009&lt;/year&gt;&lt;/dates&gt;&lt;isbn&gt;1448-6059&lt;/isbn&gt;&lt;urls&gt;&lt;/urls&gt;&lt;/record&gt;&lt;/Cite&gt;&lt;/EndNote&gt;</w:instrText>
      </w:r>
      <w:r w:rsidR="005935D5">
        <w:rPr>
          <w:rFonts w:ascii="Calibri" w:eastAsia="Calibri" w:hAnsi="Calibri" w:cs="Times New Roman"/>
          <w:lang w:eastAsia="en-US"/>
        </w:rPr>
        <w:fldChar w:fldCharType="separate"/>
      </w:r>
      <w:r w:rsidR="00C77C3C">
        <w:rPr>
          <w:rFonts w:ascii="Calibri" w:eastAsia="Calibri" w:hAnsi="Calibri" w:cs="Times New Roman"/>
          <w:noProof/>
          <w:lang w:eastAsia="en-US"/>
        </w:rPr>
        <w:t>(</w:t>
      </w:r>
      <w:hyperlink w:anchor="_ENREF_12" w:tooltip="Brodie, 2009 #1142" w:history="1">
        <w:r w:rsidR="00D23C68">
          <w:rPr>
            <w:rFonts w:ascii="Calibri" w:eastAsia="Calibri" w:hAnsi="Calibri" w:cs="Times New Roman"/>
            <w:noProof/>
            <w:lang w:eastAsia="en-US"/>
          </w:rPr>
          <w:t>Brodie et al.</w:t>
        </w:r>
        <w:r w:rsidR="00162238">
          <w:rPr>
            <w:rFonts w:ascii="Calibri" w:eastAsia="Calibri" w:hAnsi="Calibri" w:cs="Times New Roman"/>
            <w:noProof/>
            <w:lang w:eastAsia="en-US"/>
          </w:rPr>
          <w:t>,</w:t>
        </w:r>
        <w:r w:rsidR="00D23C68">
          <w:rPr>
            <w:rFonts w:ascii="Calibri" w:eastAsia="Calibri" w:hAnsi="Calibri" w:cs="Times New Roman"/>
            <w:noProof/>
            <w:lang w:eastAsia="en-US"/>
          </w:rPr>
          <w:t xml:space="preserve"> 2009</w:t>
        </w:r>
      </w:hyperlink>
      <w:r w:rsidR="00C77C3C">
        <w:rPr>
          <w:rFonts w:ascii="Calibri" w:eastAsia="Calibri" w:hAnsi="Calibri" w:cs="Times New Roman"/>
          <w:noProof/>
          <w:lang w:eastAsia="en-US"/>
        </w:rPr>
        <w:t>)</w:t>
      </w:r>
      <w:r w:rsidR="005935D5">
        <w:rPr>
          <w:rFonts w:ascii="Calibri" w:eastAsia="Calibri" w:hAnsi="Calibri" w:cs="Times New Roman"/>
          <w:lang w:eastAsia="en-US"/>
        </w:rPr>
        <w:fldChar w:fldCharType="end"/>
      </w:r>
      <w:r w:rsidR="00C77C3C">
        <w:rPr>
          <w:rFonts w:ascii="Calibri" w:eastAsia="Calibri" w:hAnsi="Calibri" w:cs="Times New Roman"/>
          <w:lang w:eastAsia="en-US"/>
        </w:rPr>
        <w:t>.</w:t>
      </w:r>
    </w:p>
    <w:p w14:paraId="7AE20CD5" w14:textId="77777777" w:rsidR="00DC49FE" w:rsidRDefault="00DC49FE" w:rsidP="00C77C3C">
      <w:pPr>
        <w:pStyle w:val="Caption"/>
      </w:pPr>
      <w:bookmarkStart w:id="59" w:name="_Ref428869690"/>
      <w:bookmarkStart w:id="60" w:name="_Toc427833267"/>
      <w:bookmarkStart w:id="61" w:name="_Toc454303899"/>
    </w:p>
    <w:p w14:paraId="7A9FF17C" w14:textId="135BE5EE" w:rsidR="00EE42C6" w:rsidRPr="00EE42C6" w:rsidRDefault="00C77C3C" w:rsidP="00C77C3C">
      <w:pPr>
        <w:pStyle w:val="Caption"/>
        <w:rPr>
          <w:rFonts w:eastAsia="Calibri"/>
        </w:rPr>
      </w:pPr>
      <w:r>
        <w:t xml:space="preserve">Figure </w:t>
      </w:r>
      <w:r w:rsidR="009F4CB0">
        <w:fldChar w:fldCharType="begin"/>
      </w:r>
      <w:r w:rsidR="009F4CB0">
        <w:instrText xml:space="preserve"> STYLEREF 1 \s </w:instrText>
      </w:r>
      <w:r w:rsidR="009F4CB0">
        <w:fldChar w:fldCharType="separate"/>
      </w:r>
      <w:r w:rsidR="000E22F3">
        <w:rPr>
          <w:noProof/>
        </w:rPr>
        <w:t>2</w:t>
      </w:r>
      <w:r w:rsidR="009F4CB0">
        <w:fldChar w:fldCharType="end"/>
      </w:r>
      <w:r w:rsidR="009F4CB0">
        <w:noBreakHyphen/>
      </w:r>
      <w:r w:rsidR="009F4CB0">
        <w:fldChar w:fldCharType="begin"/>
      </w:r>
      <w:r w:rsidR="009F4CB0">
        <w:instrText xml:space="preserve"> SEQ Figure \* ARABIC \s 1 </w:instrText>
      </w:r>
      <w:r w:rsidR="009F4CB0">
        <w:fldChar w:fldCharType="separate"/>
      </w:r>
      <w:r w:rsidR="000E22F3">
        <w:rPr>
          <w:noProof/>
        </w:rPr>
        <w:t>1</w:t>
      </w:r>
      <w:r w:rsidR="009F4CB0">
        <w:fldChar w:fldCharType="end"/>
      </w:r>
      <w:bookmarkEnd w:id="59"/>
      <w:r>
        <w:t xml:space="preserve">: </w:t>
      </w:r>
      <w:r w:rsidR="00EE42C6" w:rsidRPr="00EE42C6">
        <w:rPr>
          <w:rFonts w:eastAsia="Calibri"/>
        </w:rPr>
        <w:t>The Great Barrier Reef Marine Park (light grey, Queensland, Australia), major marine ecosystems (coral reefs and seagrass beds), Natural Resource Management regions and marine portions (delin</w:t>
      </w:r>
      <w:r w:rsidR="008D578B">
        <w:rPr>
          <w:rFonts w:eastAsia="Calibri"/>
        </w:rPr>
        <w:t>eated by dark grey li</w:t>
      </w:r>
      <w:r w:rsidR="00EE42C6" w:rsidRPr="00EE42C6">
        <w:rPr>
          <w:rFonts w:eastAsia="Calibri"/>
        </w:rPr>
        <w:t>n</w:t>
      </w:r>
      <w:r w:rsidR="008D578B">
        <w:rPr>
          <w:rFonts w:eastAsia="Calibri"/>
        </w:rPr>
        <w:t>e</w:t>
      </w:r>
      <w:r w:rsidR="00EE42C6" w:rsidRPr="00EE42C6">
        <w:rPr>
          <w:rFonts w:eastAsia="Calibri"/>
        </w:rPr>
        <w:t>s) of t</w:t>
      </w:r>
      <w:r w:rsidR="00EC2E74">
        <w:rPr>
          <w:rFonts w:eastAsia="Calibri"/>
        </w:rPr>
        <w:t>he NRM regions and major rivers</w:t>
      </w:r>
      <w:r w:rsidR="00EE42C6" w:rsidRPr="00EE42C6">
        <w:rPr>
          <w:rFonts w:eastAsia="Calibri"/>
        </w:rPr>
        <w:t>.</w:t>
      </w:r>
      <w:bookmarkEnd w:id="60"/>
      <w:bookmarkEnd w:id="61"/>
    </w:p>
    <w:p w14:paraId="65002EAF" w14:textId="4CAE5463" w:rsidR="00EE42C6" w:rsidRPr="00EE42C6" w:rsidRDefault="00EE42C6" w:rsidP="00EE42C6">
      <w:pPr>
        <w:rPr>
          <w:rFonts w:ascii="Calibri" w:eastAsia="Calibri" w:hAnsi="Calibri" w:cs="Times New Roman"/>
          <w:lang w:eastAsia="en-US"/>
        </w:rPr>
      </w:pPr>
      <w:r w:rsidRPr="00EE42C6">
        <w:rPr>
          <w:rFonts w:ascii="Calibri" w:eastAsia="Calibri" w:hAnsi="Calibri" w:cs="Times New Roman"/>
          <w:lang w:eastAsia="en-US"/>
        </w:rPr>
        <w:t>The GBR catchment has been divided into six large areas defined as Natural Resource Management (NRM) regions (</w:t>
      </w:r>
      <w:r w:rsidR="005935D5">
        <w:rPr>
          <w:rFonts w:ascii="Calibri" w:eastAsia="Calibri" w:hAnsi="Calibri" w:cs="Times New Roman"/>
          <w:lang w:eastAsia="en-US"/>
        </w:rPr>
        <w:fldChar w:fldCharType="begin"/>
      </w:r>
      <w:r w:rsidR="00C77C3C">
        <w:rPr>
          <w:rFonts w:ascii="Calibri" w:eastAsia="Calibri" w:hAnsi="Calibri" w:cs="Times New Roman"/>
          <w:lang w:eastAsia="en-US"/>
        </w:rPr>
        <w:instrText xml:space="preserve"> REF _Ref428869690 \h </w:instrText>
      </w:r>
      <w:r w:rsidR="005935D5">
        <w:rPr>
          <w:rFonts w:ascii="Calibri" w:eastAsia="Calibri" w:hAnsi="Calibri" w:cs="Times New Roman"/>
          <w:lang w:eastAsia="en-US"/>
        </w:rPr>
      </w:r>
      <w:r w:rsidR="005935D5">
        <w:rPr>
          <w:rFonts w:ascii="Calibri" w:eastAsia="Calibri" w:hAnsi="Calibri" w:cs="Times New Roman"/>
          <w:lang w:eastAsia="en-US"/>
        </w:rPr>
        <w:fldChar w:fldCharType="separate"/>
      </w:r>
      <w:r w:rsidR="000E22F3">
        <w:t xml:space="preserve">Figure </w:t>
      </w:r>
      <w:r w:rsidR="000E22F3">
        <w:rPr>
          <w:noProof/>
        </w:rPr>
        <w:t>2</w:t>
      </w:r>
      <w:r w:rsidR="000E22F3">
        <w:noBreakHyphen/>
      </w:r>
      <w:r w:rsidR="000E22F3">
        <w:rPr>
          <w:noProof/>
        </w:rPr>
        <w:t>1</w:t>
      </w:r>
      <w:r w:rsidR="005935D5">
        <w:rPr>
          <w:rFonts w:ascii="Calibri" w:eastAsia="Calibri" w:hAnsi="Calibri" w:cs="Times New Roman"/>
          <w:lang w:eastAsia="en-US"/>
        </w:rPr>
        <w:fldChar w:fldCharType="end"/>
      </w:r>
      <w:r w:rsidRPr="00EE42C6">
        <w:rPr>
          <w:rFonts w:ascii="Calibri" w:eastAsia="Calibri" w:hAnsi="Calibri" w:cs="Times New Roman"/>
          <w:lang w:eastAsia="en-US"/>
        </w:rPr>
        <w:t xml:space="preserve">), each defined by a set of land use/cover, biophysical and socio-economic characteristics. The Cape York region is largely undeveloped and is considered to have the least impact on GBR ecosystems from existing </w:t>
      </w:r>
      <w:r w:rsidR="00D23397" w:rsidRPr="00EE42C6">
        <w:rPr>
          <w:rFonts w:ascii="Calibri" w:eastAsia="Calibri" w:hAnsi="Calibri" w:cs="Times New Roman"/>
          <w:lang w:eastAsia="en-US"/>
        </w:rPr>
        <w:t>land-based</w:t>
      </w:r>
      <w:r w:rsidRPr="00EE42C6">
        <w:rPr>
          <w:rFonts w:ascii="Calibri" w:eastAsia="Calibri" w:hAnsi="Calibri" w:cs="Times New Roman"/>
          <w:lang w:eastAsia="en-US"/>
        </w:rPr>
        <w:t xml:space="preserve"> activities. In contrast, the Wet Tropics, Burdekin, Mackay-Whitsunday, Fitzroy and Burnett-Mary regions are characterised by more extensive agricultural land uses including sugarcane, grazing, bananas and other horticulture, cropping, mining and urban development, and contribute to discharge of </w:t>
      </w:r>
      <w:r w:rsidRPr="003979AC">
        <w:t>sediments, nutrients and pesticides</w:t>
      </w:r>
      <w:r w:rsidRPr="00EE42C6" w:rsidDel="004E6242">
        <w:rPr>
          <w:rFonts w:ascii="Calibri" w:eastAsia="Calibri" w:hAnsi="Calibri" w:cs="Times New Roman"/>
          <w:lang w:eastAsia="en-US"/>
        </w:rPr>
        <w:t xml:space="preserve"> </w:t>
      </w:r>
      <w:r w:rsidRPr="00EE42C6">
        <w:rPr>
          <w:rFonts w:ascii="Calibri" w:eastAsia="Calibri" w:hAnsi="Calibri" w:cs="Times New Roman"/>
          <w:lang w:eastAsia="en-US"/>
        </w:rPr>
        <w:t xml:space="preserve">to the GBR during the wet season. </w:t>
      </w:r>
    </w:p>
    <w:p w14:paraId="530BED87" w14:textId="77777777" w:rsidR="00EE42C6" w:rsidRPr="00EE42C6" w:rsidRDefault="00EE42C6" w:rsidP="00EE42C6">
      <w:pPr>
        <w:rPr>
          <w:rFonts w:ascii="Calibri" w:eastAsia="Calibri" w:hAnsi="Calibri" w:cs="Times New Roman"/>
          <w:lang w:eastAsia="en-US"/>
        </w:rPr>
      </w:pPr>
      <w:r w:rsidRPr="00EE42C6">
        <w:rPr>
          <w:rFonts w:ascii="Calibri" w:eastAsia="Calibri" w:hAnsi="Calibri" w:cs="Times New Roman"/>
          <w:lang w:eastAsia="en-US"/>
        </w:rPr>
        <w:lastRenderedPageBreak/>
        <w:t>Occurrence of coastal waters with elevated concentrations of dissolved inorganic nitrogen (DIN) has been linked to fertilised agriculture (predominantly sugarcane) in the Wet Tropics region, while high TSS concentrations are mainly linked to grazing activities in the Dry Tropics and in particular the Burdekin catchment</w:t>
      </w:r>
      <w:r w:rsidR="00C77C3C">
        <w:rPr>
          <w:rFonts w:ascii="Calibri" w:eastAsia="Calibri" w:hAnsi="Calibri" w:cs="Times New Roman"/>
          <w:lang w:eastAsia="en-US"/>
        </w:rPr>
        <w:t xml:space="preserve"> </w:t>
      </w:r>
      <w:r w:rsidR="005935D5">
        <w:rPr>
          <w:rFonts w:ascii="Calibri" w:eastAsia="Calibri" w:hAnsi="Calibri" w:cs="Times New Roman"/>
          <w:lang w:eastAsia="en-US"/>
        </w:rPr>
        <w:fldChar w:fldCharType="begin">
          <w:fldData xml:space="preserve">PEVuZE5vdGU+PENpdGU+PEF1dGhvcj5Ccm9kaWU8L0F1dGhvcj48WWVhcj4yMDE0PC9ZZWFyPjxS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=
</w:fldData>
        </w:fldChar>
      </w:r>
      <w:r w:rsidR="00E635A2">
        <w:rPr>
          <w:rFonts w:ascii="Calibri" w:eastAsia="Calibri" w:hAnsi="Calibri" w:cs="Times New Roman"/>
          <w:lang w:eastAsia="en-US"/>
        </w:rPr>
        <w:instrText xml:space="preserve"> ADDIN EN.CITE </w:instrText>
      </w:r>
      <w:r w:rsidR="005935D5">
        <w:rPr>
          <w:rFonts w:ascii="Calibri" w:eastAsia="Calibri" w:hAnsi="Calibri" w:cs="Times New Roman"/>
          <w:lang w:eastAsia="en-US"/>
        </w:rPr>
        <w:fldChar w:fldCharType="begin">
          <w:fldData xml:space="preserve">PEVuZE5vdGU+PENpdGU+PEF1dGhvcj5Ccm9kaWU8L0F1dGhvcj48WWVhcj4yMDE0PC9ZZWFyPjxS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=
</w:fldData>
        </w:fldChar>
      </w:r>
      <w:r w:rsidR="00E635A2">
        <w:rPr>
          <w:rFonts w:ascii="Calibri" w:eastAsia="Calibri" w:hAnsi="Calibri" w:cs="Times New Roman"/>
          <w:lang w:eastAsia="en-US"/>
        </w:rPr>
        <w:instrText xml:space="preserve"> ADDIN EN.CITE.DATA </w:instrText>
      </w:r>
      <w:r w:rsidR="005935D5">
        <w:rPr>
          <w:rFonts w:ascii="Calibri" w:eastAsia="Calibri" w:hAnsi="Calibri" w:cs="Times New Roman"/>
          <w:lang w:eastAsia="en-US"/>
        </w:rPr>
      </w:r>
      <w:r w:rsidR="005935D5">
        <w:rPr>
          <w:rFonts w:ascii="Calibri" w:eastAsia="Calibri" w:hAnsi="Calibri" w:cs="Times New Roman"/>
          <w:lang w:eastAsia="en-US"/>
        </w:rPr>
        <w:fldChar w:fldCharType="end"/>
      </w:r>
      <w:r w:rsidR="005935D5">
        <w:rPr>
          <w:rFonts w:ascii="Calibri" w:eastAsia="Calibri" w:hAnsi="Calibri" w:cs="Times New Roman"/>
          <w:lang w:eastAsia="en-US"/>
        </w:rPr>
      </w:r>
      <w:r w:rsidR="005935D5">
        <w:rPr>
          <w:rFonts w:ascii="Calibri" w:eastAsia="Calibri" w:hAnsi="Calibri" w:cs="Times New Roman"/>
          <w:lang w:eastAsia="en-US"/>
        </w:rPr>
        <w:fldChar w:fldCharType="separate"/>
      </w:r>
      <w:r w:rsidR="00E635A2">
        <w:rPr>
          <w:rFonts w:ascii="Calibri" w:eastAsia="Calibri" w:hAnsi="Calibri" w:cs="Times New Roman"/>
          <w:noProof/>
          <w:lang w:eastAsia="en-US"/>
        </w:rPr>
        <w:t>(</w:t>
      </w:r>
      <w:hyperlink w:anchor="_ENREF_9" w:tooltip="Brodie, 2008 #1147" w:history="1">
        <w:r w:rsidR="00D23C68">
          <w:rPr>
            <w:rFonts w:ascii="Calibri" w:eastAsia="Calibri" w:hAnsi="Calibri" w:cs="Times New Roman"/>
            <w:noProof/>
            <w:lang w:eastAsia="en-US"/>
          </w:rPr>
          <w:t>Brodie et al., 2008</w:t>
        </w:r>
      </w:hyperlink>
      <w:r w:rsidR="00E635A2">
        <w:rPr>
          <w:rFonts w:ascii="Calibri" w:eastAsia="Calibri" w:hAnsi="Calibri" w:cs="Times New Roman"/>
          <w:noProof/>
          <w:lang w:eastAsia="en-US"/>
        </w:rPr>
        <w:t xml:space="preserve">; </w:t>
      </w:r>
      <w:hyperlink w:anchor="_ENREF_11" w:tooltip="Brodie, 2012 #1148" w:history="1">
        <w:r w:rsidR="00D23C68">
          <w:rPr>
            <w:rFonts w:ascii="Calibri" w:eastAsia="Calibri" w:hAnsi="Calibri" w:cs="Times New Roman"/>
            <w:noProof/>
            <w:lang w:eastAsia="en-US"/>
          </w:rPr>
          <w:t>Brodie et al., 2012</w:t>
        </w:r>
      </w:hyperlink>
      <w:r w:rsidR="00E635A2">
        <w:rPr>
          <w:rFonts w:ascii="Calibri" w:eastAsia="Calibri" w:hAnsi="Calibri" w:cs="Times New Roman"/>
          <w:noProof/>
          <w:lang w:eastAsia="en-US"/>
        </w:rPr>
        <w:t xml:space="preserve">; </w:t>
      </w:r>
      <w:hyperlink w:anchor="_ENREF_10" w:tooltip="Brodie, 2014 #1045" w:history="1">
        <w:r w:rsidR="00C6470A">
          <w:rPr>
            <w:rFonts w:ascii="Calibri" w:eastAsia="Calibri" w:hAnsi="Calibri" w:cs="Times New Roman"/>
            <w:noProof/>
            <w:lang w:eastAsia="en-US"/>
          </w:rPr>
          <w:t>Brodie et al., 2013</w:t>
        </w:r>
      </w:hyperlink>
      <w:r w:rsidR="00C6470A">
        <w:rPr>
          <w:rFonts w:ascii="Calibri" w:eastAsia="Calibri" w:hAnsi="Calibri" w:cs="Times New Roman"/>
          <w:noProof/>
          <w:lang w:eastAsia="en-US"/>
        </w:rPr>
        <w:t xml:space="preserve">; </w:t>
      </w:r>
      <w:hyperlink w:anchor="_ENREF_13" w:tooltip="Brodie, 2012 #1150" w:history="1">
        <w:r w:rsidR="00D23C68">
          <w:rPr>
            <w:rFonts w:ascii="Calibri" w:eastAsia="Calibri" w:hAnsi="Calibri" w:cs="Times New Roman"/>
            <w:noProof/>
            <w:lang w:eastAsia="en-US"/>
          </w:rPr>
          <w:t>Brodie and Waterhouse, 2012</w:t>
        </w:r>
      </w:hyperlink>
      <w:r w:rsidR="00E635A2">
        <w:rPr>
          <w:rFonts w:ascii="Calibri" w:eastAsia="Calibri" w:hAnsi="Calibri" w:cs="Times New Roman"/>
          <w:noProof/>
          <w:lang w:eastAsia="en-US"/>
        </w:rPr>
        <w:t xml:space="preserve">; </w:t>
      </w:r>
      <w:hyperlink w:anchor="_ENREF_23" w:tooltip="Joo, 2012 #1144" w:history="1">
        <w:r w:rsidR="00D23C68">
          <w:rPr>
            <w:rFonts w:ascii="Calibri" w:eastAsia="Calibri" w:hAnsi="Calibri" w:cs="Times New Roman"/>
            <w:noProof/>
            <w:lang w:eastAsia="en-US"/>
          </w:rPr>
          <w:t>Joo et al., 2012</w:t>
        </w:r>
      </w:hyperlink>
      <w:r w:rsidR="00E635A2">
        <w:rPr>
          <w:rFonts w:ascii="Calibri" w:eastAsia="Calibri" w:hAnsi="Calibri" w:cs="Times New Roman"/>
          <w:noProof/>
          <w:lang w:eastAsia="en-US"/>
        </w:rPr>
        <w:t xml:space="preserve">; </w:t>
      </w:r>
      <w:hyperlink w:anchor="_ENREF_25" w:tooltip="Kroon, 2012 #625" w:history="1">
        <w:r w:rsidR="00D23C68">
          <w:rPr>
            <w:rFonts w:ascii="Calibri" w:eastAsia="Calibri" w:hAnsi="Calibri" w:cs="Times New Roman"/>
            <w:noProof/>
            <w:lang w:eastAsia="en-US"/>
          </w:rPr>
          <w:t>Kroon, 2012</w:t>
        </w:r>
      </w:hyperlink>
      <w:r w:rsidR="00E635A2">
        <w:rPr>
          <w:rFonts w:ascii="Calibri" w:eastAsia="Calibri" w:hAnsi="Calibri" w:cs="Times New Roman"/>
          <w:noProof/>
          <w:lang w:eastAsia="en-US"/>
        </w:rPr>
        <w:t xml:space="preserve">; </w:t>
      </w:r>
      <w:hyperlink w:anchor="_ENREF_27" w:tooltip="Maughan, 2009 #1151" w:history="1">
        <w:r w:rsidR="00D23C68">
          <w:rPr>
            <w:rFonts w:ascii="Calibri" w:eastAsia="Calibri" w:hAnsi="Calibri" w:cs="Times New Roman"/>
            <w:noProof/>
            <w:lang w:eastAsia="en-US"/>
          </w:rPr>
          <w:t>Maughan and Brodie, 2009</w:t>
        </w:r>
      </w:hyperlink>
      <w:r w:rsidR="00E635A2">
        <w:rPr>
          <w:rFonts w:ascii="Calibri" w:eastAsia="Calibri" w:hAnsi="Calibri" w:cs="Times New Roman"/>
          <w:noProof/>
          <w:lang w:eastAsia="en-US"/>
        </w:rPr>
        <w:t xml:space="preserve">; </w:t>
      </w:r>
      <w:hyperlink w:anchor="_ENREF_34" w:tooltip="Waterhouse, 2012 #1143" w:history="1">
        <w:r w:rsidR="00D23C68">
          <w:rPr>
            <w:rFonts w:ascii="Calibri" w:eastAsia="Calibri" w:hAnsi="Calibri" w:cs="Times New Roman"/>
            <w:noProof/>
            <w:lang w:eastAsia="en-US"/>
          </w:rPr>
          <w:t>Waterhouse et al., 2012</w:t>
        </w:r>
      </w:hyperlink>
      <w:r w:rsidR="00E635A2">
        <w:rPr>
          <w:rFonts w:ascii="Calibri" w:eastAsia="Calibri" w:hAnsi="Calibri" w:cs="Times New Roman"/>
          <w:noProof/>
          <w:lang w:eastAsia="en-US"/>
        </w:rPr>
        <w:t>)</w:t>
      </w:r>
      <w:r w:rsidR="005935D5">
        <w:rPr>
          <w:rFonts w:ascii="Calibri" w:eastAsia="Calibri" w:hAnsi="Calibri" w:cs="Times New Roman"/>
          <w:lang w:eastAsia="en-US"/>
        </w:rPr>
        <w:fldChar w:fldCharType="end"/>
      </w:r>
      <w:r w:rsidR="00C77C3C">
        <w:rPr>
          <w:rFonts w:ascii="Calibri" w:eastAsia="Calibri" w:hAnsi="Calibri" w:cs="Times New Roman"/>
          <w:lang w:eastAsia="en-US"/>
        </w:rPr>
        <w:t>.</w:t>
      </w:r>
      <w:r w:rsidRPr="00EE42C6">
        <w:rPr>
          <w:rFonts w:ascii="Calibri" w:eastAsia="Calibri" w:hAnsi="Calibri" w:cs="Times New Roman"/>
          <w:lang w:eastAsia="en-US"/>
        </w:rPr>
        <w:t xml:space="preserve"> </w:t>
      </w:r>
    </w:p>
    <w:p w14:paraId="0BA43AD9" w14:textId="77777777" w:rsidR="008D3A01" w:rsidRPr="003148EE" w:rsidRDefault="001C068B" w:rsidP="00B46AF9">
      <w:pPr>
        <w:pStyle w:val="Heading2"/>
        <w:numPr>
          <w:ilvl w:val="1"/>
          <w:numId w:val="3"/>
        </w:numPr>
      </w:pPr>
      <w:bookmarkStart w:id="62" w:name="_Toc443299465"/>
      <w:bookmarkStart w:id="63" w:name="_Toc443299678"/>
      <w:bookmarkStart w:id="64" w:name="_Toc454304698"/>
      <w:bookmarkEnd w:id="57"/>
      <w:bookmarkEnd w:id="58"/>
      <w:r w:rsidRPr="001C068B">
        <w:rPr>
          <w:i/>
        </w:rPr>
        <w:t>In-situ</w:t>
      </w:r>
      <w:r>
        <w:t xml:space="preserve"> Water Quality monitoring</w:t>
      </w:r>
      <w:bookmarkEnd w:id="62"/>
      <w:bookmarkEnd w:id="63"/>
      <w:bookmarkEnd w:id="64"/>
      <w:r>
        <w:t xml:space="preserve"> </w:t>
      </w:r>
    </w:p>
    <w:p w14:paraId="36725267" w14:textId="664FA129" w:rsidR="00C77C3C" w:rsidRPr="00C77C3C" w:rsidRDefault="00C77C3C" w:rsidP="00C77C3C">
      <w:pPr>
        <w:rPr>
          <w:rFonts w:eastAsia="Calibri"/>
          <w:lang w:eastAsia="en-US"/>
        </w:rPr>
      </w:pPr>
      <w:r w:rsidRPr="00C77C3C">
        <w:rPr>
          <w:rFonts w:eastAsia="Calibri"/>
          <w:lang w:eastAsia="en-US"/>
        </w:rPr>
        <w:t xml:space="preserve">The three main facets of the marine </w:t>
      </w:r>
      <w:r w:rsidR="001C068B">
        <w:rPr>
          <w:rFonts w:eastAsia="Calibri"/>
          <w:lang w:eastAsia="en-US"/>
        </w:rPr>
        <w:t>wet season</w:t>
      </w:r>
      <w:r w:rsidRPr="00C77C3C">
        <w:rPr>
          <w:rFonts w:eastAsia="Calibri"/>
          <w:lang w:eastAsia="en-US"/>
        </w:rPr>
        <w:t xml:space="preserve"> monitoring program </w:t>
      </w:r>
      <w:r>
        <w:rPr>
          <w:rFonts w:eastAsia="Calibri"/>
          <w:lang w:eastAsia="en-US"/>
        </w:rPr>
        <w:t xml:space="preserve">are </w:t>
      </w:r>
      <w:r w:rsidRPr="00211E84">
        <w:rPr>
          <w:rFonts w:eastAsia="Calibri"/>
          <w:i/>
          <w:lang w:eastAsia="en-US"/>
        </w:rPr>
        <w:t>in-situ</w:t>
      </w:r>
      <w:r>
        <w:rPr>
          <w:rFonts w:eastAsia="Calibri"/>
          <w:lang w:eastAsia="en-US"/>
        </w:rPr>
        <w:t xml:space="preserve"> data, collected in </w:t>
      </w:r>
      <w:r w:rsidRPr="00C77C3C">
        <w:rPr>
          <w:rFonts w:eastAsia="Calibri"/>
        </w:rPr>
        <w:t xml:space="preserve">the </w:t>
      </w:r>
      <w:r w:rsidR="001C068B">
        <w:rPr>
          <w:rFonts w:eastAsia="Calibri"/>
        </w:rPr>
        <w:t>field</w:t>
      </w:r>
      <w:r w:rsidRPr="00C77C3C">
        <w:rPr>
          <w:rFonts w:eastAsia="Calibri"/>
        </w:rPr>
        <w:t>, remote</w:t>
      </w:r>
      <w:r w:rsidR="00E47248">
        <w:rPr>
          <w:rFonts w:eastAsia="Calibri"/>
        </w:rPr>
        <w:t>ly</w:t>
      </w:r>
      <w:r w:rsidRPr="00C77C3C">
        <w:rPr>
          <w:rFonts w:eastAsia="Calibri"/>
        </w:rPr>
        <w:t xml:space="preserve"> sensed data, and integration of </w:t>
      </w:r>
      <w:r w:rsidR="00E47248">
        <w:rPr>
          <w:rFonts w:eastAsia="Calibri"/>
        </w:rPr>
        <w:t xml:space="preserve">both </w:t>
      </w:r>
      <w:r w:rsidRPr="00211E84">
        <w:rPr>
          <w:rFonts w:eastAsia="Calibri"/>
          <w:i/>
        </w:rPr>
        <w:t>in-situ</w:t>
      </w:r>
      <w:r w:rsidRPr="00C77C3C">
        <w:rPr>
          <w:rFonts w:eastAsia="Calibri"/>
        </w:rPr>
        <w:t xml:space="preserve"> and remote sensed data.  Data from the flood monitoring feeds into the validation of existing models and the development of regionally based remote sensing algorithms </w:t>
      </w:r>
      <w:r w:rsidR="005935D5" w:rsidRPr="00C77C3C">
        <w:rPr>
          <w:rFonts w:eastAsia="Calibri"/>
        </w:rPr>
        <w:fldChar w:fldCharType="begin">
          <w:fldData xml:space="preserve">PEVuZE5vdGU+PENpdGU+PEF1dGhvcj5CcmFuZG88L0F1dGhvcj48WWVhcj4yMDA4PC9ZZWFyPjxS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</w:fldData>
        </w:fldChar>
      </w:r>
      <w:r w:rsidR="00D23C68">
        <w:rPr>
          <w:rFonts w:eastAsia="Calibri"/>
        </w:rPr>
        <w:instrText xml:space="preserve"> ADDIN EN.CITE </w:instrText>
      </w:r>
      <w:r w:rsidR="005935D5">
        <w:rPr>
          <w:rFonts w:eastAsia="Calibri"/>
        </w:rPr>
        <w:fldChar w:fldCharType="begin">
          <w:fldData xml:space="preserve">PEVuZE5vdGU+PENpdGU+PEF1dGhvcj5CcmFuZG88L0F1dGhvcj48WWVhcj4yMDA4PC9ZZWFyPjxS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</w:fldData>
        </w:fldChar>
      </w:r>
      <w:r w:rsidR="00D23C68">
        <w:rPr>
          <w:rFonts w:eastAsia="Calibri"/>
        </w:rPr>
        <w:instrText xml:space="preserve"> ADDIN EN.CITE.DATA </w:instrText>
      </w:r>
      <w:r w:rsidR="005935D5">
        <w:rPr>
          <w:rFonts w:eastAsia="Calibri"/>
        </w:rPr>
      </w:r>
      <w:r w:rsidR="005935D5">
        <w:rPr>
          <w:rFonts w:eastAsia="Calibri"/>
        </w:rPr>
        <w:fldChar w:fldCharType="end"/>
      </w:r>
      <w:r w:rsidR="005935D5" w:rsidRPr="00C77C3C">
        <w:rPr>
          <w:rFonts w:eastAsia="Calibri"/>
        </w:rPr>
      </w:r>
      <w:r w:rsidR="005935D5" w:rsidRPr="00C77C3C">
        <w:rPr>
          <w:rFonts w:eastAsia="Calibri"/>
        </w:rPr>
        <w:fldChar w:fldCharType="separate"/>
      </w:r>
      <w:r w:rsidRPr="00C77C3C">
        <w:rPr>
          <w:rFonts w:eastAsia="Calibri"/>
          <w:noProof/>
        </w:rPr>
        <w:t>(</w:t>
      </w:r>
      <w:hyperlink w:anchor="_ENREF_5" w:tooltip="Brando, 2008 #1027" w:history="1">
        <w:r w:rsidR="00D23C68" w:rsidRPr="00C77C3C">
          <w:rPr>
            <w:rFonts w:eastAsia="Calibri"/>
            <w:noProof/>
          </w:rPr>
          <w:t>Brando et al., 2008</w:t>
        </w:r>
      </w:hyperlink>
      <w:r w:rsidRPr="00C77C3C">
        <w:rPr>
          <w:rFonts w:eastAsia="Calibri"/>
          <w:noProof/>
        </w:rPr>
        <w:t xml:space="preserve">; </w:t>
      </w:r>
      <w:hyperlink w:anchor="_ENREF_7" w:tooltip="Brando, 2010 #1028" w:history="1">
        <w:r w:rsidR="00D23C68" w:rsidRPr="00C77C3C">
          <w:rPr>
            <w:rFonts w:eastAsia="Calibri"/>
            <w:noProof/>
          </w:rPr>
          <w:t>Brando et al., 2010b</w:t>
        </w:r>
      </w:hyperlink>
      <w:r w:rsidRPr="00C77C3C">
        <w:rPr>
          <w:rFonts w:eastAsia="Calibri"/>
          <w:noProof/>
        </w:rPr>
        <w:t xml:space="preserve">; </w:t>
      </w:r>
      <w:hyperlink w:anchor="_ENREF_8" w:tooltip="Brando, 2009 #1019" w:history="1">
        <w:r w:rsidR="00D23C68" w:rsidRPr="00C77C3C">
          <w:rPr>
            <w:rFonts w:eastAsia="Calibri"/>
            <w:noProof/>
          </w:rPr>
          <w:t>Brando et al., 2009</w:t>
        </w:r>
      </w:hyperlink>
      <w:r w:rsidRPr="00C77C3C">
        <w:rPr>
          <w:rFonts w:eastAsia="Calibri"/>
          <w:noProof/>
        </w:rPr>
        <w:t>)</w:t>
      </w:r>
      <w:r w:rsidR="005935D5" w:rsidRPr="00C77C3C">
        <w:rPr>
          <w:rFonts w:eastAsia="Calibri"/>
        </w:rPr>
        <w:fldChar w:fldCharType="end"/>
      </w:r>
      <w:r w:rsidRPr="00C77C3C">
        <w:rPr>
          <w:rFonts w:eastAsia="Calibri"/>
        </w:rPr>
        <w:t>. Water quality collected in flood plume waters is targeted at measuring the conditions during first flush and high flow event situations to identify the duration and extent of altered water quality cond</w:t>
      </w:r>
      <w:r w:rsidR="00482CB4">
        <w:rPr>
          <w:rFonts w:eastAsia="Calibri"/>
        </w:rPr>
        <w:t>itions (</w:t>
      </w:r>
      <w:r w:rsidR="005935D5">
        <w:rPr>
          <w:rFonts w:eastAsia="Calibri"/>
        </w:rPr>
        <w:fldChar w:fldCharType="begin"/>
      </w:r>
      <w:r w:rsidR="00482CB4">
        <w:rPr>
          <w:rFonts w:eastAsia="Calibri"/>
        </w:rPr>
        <w:instrText xml:space="preserve"> REF _Ref428870495 \h </w:instrText>
      </w:r>
      <w:r w:rsidR="005935D5">
        <w:rPr>
          <w:rFonts w:eastAsia="Calibri"/>
        </w:rPr>
      </w:r>
      <w:r w:rsidR="005935D5">
        <w:rPr>
          <w:rFonts w:eastAsia="Calibri"/>
        </w:rPr>
        <w:fldChar w:fldCharType="separate"/>
      </w:r>
      <w:r w:rsidR="000E22F3">
        <w:t xml:space="preserve">Table </w:t>
      </w:r>
      <w:r w:rsidR="000E22F3">
        <w:rPr>
          <w:noProof/>
        </w:rPr>
        <w:t>2</w:t>
      </w:r>
      <w:r w:rsidR="000E22F3">
        <w:noBreakHyphen/>
      </w:r>
      <w:r w:rsidR="000E22F3">
        <w:rPr>
          <w:noProof/>
        </w:rPr>
        <w:t>1</w:t>
      </w:r>
      <w:r w:rsidR="005935D5">
        <w:rPr>
          <w:rFonts w:eastAsia="Calibri"/>
        </w:rPr>
        <w:fldChar w:fldCharType="end"/>
      </w:r>
      <w:r w:rsidR="00482CB4">
        <w:rPr>
          <w:rFonts w:eastAsia="Calibri"/>
        </w:rPr>
        <w:t xml:space="preserve">). </w:t>
      </w:r>
      <w:r w:rsidRPr="00C77C3C">
        <w:rPr>
          <w:rFonts w:eastAsia="Calibri"/>
        </w:rPr>
        <w:t>Data collected</w:t>
      </w:r>
      <w:r w:rsidRPr="00C77C3C">
        <w:rPr>
          <w:rFonts w:eastAsia="Calibri"/>
          <w:lang w:eastAsia="en-US"/>
        </w:rPr>
        <w:t xml:space="preserve"> under the MMP </w:t>
      </w:r>
      <w:r w:rsidR="00482CB4">
        <w:rPr>
          <w:rFonts w:eastAsia="Calibri"/>
          <w:lang w:eastAsia="en-US"/>
        </w:rPr>
        <w:t>is also being tested for the improvement of the P2R water quality metric and</w:t>
      </w:r>
      <w:r w:rsidRPr="00C77C3C">
        <w:rPr>
          <w:rFonts w:eastAsia="Calibri"/>
          <w:lang w:eastAsia="en-US"/>
        </w:rPr>
        <w:t xml:space="preserve"> ongoing P2R program reporting. </w:t>
      </w:r>
    </w:p>
    <w:p w14:paraId="5ACFFC67" w14:textId="749EF8D1" w:rsidR="00C77C3C" w:rsidRDefault="00482CB4" w:rsidP="00482CB4">
      <w:pPr>
        <w:pStyle w:val="Caption"/>
      </w:pPr>
      <w:bookmarkStart w:id="65" w:name="_Ref428870495"/>
      <w:bookmarkStart w:id="66" w:name="_Ref428870472"/>
      <w:bookmarkStart w:id="67" w:name="_Toc454304603"/>
      <w:r>
        <w:t xml:space="preserve">Table </w:t>
      </w:r>
      <w:r w:rsidR="00445BD2">
        <w:fldChar w:fldCharType="begin"/>
      </w:r>
      <w:r w:rsidR="00445BD2">
        <w:instrText xml:space="preserve"> STYLEREF 1 \s </w:instrText>
      </w:r>
      <w:r w:rsidR="00445BD2">
        <w:fldChar w:fldCharType="separate"/>
      </w:r>
      <w:r w:rsidR="000E22F3">
        <w:rPr>
          <w:noProof/>
        </w:rPr>
        <w:t>2</w:t>
      </w:r>
      <w:r w:rsidR="00445BD2">
        <w:fldChar w:fldCharType="end"/>
      </w:r>
      <w:r w:rsidR="00445BD2">
        <w:noBreakHyphen/>
      </w:r>
      <w:r w:rsidR="00445BD2">
        <w:fldChar w:fldCharType="begin"/>
      </w:r>
      <w:r w:rsidR="00445BD2">
        <w:instrText xml:space="preserve"> SEQ Table \* ARABIC \s 1 </w:instrText>
      </w:r>
      <w:r w:rsidR="00445BD2">
        <w:fldChar w:fldCharType="separate"/>
      </w:r>
      <w:r w:rsidR="000E22F3">
        <w:rPr>
          <w:noProof/>
        </w:rPr>
        <w:t>1</w:t>
      </w:r>
      <w:r w:rsidR="00445BD2">
        <w:fldChar w:fldCharType="end"/>
      </w:r>
      <w:bookmarkEnd w:id="65"/>
      <w:r>
        <w:t xml:space="preserve">: </w:t>
      </w:r>
      <w:r w:rsidR="00C77C3C">
        <w:t>Description of outputs related to the aims of the MMP wet season monitoring program.</w:t>
      </w:r>
      <w:bookmarkEnd w:id="66"/>
      <w:bookmarkEnd w:id="67"/>
    </w:p>
    <w:tbl>
      <w:tblPr>
        <w:tblStyle w:val="TableGrid"/>
        <w:tblW w:w="8931" w:type="dxa"/>
        <w:tblBorders>
          <w:left w:val="none" w:sz="0" w:space="0" w:color="auto"/>
          <w:right w:val="none" w:sz="0" w:space="0" w:color="auto"/>
          <w:insideV w:val="none" w:sz="0" w:space="0" w:color="auto"/>
        </w:tblBorders>
        <w:tblLook w:val="04A0" w:firstRow="1" w:lastRow="0" w:firstColumn="1" w:lastColumn="0" w:noHBand="0" w:noVBand="1"/>
        <w:tblCaption w:val="Description of outputs related to the aims of the MMP wet season monitoring program"/>
        <w:tblDescription w:val="Description of outputs related to the aims of the MMP wet season monitoring program."/>
      </w:tblPr>
      <w:tblGrid>
        <w:gridCol w:w="2977"/>
        <w:gridCol w:w="5954"/>
      </w:tblGrid>
      <w:tr w:rsidR="00C77C3C" w:rsidRPr="0059252A" w14:paraId="34C39E0C" w14:textId="77777777" w:rsidTr="00E12E8D">
        <w:tc>
          <w:tcPr>
            <w:tcW w:w="2977" w:type="dxa"/>
          </w:tcPr>
          <w:p w14:paraId="7812E417" w14:textId="77777777" w:rsidR="00C77C3C" w:rsidRPr="0059252A" w:rsidRDefault="00C77C3C" w:rsidP="0059252A">
            <w:pPr>
              <w:jc w:val="left"/>
              <w:rPr>
                <w:rStyle w:val="BookTitle"/>
                <w:rFonts w:asciiTheme="minorHAnsi" w:hAnsiTheme="minorHAnsi"/>
                <w:b/>
              </w:rPr>
            </w:pPr>
            <w:r w:rsidRPr="0059252A">
              <w:rPr>
                <w:rStyle w:val="BookTitle"/>
                <w:rFonts w:asciiTheme="minorHAnsi" w:hAnsiTheme="minorHAnsi"/>
                <w:b/>
              </w:rPr>
              <w:t>Aim</w:t>
            </w:r>
          </w:p>
        </w:tc>
        <w:tc>
          <w:tcPr>
            <w:tcW w:w="5954" w:type="dxa"/>
          </w:tcPr>
          <w:p w14:paraId="07C53D0C" w14:textId="77777777" w:rsidR="00C77C3C" w:rsidRPr="0059252A" w:rsidRDefault="00C77C3C" w:rsidP="0059252A">
            <w:pPr>
              <w:jc w:val="left"/>
              <w:rPr>
                <w:rStyle w:val="BookTitle"/>
                <w:rFonts w:asciiTheme="minorHAnsi" w:hAnsiTheme="minorHAnsi"/>
                <w:b/>
              </w:rPr>
            </w:pPr>
            <w:r w:rsidRPr="0059252A">
              <w:rPr>
                <w:rStyle w:val="BookTitle"/>
                <w:rFonts w:asciiTheme="minorHAnsi" w:hAnsiTheme="minorHAnsi"/>
                <w:b/>
              </w:rPr>
              <w:t>Description</w:t>
            </w:r>
          </w:p>
        </w:tc>
      </w:tr>
      <w:tr w:rsidR="00211E84" w:rsidRPr="0059252A" w14:paraId="0F5B9A96" w14:textId="77777777" w:rsidTr="00E12E8D">
        <w:tc>
          <w:tcPr>
            <w:tcW w:w="2977" w:type="dxa"/>
          </w:tcPr>
          <w:p w14:paraId="4F92FE09" w14:textId="77777777" w:rsidR="00211E84" w:rsidRPr="0059252A" w:rsidRDefault="00211E84" w:rsidP="0059252A">
            <w:pPr>
              <w:jc w:val="left"/>
              <w:rPr>
                <w:rStyle w:val="BookTitle"/>
                <w:rFonts w:asciiTheme="minorHAnsi" w:hAnsiTheme="minorHAnsi"/>
              </w:rPr>
            </w:pPr>
            <w:r w:rsidRPr="0059252A">
              <w:rPr>
                <w:rStyle w:val="BookTitle"/>
                <w:rFonts w:asciiTheme="minorHAnsi" w:hAnsiTheme="minorHAnsi"/>
              </w:rPr>
              <w:t>Assessment of the transport and mixing processes of nutrients, suspended sediment and pesticides</w:t>
            </w:r>
          </w:p>
        </w:tc>
        <w:tc>
          <w:tcPr>
            <w:tcW w:w="5954" w:type="dxa"/>
          </w:tcPr>
          <w:p w14:paraId="55288AA4" w14:textId="77777777" w:rsidR="00211E84" w:rsidRPr="0059252A" w:rsidRDefault="00211E84" w:rsidP="0059252A">
            <w:pPr>
              <w:jc w:val="left"/>
              <w:rPr>
                <w:rStyle w:val="BookTitle"/>
                <w:rFonts w:asciiTheme="minorHAnsi" w:hAnsiTheme="minorHAnsi"/>
              </w:rPr>
            </w:pPr>
            <w:r w:rsidRPr="0059252A">
              <w:rPr>
                <w:rStyle w:val="BookTitle"/>
                <w:rFonts w:asciiTheme="minorHAnsi" w:hAnsiTheme="minorHAnsi"/>
              </w:rPr>
              <w:t>Delivered through water quality monitoring in flood plumes. Measurement of water quality parameters presented against salinity gradients for each catchment and each sampling event to describe the their transport and mi</w:t>
            </w:r>
            <w:r w:rsidR="00460824" w:rsidRPr="0059252A">
              <w:rPr>
                <w:rStyle w:val="BookTitle"/>
                <w:rFonts w:asciiTheme="minorHAnsi" w:hAnsiTheme="minorHAnsi"/>
              </w:rPr>
              <w:t>xing process they are subjected</w:t>
            </w:r>
            <w:r w:rsidRPr="0059252A">
              <w:rPr>
                <w:rStyle w:val="BookTitle"/>
                <w:rFonts w:asciiTheme="minorHAnsi" w:hAnsiTheme="minorHAnsi"/>
              </w:rPr>
              <w:t xml:space="preserve"> to</w:t>
            </w:r>
            <w:r w:rsidR="00460824" w:rsidRPr="0059252A">
              <w:rPr>
                <w:rStyle w:val="BookTitle"/>
                <w:rFonts w:asciiTheme="minorHAnsi" w:hAnsiTheme="minorHAnsi"/>
              </w:rPr>
              <w:t>.</w:t>
            </w:r>
          </w:p>
        </w:tc>
      </w:tr>
      <w:tr w:rsidR="00211E84" w:rsidRPr="0059252A" w14:paraId="4F9E4EE7" w14:textId="77777777" w:rsidTr="00E12E8D">
        <w:tc>
          <w:tcPr>
            <w:tcW w:w="2977" w:type="dxa"/>
          </w:tcPr>
          <w:p w14:paraId="48461A46" w14:textId="77777777" w:rsidR="00211E84" w:rsidRPr="0059252A" w:rsidRDefault="00211E84" w:rsidP="0059252A">
            <w:pPr>
              <w:jc w:val="left"/>
              <w:rPr>
                <w:rStyle w:val="BookTitle"/>
                <w:rFonts w:asciiTheme="minorHAnsi" w:hAnsiTheme="minorHAnsi"/>
              </w:rPr>
            </w:pPr>
            <w:r w:rsidRPr="0059252A">
              <w:rPr>
                <w:rStyle w:val="BookTitle"/>
                <w:rFonts w:asciiTheme="minorHAnsi" w:hAnsiTheme="minorHAnsi"/>
              </w:rPr>
              <w:t>Estimation of the extent and exposure of flood plumes to reefs and seagrass beds</w:t>
            </w:r>
          </w:p>
        </w:tc>
        <w:tc>
          <w:tcPr>
            <w:tcW w:w="5954" w:type="dxa"/>
          </w:tcPr>
          <w:p w14:paraId="446AC898" w14:textId="77777777" w:rsidR="00211E84" w:rsidRPr="0059252A" w:rsidRDefault="00211E84" w:rsidP="0059252A">
            <w:pPr>
              <w:jc w:val="left"/>
              <w:rPr>
                <w:rStyle w:val="BookTitle"/>
                <w:rFonts w:asciiTheme="minorHAnsi" w:hAnsiTheme="minorHAnsi"/>
              </w:rPr>
            </w:pPr>
            <w:r w:rsidRPr="0059252A">
              <w:rPr>
                <w:rStyle w:val="BookTitle"/>
                <w:rFonts w:asciiTheme="minorHAnsi" w:hAnsiTheme="minorHAnsi"/>
              </w:rPr>
              <w:t>Delivered through the spatial mapping of plume extent and frequency. True colour images are processed to plume maps. Weekly plume maps are then used to estimate the extent and frequency key GBR ecosystems are exposed to them. Additional remote sensing products (e.g., water quality algorithms such as chlorophyll-a, CDOM and TSS) are also used to estimate river plume occurrence on these ecosystems.</w:t>
            </w:r>
          </w:p>
        </w:tc>
      </w:tr>
      <w:tr w:rsidR="00211E84" w:rsidRPr="0059252A" w14:paraId="66549BB9" w14:textId="77777777" w:rsidTr="00E12E8D">
        <w:tc>
          <w:tcPr>
            <w:tcW w:w="2977" w:type="dxa"/>
          </w:tcPr>
          <w:p w14:paraId="0745CC0A" w14:textId="77777777" w:rsidR="00211E84" w:rsidRPr="0059252A" w:rsidRDefault="00211E84" w:rsidP="0059252A">
            <w:pPr>
              <w:jc w:val="left"/>
              <w:rPr>
                <w:rStyle w:val="BookTitle"/>
                <w:rFonts w:asciiTheme="minorHAnsi" w:hAnsiTheme="minorHAnsi"/>
              </w:rPr>
            </w:pPr>
            <w:r w:rsidRPr="0059252A">
              <w:rPr>
                <w:rStyle w:val="BookTitle"/>
                <w:rFonts w:asciiTheme="minorHAnsi" w:hAnsiTheme="minorHAnsi"/>
              </w:rPr>
              <w:t>Understanding the  anthropogenic impact to the water quality conditions by the incorporation and synthesis of monitoring data into GBR wide through the development of hydrodynamic models, the MMP and Paddock to Reef reporting.</w:t>
            </w:r>
          </w:p>
        </w:tc>
        <w:tc>
          <w:tcPr>
            <w:tcW w:w="5954" w:type="dxa"/>
          </w:tcPr>
          <w:p w14:paraId="1BB14020" w14:textId="77777777" w:rsidR="00211E84" w:rsidRPr="0059252A" w:rsidRDefault="00211E84" w:rsidP="0059252A">
            <w:pPr>
              <w:jc w:val="left"/>
              <w:rPr>
                <w:rStyle w:val="BookTitle"/>
                <w:rFonts w:asciiTheme="minorHAnsi" w:hAnsiTheme="minorHAnsi"/>
              </w:rPr>
            </w:pPr>
            <w:r w:rsidRPr="0059252A">
              <w:rPr>
                <w:rStyle w:val="BookTitle"/>
                <w:rFonts w:asciiTheme="minorHAnsi" w:hAnsiTheme="minorHAnsi"/>
              </w:rPr>
              <w:t>Synthesis and reporting of flood plume water quality data and exposure mapping into the MMP. Further work on the integration and reporting of water quality data collected under this sub-program and the long-term water quality sub-program is currently being investigated by JCU, CSIRO and AIMS researchers through Australian Government Reef Programme</w:t>
            </w:r>
          </w:p>
          <w:p w14:paraId="79F5D0B5" w14:textId="77777777" w:rsidR="00211E84" w:rsidRPr="0059252A" w:rsidRDefault="00211E84" w:rsidP="0059252A">
            <w:pPr>
              <w:jc w:val="left"/>
              <w:rPr>
                <w:rStyle w:val="BookTitle"/>
                <w:rFonts w:asciiTheme="minorHAnsi" w:hAnsiTheme="minorHAnsi"/>
              </w:rPr>
            </w:pPr>
          </w:p>
        </w:tc>
      </w:tr>
    </w:tbl>
    <w:p w14:paraId="56E6FEAB" w14:textId="77777777" w:rsidR="001C068B" w:rsidRDefault="001C068B" w:rsidP="00211E84">
      <w:pPr>
        <w:rPr>
          <w:rFonts w:eastAsia="Calibri"/>
          <w:lang w:eastAsia="en-US"/>
        </w:rPr>
      </w:pPr>
    </w:p>
    <w:p w14:paraId="76C4C6A0" w14:textId="77777777" w:rsidR="001C068B" w:rsidRDefault="00211E84" w:rsidP="00211E84">
      <w:pPr>
        <w:rPr>
          <w:rFonts w:eastAsia="Calibri"/>
          <w:lang w:eastAsia="en-US"/>
        </w:rPr>
      </w:pPr>
      <w:r w:rsidRPr="00C77C3C">
        <w:rPr>
          <w:rFonts w:eastAsia="Calibri"/>
          <w:lang w:eastAsia="en-US"/>
        </w:rPr>
        <w:t>The priority catchments targeted for intensive sampling</w:t>
      </w:r>
      <w:r>
        <w:rPr>
          <w:rFonts w:eastAsia="Calibri"/>
          <w:lang w:eastAsia="en-US"/>
        </w:rPr>
        <w:t xml:space="preserve"> (i.e., Russell-Mulgrave and Tully) </w:t>
      </w:r>
      <w:r w:rsidRPr="00C77C3C">
        <w:rPr>
          <w:rFonts w:eastAsia="Calibri"/>
          <w:lang w:eastAsia="en-US"/>
        </w:rPr>
        <w:t xml:space="preserve">were chosen based on </w:t>
      </w:r>
      <w:r>
        <w:rPr>
          <w:rFonts w:eastAsia="Calibri"/>
          <w:lang w:eastAsia="en-US"/>
        </w:rPr>
        <w:t xml:space="preserve">the </w:t>
      </w:r>
      <w:r w:rsidRPr="00C77C3C">
        <w:rPr>
          <w:rFonts w:eastAsia="Calibri"/>
          <w:lang w:eastAsia="en-US"/>
        </w:rPr>
        <w:t xml:space="preserve">risk </w:t>
      </w:r>
      <w:r>
        <w:rPr>
          <w:rFonts w:eastAsia="Calibri"/>
          <w:lang w:eastAsia="en-US"/>
        </w:rPr>
        <w:t xml:space="preserve">analysis </w:t>
      </w:r>
      <w:r w:rsidRPr="00C77C3C">
        <w:rPr>
          <w:rFonts w:eastAsia="Calibri"/>
          <w:lang w:eastAsia="en-US"/>
        </w:rPr>
        <w:t xml:space="preserve">reported in </w:t>
      </w:r>
      <w:r w:rsidRPr="00C77C3C">
        <w:rPr>
          <w:rFonts w:eastAsia="Calibri"/>
          <w:lang w:eastAsia="en-US"/>
        </w:rPr>
        <w:fldChar w:fldCharType="begin"/>
      </w:r>
      <w:r>
        <w:rPr>
          <w:rFonts w:eastAsia="Calibri"/>
          <w:lang w:eastAsia="en-US"/>
        </w:rPr>
        <w:instrText xml:space="preserve"> ADDIN EN.CITE &lt;EndNote&gt;&lt;Cite&gt;&lt;Author&gt;Brodie&lt;/Author&gt;&lt;Year&gt;2014&lt;/Year&gt;&lt;RecNum&gt;1045&lt;/RecNum&gt;&lt;DisplayText&gt;(Brodie et al., 2014)&lt;/DisplayText&gt;&lt;record&gt;&lt;rec-number&gt;1045&lt;/rec-number&gt;&lt;foreign-keys&gt;&lt;key app="EN" db-id="wwzpfssaux292keptesxd5t6srsfvpzsde2p"&gt;1045&lt;/key&gt;&lt;/foreign-keys&gt;&lt;ref-type name="Journal Article"&gt;17&lt;/ref-type&gt;&lt;contributors&gt;&lt;authors&gt;&lt;author&gt;Brodie, J&lt;/author&gt;&lt;author&gt;Burford, M&lt;/author&gt;&lt;author&gt;Davis, A&lt;/author&gt;&lt;author&gt;da Silva, E&lt;/author&gt;&lt;author&gt;Devlin, M&lt;/author&gt;&lt;author&gt;Furnas, M&lt;/author&gt;&lt;author&gt;Kroon, F&lt;/author&gt;&lt;author&gt;Lewis, S&lt;/author&gt;&lt;author&gt;Lønborg, C&lt;/author&gt;&lt;author&gt;O’Brien, D&lt;/author&gt;&lt;author&gt;Schaffelke, B&lt;/author&gt;&lt;/authors&gt;&lt;/contributors&gt;&lt;titles&gt;&lt;title&gt;The relative risks to water quality from particulate nitrogen discharged from rivers to the Great Barrier Reef in comparison to other forms of nitrogen. &lt;/title&gt;&lt;/titles&gt;&lt;pages&gt;81&lt;/pages&gt;&lt;volume&gt;TropWATER Report 14/31. October 2014&lt;/volume&gt;&lt;dates&gt;&lt;year&gt;2014&lt;/year&gt;&lt;/dates&gt;&lt;urls&gt;&lt;/urls&gt;&lt;/record&gt;&lt;/Cite&gt;&lt;/EndNote&gt;</w:instrText>
      </w:r>
      <w:r w:rsidRPr="00C77C3C">
        <w:rPr>
          <w:rFonts w:eastAsia="Calibri"/>
          <w:lang w:eastAsia="en-US"/>
        </w:rPr>
        <w:fldChar w:fldCharType="separate"/>
      </w:r>
      <w:r>
        <w:rPr>
          <w:rFonts w:eastAsia="Calibri"/>
          <w:noProof/>
          <w:lang w:eastAsia="en-US"/>
        </w:rPr>
        <w:t>(</w:t>
      </w:r>
      <w:hyperlink w:anchor="_ENREF_10" w:tooltip="Brodie, 2014 #1045" w:history="1">
        <w:r>
          <w:rPr>
            <w:rFonts w:eastAsia="Calibri"/>
            <w:noProof/>
            <w:lang w:eastAsia="en-US"/>
          </w:rPr>
          <w:t>Brodie et al.</w:t>
        </w:r>
        <w:r w:rsidR="00C6470A">
          <w:rPr>
            <w:rFonts w:eastAsia="Calibri"/>
            <w:noProof/>
            <w:lang w:eastAsia="en-US"/>
          </w:rPr>
          <w:t>,</w:t>
        </w:r>
        <w:r>
          <w:rPr>
            <w:rFonts w:eastAsia="Calibri"/>
            <w:noProof/>
            <w:lang w:eastAsia="en-US"/>
          </w:rPr>
          <w:t xml:space="preserve"> 201</w:t>
        </w:r>
        <w:r w:rsidR="00C6470A">
          <w:rPr>
            <w:rFonts w:eastAsia="Calibri"/>
            <w:noProof/>
            <w:lang w:eastAsia="en-US"/>
          </w:rPr>
          <w:t>3</w:t>
        </w:r>
      </w:hyperlink>
      <w:r>
        <w:rPr>
          <w:rFonts w:eastAsia="Calibri"/>
          <w:noProof/>
          <w:lang w:eastAsia="en-US"/>
        </w:rPr>
        <w:t>)</w:t>
      </w:r>
      <w:r w:rsidRPr="00C77C3C">
        <w:rPr>
          <w:rFonts w:eastAsia="Calibri"/>
          <w:lang w:eastAsia="en-US"/>
        </w:rPr>
        <w:fldChar w:fldCharType="end"/>
      </w:r>
      <w:r>
        <w:rPr>
          <w:rFonts w:eastAsia="Calibri"/>
          <w:lang w:eastAsia="en-US"/>
        </w:rPr>
        <w:t xml:space="preserve">, </w:t>
      </w:r>
      <w:r w:rsidR="00C6470A">
        <w:rPr>
          <w:rFonts w:eastAsia="Calibri"/>
          <w:lang w:eastAsia="en-US"/>
        </w:rPr>
        <w:t>and additional</w:t>
      </w:r>
      <w:r>
        <w:rPr>
          <w:rFonts w:eastAsia="Calibri"/>
          <w:lang w:eastAsia="en-US"/>
        </w:rPr>
        <w:t xml:space="preserve"> s</w:t>
      </w:r>
      <w:r w:rsidRPr="00C77C3C">
        <w:rPr>
          <w:rFonts w:eastAsia="Calibri"/>
          <w:lang w:eastAsia="en-US"/>
        </w:rPr>
        <w:t>amples were taken from sites from the Cape York re</w:t>
      </w:r>
      <w:r>
        <w:rPr>
          <w:rFonts w:eastAsia="Calibri"/>
          <w:lang w:eastAsia="en-US"/>
        </w:rPr>
        <w:t>gion and the Herbert during the passage of Ex-tropical cyclone Ita.</w:t>
      </w:r>
      <w:r w:rsidRPr="00C77C3C">
        <w:rPr>
          <w:rFonts w:eastAsia="Calibri"/>
          <w:lang w:eastAsia="en-US"/>
        </w:rPr>
        <w:t xml:space="preserve"> The Tully River catchment is also the ideal location to assess the long-term effectiveness of Reef Plan as data can be collected every year as it is the wettest catchment in Australia. Repeated sampling in the Tully also adds value to the long-term data set collected in this region from 1994 to </w:t>
      </w:r>
      <w:r w:rsidRPr="00C77C3C">
        <w:rPr>
          <w:rFonts w:eastAsia="Calibri"/>
          <w:lang w:eastAsia="en-US"/>
        </w:rPr>
        <w:lastRenderedPageBreak/>
        <w:t xml:space="preserve">2012 </w:t>
      </w:r>
      <w:r w:rsidRPr="00C77C3C">
        <w:rPr>
          <w:rFonts w:eastAsia="Calibri"/>
          <w:lang w:eastAsia="en-US"/>
        </w:rPr>
        <w:fldChar w:fldCharType="begin"/>
      </w:r>
      <w:r w:rsidRPr="00C77C3C">
        <w:rPr>
          <w:rFonts w:eastAsia="Calibri"/>
          <w:lang w:eastAsia="en-US"/>
        </w:rPr>
        <w:instrText xml:space="preserve"> ADDIN EN.CITE &lt;EndNote&gt;&lt;Cite&gt;&lt;Author&gt;Devlin&lt;/Author&gt;&lt;Year&gt;2009&lt;/Year&gt;&lt;RecNum&gt;907&lt;/RecNum&gt;&lt;DisplayText&gt;(Devlin and Schaffelke, 2009)&lt;/DisplayText&gt;&lt;record&gt;&lt;rec-number&gt;907&lt;/rec-number&gt;&lt;foreign-keys&gt;&lt;key app="EN" db-id="wwzpfssaux292keptesxd5t6srsfvpzsde2p"&gt;907&lt;/key&gt;&lt;/foreign-keys&gt;&lt;ref-type name="Journal Article"&gt;17&lt;/ref-type&gt;&lt;contributors&gt;&lt;authors&gt;&lt;author&gt;Devlin, Michelle&lt;/author&gt;&lt;author&gt;Schaffelke, Britta&lt;/author&gt;&lt;/authors&gt;&lt;/contributors&gt;&lt;titles&gt;&lt;title&gt;Spatial extent of riverine flood plumes and exposure of marine ecosystems in the Tully coastal region, Great Barrier Reef&lt;/title&gt;&lt;secondary-title&gt;Marine and Freshwater Research&lt;/secondary-title&gt;&lt;/titles&gt;&lt;periodical&gt;&lt;full-title&gt;Marine and Freshwater Research&lt;/full-title&gt;&lt;/periodical&gt;&lt;pages&gt;1109-1122&lt;/pages&gt;&lt;volume&gt;60&lt;/volume&gt;&lt;number&gt;11&lt;/number&gt;&lt;dates&gt;&lt;year&gt;2009&lt;/year&gt;&lt;/dates&gt;&lt;isbn&gt;1448-6059&lt;/isbn&gt;&lt;urls&gt;&lt;/urls&gt;&lt;/record&gt;&lt;/Cite&gt;&lt;/EndNote&gt;</w:instrText>
      </w:r>
      <w:r w:rsidRPr="00C77C3C">
        <w:rPr>
          <w:rFonts w:eastAsia="Calibri"/>
          <w:lang w:eastAsia="en-US"/>
        </w:rPr>
        <w:fldChar w:fldCharType="separate"/>
      </w:r>
      <w:r w:rsidRPr="00C77C3C">
        <w:rPr>
          <w:rFonts w:eastAsia="Calibri"/>
          <w:lang w:eastAsia="en-US"/>
        </w:rPr>
        <w:t>(</w:t>
      </w:r>
      <w:hyperlink w:anchor="_ENREF_15" w:tooltip="Devlin, 2009 #907" w:history="1">
        <w:r w:rsidRPr="00C77C3C">
          <w:rPr>
            <w:rFonts w:eastAsia="Calibri"/>
            <w:lang w:eastAsia="en-US"/>
          </w:rPr>
          <w:t>Devlin and Schaffelke, 2009</w:t>
        </w:r>
      </w:hyperlink>
      <w:r w:rsidRPr="00C77C3C">
        <w:rPr>
          <w:rFonts w:eastAsia="Calibri"/>
          <w:lang w:eastAsia="en-US"/>
        </w:rPr>
        <w:t>)</w:t>
      </w:r>
      <w:r w:rsidRPr="00C77C3C">
        <w:rPr>
          <w:rFonts w:eastAsia="Calibri"/>
          <w:lang w:eastAsia="en-US"/>
        </w:rPr>
        <w:fldChar w:fldCharType="end"/>
      </w:r>
      <w:r w:rsidRPr="00C77C3C">
        <w:rPr>
          <w:rFonts w:eastAsia="Calibri"/>
          <w:lang w:eastAsia="en-US"/>
        </w:rPr>
        <w:t xml:space="preserve">. The wet season in </w:t>
      </w:r>
      <w:r w:rsidR="005006CE">
        <w:rPr>
          <w:rFonts w:eastAsia="Calibri"/>
          <w:lang w:eastAsia="en-US"/>
        </w:rPr>
        <w:t>2013-2014</w:t>
      </w:r>
      <w:r w:rsidRPr="00C77C3C">
        <w:rPr>
          <w:rFonts w:eastAsia="Calibri"/>
          <w:lang w:eastAsia="en-US"/>
        </w:rPr>
        <w:t>, as with 201</w:t>
      </w:r>
      <w:r>
        <w:rPr>
          <w:rFonts w:eastAsia="Calibri"/>
          <w:lang w:eastAsia="en-US"/>
        </w:rPr>
        <w:t>2</w:t>
      </w:r>
      <w:r w:rsidRPr="00C77C3C">
        <w:rPr>
          <w:rFonts w:eastAsia="Calibri"/>
          <w:lang w:eastAsia="en-US"/>
        </w:rPr>
        <w:t>-</w:t>
      </w:r>
      <w:r w:rsidR="005006CE">
        <w:rPr>
          <w:rFonts w:eastAsia="Calibri"/>
          <w:lang w:eastAsia="en-US"/>
        </w:rPr>
        <w:t>20</w:t>
      </w:r>
      <w:r w:rsidRPr="00C77C3C">
        <w:rPr>
          <w:rFonts w:eastAsia="Calibri"/>
          <w:lang w:eastAsia="en-US"/>
        </w:rPr>
        <w:t>1</w:t>
      </w:r>
      <w:r>
        <w:rPr>
          <w:rFonts w:eastAsia="Calibri"/>
          <w:lang w:eastAsia="en-US"/>
        </w:rPr>
        <w:t>3</w:t>
      </w:r>
      <w:r w:rsidRPr="00C77C3C">
        <w:rPr>
          <w:rFonts w:eastAsia="Calibri"/>
          <w:lang w:eastAsia="en-US"/>
        </w:rPr>
        <w:t xml:space="preserve">, was characterised by many smaller episodic flows but no </w:t>
      </w:r>
      <w:r>
        <w:rPr>
          <w:rFonts w:eastAsia="Calibri"/>
          <w:lang w:eastAsia="en-US"/>
        </w:rPr>
        <w:t xml:space="preserve">extended </w:t>
      </w:r>
      <w:r w:rsidRPr="00C77C3C">
        <w:rPr>
          <w:rFonts w:eastAsia="Calibri"/>
          <w:lang w:eastAsia="en-US"/>
        </w:rPr>
        <w:t xml:space="preserve">large </w:t>
      </w:r>
      <w:r>
        <w:rPr>
          <w:rFonts w:eastAsia="Calibri"/>
          <w:lang w:eastAsia="en-US"/>
        </w:rPr>
        <w:t xml:space="preserve">flow associated with a </w:t>
      </w:r>
      <w:r w:rsidRPr="00C77C3C">
        <w:rPr>
          <w:rFonts w:eastAsia="Calibri"/>
          <w:lang w:eastAsia="en-US"/>
        </w:rPr>
        <w:t>cyclonic period. Heavy and consistent rain also continued in the Wet Tropics region later in the wet season, peaking in late March.</w:t>
      </w:r>
      <w:r>
        <w:rPr>
          <w:rFonts w:eastAsia="Calibri"/>
          <w:lang w:eastAsia="en-US"/>
        </w:rPr>
        <w:t xml:space="preserve"> </w:t>
      </w:r>
      <w:r w:rsidRPr="00C77C3C">
        <w:rPr>
          <w:rFonts w:eastAsia="Calibri"/>
          <w:lang w:eastAsia="en-US"/>
        </w:rPr>
        <w:t xml:space="preserve">This report summarises the data collected in the </w:t>
      </w:r>
      <w:r w:rsidR="005006CE">
        <w:rPr>
          <w:rFonts w:eastAsia="Calibri"/>
          <w:lang w:eastAsia="en-US"/>
        </w:rPr>
        <w:t>2013-2014</w:t>
      </w:r>
      <w:r w:rsidRPr="00C77C3C">
        <w:rPr>
          <w:rFonts w:eastAsia="Calibri"/>
          <w:lang w:eastAsia="en-US"/>
        </w:rPr>
        <w:t xml:space="preserve"> wet season and presented as part of a longe</w:t>
      </w:r>
      <w:r>
        <w:rPr>
          <w:rFonts w:eastAsia="Calibri"/>
          <w:lang w:eastAsia="en-US"/>
        </w:rPr>
        <w:t>r</w:t>
      </w:r>
      <w:r w:rsidRPr="00C77C3C">
        <w:rPr>
          <w:rFonts w:eastAsia="Calibri"/>
          <w:lang w:eastAsia="en-US"/>
        </w:rPr>
        <w:t xml:space="preserve"> term data set collected under the MMP between 200</w:t>
      </w:r>
      <w:r>
        <w:rPr>
          <w:rFonts w:eastAsia="Calibri"/>
          <w:lang w:eastAsia="en-US"/>
        </w:rPr>
        <w:t>4</w:t>
      </w:r>
      <w:r w:rsidRPr="00C77C3C">
        <w:rPr>
          <w:rFonts w:eastAsia="Calibri"/>
          <w:lang w:eastAsia="en-US"/>
        </w:rPr>
        <w:t xml:space="preserve"> and 201</w:t>
      </w:r>
      <w:r>
        <w:rPr>
          <w:rFonts w:eastAsia="Calibri"/>
          <w:lang w:eastAsia="en-US"/>
        </w:rPr>
        <w:t>4</w:t>
      </w:r>
      <w:r w:rsidRPr="00C77C3C">
        <w:rPr>
          <w:rFonts w:eastAsia="Calibri"/>
          <w:lang w:eastAsia="en-US"/>
        </w:rPr>
        <w:t>.</w:t>
      </w:r>
    </w:p>
    <w:p w14:paraId="7604E687" w14:textId="77777777" w:rsidR="001C068B" w:rsidRPr="001C068B" w:rsidRDefault="001C068B" w:rsidP="001C068B">
      <w:pPr>
        <w:pStyle w:val="Heading2"/>
        <w:numPr>
          <w:ilvl w:val="1"/>
          <w:numId w:val="3"/>
        </w:numPr>
      </w:pPr>
      <w:bookmarkStart w:id="68" w:name="_Toc443299466"/>
      <w:bookmarkStart w:id="69" w:name="_Toc443299679"/>
      <w:bookmarkStart w:id="70" w:name="_Toc454304699"/>
      <w:r>
        <w:t>Mapping of river plumes</w:t>
      </w:r>
      <w:bookmarkEnd w:id="68"/>
      <w:bookmarkEnd w:id="69"/>
      <w:bookmarkEnd w:id="70"/>
    </w:p>
    <w:p w14:paraId="350CB35E" w14:textId="77777777" w:rsidR="001C068B" w:rsidRPr="00EB770E" w:rsidRDefault="001C068B" w:rsidP="001C068B">
      <w:pPr>
        <w:rPr>
          <w:rFonts w:eastAsia="Calibri"/>
          <w:lang w:eastAsia="en-US"/>
        </w:rPr>
      </w:pPr>
      <w:bookmarkStart w:id="71" w:name="_Toc416533901"/>
      <w:r w:rsidRPr="00EB770E">
        <w:rPr>
          <w:rFonts w:eastAsia="Calibri"/>
          <w:lang w:eastAsia="en-US"/>
        </w:rPr>
        <w:t>Remote sens</w:t>
      </w:r>
      <w:r>
        <w:rPr>
          <w:rFonts w:eastAsia="Calibri"/>
          <w:lang w:eastAsia="en-US"/>
        </w:rPr>
        <w:t>ing</w:t>
      </w:r>
      <w:r w:rsidRPr="00EB770E">
        <w:rPr>
          <w:rFonts w:eastAsia="Calibri"/>
          <w:lang w:eastAsia="en-US"/>
        </w:rPr>
        <w:t xml:space="preserve"> image</w:t>
      </w:r>
      <w:r>
        <w:rPr>
          <w:rFonts w:eastAsia="Calibri"/>
          <w:lang w:eastAsia="en-US"/>
        </w:rPr>
        <w:t>ry</w:t>
      </w:r>
      <w:r w:rsidRPr="00EB770E">
        <w:rPr>
          <w:rFonts w:eastAsia="Calibri"/>
          <w:lang w:eastAsia="en-US"/>
        </w:rPr>
        <w:t xml:space="preserve"> ha</w:t>
      </w:r>
      <w:r>
        <w:rPr>
          <w:rFonts w:eastAsia="Calibri"/>
          <w:lang w:eastAsia="en-US"/>
        </w:rPr>
        <w:t>s</w:t>
      </w:r>
      <w:r w:rsidRPr="00EB770E">
        <w:rPr>
          <w:rFonts w:eastAsia="Calibri"/>
          <w:lang w:eastAsia="en-US"/>
        </w:rPr>
        <w:t xml:space="preserve"> become a useful and operational assessment tool in the monitoring of river flood plumes (hereafter river plumes) in the GBR. Combined with </w:t>
      </w:r>
      <w:r w:rsidRPr="00EB770E">
        <w:rPr>
          <w:rFonts w:eastAsia="Calibri"/>
          <w:i/>
          <w:lang w:eastAsia="en-US"/>
        </w:rPr>
        <w:t>in situ</w:t>
      </w:r>
      <w:r w:rsidRPr="00EB770E">
        <w:rPr>
          <w:rFonts w:eastAsia="Calibri"/>
          <w:lang w:eastAsia="en-US"/>
        </w:rPr>
        <w:t xml:space="preserve"> WQ sampling the use of remote sensing is a valid and practical way to estimate both the extent and frequency of river plume exposure on GBR ecosystems. Ocean colour imagery provides synoptic-scale information regarding the movement and composition of river plumes. Thus, in the past </w:t>
      </w:r>
      <w:r>
        <w:rPr>
          <w:rFonts w:eastAsia="Calibri"/>
          <w:lang w:eastAsia="en-US"/>
        </w:rPr>
        <w:t>six</w:t>
      </w:r>
      <w:r w:rsidRPr="00EB770E">
        <w:rPr>
          <w:rFonts w:eastAsia="Calibri"/>
          <w:lang w:eastAsia="en-US"/>
        </w:rPr>
        <w:t xml:space="preserve"> years, </w:t>
      </w:r>
      <w:r w:rsidRPr="00036408">
        <w:rPr>
          <w:rFonts w:eastAsia="Calibri"/>
          <w:lang w:eastAsia="en-US"/>
        </w:rPr>
        <w:t>remote sensing</w:t>
      </w:r>
      <w:r w:rsidRPr="00EB770E">
        <w:rPr>
          <w:rFonts w:eastAsia="Calibri"/>
          <w:lang w:eastAsia="en-US"/>
        </w:rPr>
        <w:t xml:space="preserve"> imagery combined with </w:t>
      </w:r>
      <w:r w:rsidRPr="00EB770E">
        <w:rPr>
          <w:rFonts w:eastAsia="Calibri"/>
          <w:i/>
          <w:lang w:eastAsia="en-US"/>
        </w:rPr>
        <w:t>in situ</w:t>
      </w:r>
      <w:r w:rsidRPr="00EB770E">
        <w:rPr>
          <w:rFonts w:eastAsia="Calibri"/>
          <w:lang w:eastAsia="en-US"/>
        </w:rPr>
        <w:t xml:space="preserve"> sampling of river plumes has provided an essential source of data related to the movement and composition of river plumes in GBR waters (e.g., Bainbri</w:t>
      </w:r>
      <w:r w:rsidR="00C6470A">
        <w:rPr>
          <w:rFonts w:eastAsia="Calibri"/>
          <w:lang w:eastAsia="en-US"/>
        </w:rPr>
        <w:t>dge et al., 2012; Brodie et al.,</w:t>
      </w:r>
      <w:r w:rsidRPr="00EB770E">
        <w:rPr>
          <w:rFonts w:eastAsia="Calibri"/>
          <w:lang w:eastAsia="en-US"/>
        </w:rPr>
        <w:t xml:space="preserve"> 2010; Devlin et al.; 2012a, b; Schroeder et al., 2012). </w:t>
      </w:r>
    </w:p>
    <w:p w14:paraId="4349ED66" w14:textId="77777777" w:rsidR="001C068B" w:rsidRPr="00EB770E" w:rsidRDefault="001C068B" w:rsidP="001C068B">
      <w:pPr>
        <w:rPr>
          <w:rFonts w:eastAsia="Calibri"/>
          <w:lang w:eastAsia="en-US"/>
        </w:rPr>
      </w:pPr>
      <w:r w:rsidRPr="00EB770E">
        <w:rPr>
          <w:rFonts w:eastAsia="Calibri"/>
          <w:lang w:eastAsia="en-US"/>
        </w:rPr>
        <w:t xml:space="preserve">Our efforts to improve </w:t>
      </w:r>
      <w:r w:rsidRPr="00036408">
        <w:rPr>
          <w:rFonts w:eastAsia="Calibri"/>
          <w:lang w:eastAsia="en-US"/>
        </w:rPr>
        <w:t>remote sensing</w:t>
      </w:r>
      <w:r w:rsidRPr="00EB770E">
        <w:rPr>
          <w:rFonts w:eastAsia="Calibri"/>
          <w:lang w:eastAsia="en-US"/>
        </w:rPr>
        <w:t xml:space="preserve"> methods are continuing. As part of the last MMP in 201</w:t>
      </w:r>
      <w:r>
        <w:rPr>
          <w:rFonts w:eastAsia="Calibri"/>
          <w:lang w:eastAsia="en-US"/>
        </w:rPr>
        <w:t>2</w:t>
      </w:r>
      <w:r w:rsidRPr="00EB770E">
        <w:rPr>
          <w:rFonts w:eastAsia="Calibri"/>
          <w:lang w:eastAsia="en-US"/>
        </w:rPr>
        <w:t>-1</w:t>
      </w:r>
      <w:r>
        <w:rPr>
          <w:rFonts w:eastAsia="Calibri"/>
          <w:lang w:eastAsia="en-US"/>
        </w:rPr>
        <w:t>3</w:t>
      </w:r>
      <w:r w:rsidRPr="00EB770E">
        <w:rPr>
          <w:rFonts w:eastAsia="Calibri"/>
          <w:lang w:eastAsia="en-US"/>
        </w:rPr>
        <w:t xml:space="preserve"> (Devlin et al., 201</w:t>
      </w:r>
      <w:r>
        <w:rPr>
          <w:rFonts w:eastAsia="Calibri"/>
          <w:lang w:eastAsia="en-US"/>
        </w:rPr>
        <w:t>5</w:t>
      </w:r>
      <w:r w:rsidRPr="00EB770E">
        <w:rPr>
          <w:rFonts w:eastAsia="Calibri"/>
          <w:lang w:eastAsia="en-US"/>
        </w:rPr>
        <w:t xml:space="preserve">), </w:t>
      </w:r>
      <w:r>
        <w:rPr>
          <w:rFonts w:eastAsia="Calibri"/>
          <w:lang w:eastAsia="en-US"/>
        </w:rPr>
        <w:t xml:space="preserve">a </w:t>
      </w:r>
      <w:r w:rsidRPr="00EB770E">
        <w:rPr>
          <w:rFonts w:eastAsia="Calibri"/>
          <w:lang w:eastAsia="en-US"/>
        </w:rPr>
        <w:t xml:space="preserve">number of important and innovative developments were undertaken to improve our capacity to identify and monitor the exposure of GBR ecosystems to river plumes and anthropogenic WQ influences, using </w:t>
      </w:r>
      <w:r w:rsidRPr="00036408">
        <w:rPr>
          <w:rFonts w:eastAsia="Calibri"/>
          <w:lang w:eastAsia="en-US"/>
        </w:rPr>
        <w:t>remote sensing</w:t>
      </w:r>
      <w:r w:rsidRPr="00EB770E">
        <w:rPr>
          <w:rFonts w:eastAsia="Calibri"/>
          <w:lang w:eastAsia="en-US"/>
        </w:rPr>
        <w:t xml:space="preserve"> data. These steps included:</w:t>
      </w:r>
    </w:p>
    <w:p w14:paraId="06252A24" w14:textId="77777777" w:rsidR="001C068B" w:rsidRPr="00C6470A" w:rsidRDefault="001C068B" w:rsidP="00C6470A">
      <w:pPr>
        <w:pStyle w:val="ListParagraph"/>
        <w:numPr>
          <w:ilvl w:val="0"/>
          <w:numId w:val="12"/>
        </w:numPr>
        <w:spacing w:before="0" w:after="120"/>
        <w:ind w:left="714" w:hanging="357"/>
        <w:contextualSpacing w:val="0"/>
        <w:rPr>
          <w:rFonts w:ascii="Calibri" w:eastAsia="Calibri" w:hAnsi="Calibri" w:cs="Times New Roman"/>
          <w:color w:val="000000" w:themeColor="text1"/>
        </w:rPr>
      </w:pPr>
      <w:r w:rsidRPr="00C6470A">
        <w:rPr>
          <w:rFonts w:ascii="Calibri" w:eastAsia="Calibri" w:hAnsi="Calibri" w:cs="Times New Roman"/>
          <w:color w:val="000000" w:themeColor="text1"/>
        </w:rPr>
        <w:t xml:space="preserve">The development of a semi-automated qualitative method to delineate river plumes (full extent) and river plume water types (Primary, Secondary, and Tertiary) using two types of Moderate Resolution Imaging Spectroradiometer (MODIS) imagery: (i) true color (TC) data (Álvarez-Romero et al., 2013; Devlin et al., 2013a) and (ii) MODIS Level 2 (L2; i.e., geophysical) data and WQ thresholds (Devlin et al., 2013a). Outputs from both methods were compared in Devlin et al. (2015), and the report concluded that TC-derived remote sensing product should be used rather than L2-derived products, because accurate and validated bio-optical algorithms for the GBR where still in development. </w:t>
      </w:r>
    </w:p>
    <w:p w14:paraId="5ACE5083" w14:textId="77777777" w:rsidR="001C068B" w:rsidRPr="00C6470A" w:rsidRDefault="001C068B" w:rsidP="00C6470A">
      <w:pPr>
        <w:pStyle w:val="ListParagraph"/>
        <w:numPr>
          <w:ilvl w:val="0"/>
          <w:numId w:val="12"/>
        </w:numPr>
        <w:spacing w:before="0" w:after="120"/>
        <w:ind w:left="714" w:hanging="357"/>
        <w:contextualSpacing w:val="0"/>
        <w:rPr>
          <w:rFonts w:ascii="Calibri" w:eastAsia="Calibri" w:hAnsi="Calibri" w:cs="Times New Roman"/>
          <w:color w:val="000000" w:themeColor="text1"/>
        </w:rPr>
      </w:pPr>
      <w:r w:rsidRPr="00C6470A">
        <w:rPr>
          <w:rFonts w:ascii="Calibri" w:eastAsia="Calibri" w:hAnsi="Calibri" w:cs="Times New Roman"/>
          <w:color w:val="000000" w:themeColor="text1"/>
        </w:rPr>
        <w:t>The development of an innovative satellite method to map the discharge and dispersal of TSS and DIN in the coastal/marine environment (Álvarez-Romero</w:t>
      </w:r>
      <w:r w:rsidR="00C6470A" w:rsidRPr="00C6470A">
        <w:rPr>
          <w:rFonts w:ascii="Calibri" w:eastAsia="Calibri" w:hAnsi="Calibri" w:cs="Times New Roman"/>
          <w:color w:val="000000" w:themeColor="text1"/>
        </w:rPr>
        <w:t xml:space="preserve"> et al.</w:t>
      </w:r>
      <w:r w:rsidRPr="00C6470A">
        <w:rPr>
          <w:rFonts w:ascii="Calibri" w:eastAsia="Calibri" w:hAnsi="Calibri" w:cs="Times New Roman"/>
          <w:color w:val="000000" w:themeColor="text1"/>
        </w:rPr>
        <w:t>, 2013). This method incorporated TC-derived products and spatially distributed load data to produce TSS and DIN load maps (previously called exposure maps in Álvarez-Romero</w:t>
      </w:r>
      <w:r w:rsidR="00C6470A" w:rsidRPr="00C6470A">
        <w:rPr>
          <w:rFonts w:ascii="Calibri" w:eastAsia="Calibri" w:hAnsi="Calibri" w:cs="Times New Roman"/>
          <w:color w:val="000000" w:themeColor="text1"/>
        </w:rPr>
        <w:t xml:space="preserve"> et al.</w:t>
      </w:r>
      <w:r w:rsidRPr="00C6470A">
        <w:rPr>
          <w:rFonts w:ascii="Calibri" w:eastAsia="Calibri" w:hAnsi="Calibri" w:cs="Times New Roman"/>
          <w:color w:val="000000" w:themeColor="text1"/>
        </w:rPr>
        <w:t>, 2013) from 2007 to 2011 (2012 and 2013 load data were not yet available at the time of this report). Maps produced from this method are referred as “load maps”.</w:t>
      </w:r>
    </w:p>
    <w:p w14:paraId="37F39C97" w14:textId="77777777" w:rsidR="001C068B" w:rsidRPr="00C6470A" w:rsidRDefault="001C068B" w:rsidP="00C6470A">
      <w:pPr>
        <w:numPr>
          <w:ilvl w:val="0"/>
          <w:numId w:val="12"/>
        </w:numPr>
        <w:spacing w:before="0" w:after="120"/>
        <w:ind w:left="714" w:hanging="357"/>
      </w:pPr>
      <w:r w:rsidRPr="00C6470A">
        <w:rPr>
          <w:rFonts w:ascii="Calibri" w:eastAsia="Calibri" w:hAnsi="Calibri" w:cs="Times New Roman"/>
          <w:color w:val="000000" w:themeColor="text1"/>
        </w:rPr>
        <w:t xml:space="preserve">The exploration of the potential of using MODIS images to produce potential risk maps from river plume exposure for GBR reef and seagrass ecosystems following theories published in Petus et al., (2014b) . The term ‘potential’ was used as the simplified risk framework proposed was not validated against ecological health data. The need to refine the scoring system of the risk framework based on information on long term WQ in and across river plumes, as well as measured health impacts on ecosystem health during high flow periods was underlined in Devlin et al. (in </w:t>
      </w:r>
      <w:r w:rsidR="00C6470A">
        <w:rPr>
          <w:rFonts w:ascii="Calibri" w:eastAsia="Calibri" w:hAnsi="Calibri" w:cs="Times New Roman"/>
          <w:color w:val="000000" w:themeColor="text1"/>
        </w:rPr>
        <w:t>p</w:t>
      </w:r>
      <w:r w:rsidRPr="00C6470A">
        <w:rPr>
          <w:rFonts w:ascii="Calibri" w:eastAsia="Calibri" w:hAnsi="Calibri" w:cs="Times New Roman"/>
          <w:color w:val="000000" w:themeColor="text1"/>
        </w:rPr>
        <w:t xml:space="preserve">ress). </w:t>
      </w:r>
    </w:p>
    <w:p w14:paraId="2DE30D01" w14:textId="05DE9208" w:rsidR="001C068B" w:rsidRPr="00C77C3C" w:rsidRDefault="001C068B" w:rsidP="00A24E43">
      <w:pPr>
        <w:spacing w:after="120"/>
        <w:contextualSpacing/>
        <w:rPr>
          <w:rFonts w:eastAsia="Calibri"/>
          <w:lang w:eastAsia="en-US"/>
        </w:rPr>
      </w:pPr>
      <w:r w:rsidRPr="00A24E43">
        <w:t xml:space="preserve">Our efforts to improve remote sensing methods are continuing and this MMP report in </w:t>
      </w:r>
      <w:r w:rsidR="005006CE" w:rsidRPr="00A24E43">
        <w:t>2013-2014</w:t>
      </w:r>
      <w:r w:rsidRPr="00A24E43">
        <w:t xml:space="preserve"> builds on methods and framework developed in the 2012-</w:t>
      </w:r>
      <w:r w:rsidR="00162238" w:rsidRPr="00A24E43">
        <w:t>20</w:t>
      </w:r>
      <w:r w:rsidRPr="00A24E43">
        <w:t>13 repo</w:t>
      </w:r>
      <w:r w:rsidR="00A24E43">
        <w:t>rt. Our efforts have focused on i</w:t>
      </w:r>
      <w:r w:rsidR="00A24E43">
        <w:rPr>
          <w:rFonts w:ascii="Calibri" w:eastAsia="Calibri" w:hAnsi="Calibri" w:cs="Times New Roman"/>
          <w:color w:val="000000" w:themeColor="text1"/>
        </w:rPr>
        <w:t>mproving and fully automating</w:t>
      </w:r>
      <w:r w:rsidRPr="00C6470A">
        <w:rPr>
          <w:rFonts w:ascii="Calibri" w:eastAsia="Calibri" w:hAnsi="Calibri" w:cs="Times New Roman"/>
          <w:color w:val="000000" w:themeColor="text1"/>
        </w:rPr>
        <w:t xml:space="preserve"> the production of</w:t>
      </w:r>
      <w:r w:rsidR="00A24E43">
        <w:rPr>
          <w:rFonts w:ascii="Calibri" w:eastAsia="Calibri" w:hAnsi="Calibri" w:cs="Times New Roman"/>
          <w:color w:val="000000" w:themeColor="text1"/>
        </w:rPr>
        <w:t xml:space="preserve"> pollutants load maps (TSS, DIN) (</w:t>
      </w:r>
      <w:r w:rsidRPr="00C6470A">
        <w:rPr>
          <w:rFonts w:ascii="Calibri" w:eastAsia="Calibri" w:hAnsi="Calibri" w:cs="Times New Roman"/>
          <w:color w:val="000000" w:themeColor="text1"/>
        </w:rPr>
        <w:t>Álvarez-Romero</w:t>
      </w:r>
      <w:r w:rsidR="00C6470A" w:rsidRPr="00C6470A">
        <w:rPr>
          <w:rFonts w:ascii="Calibri" w:eastAsia="Calibri" w:hAnsi="Calibri" w:cs="Times New Roman"/>
          <w:color w:val="000000" w:themeColor="text1"/>
        </w:rPr>
        <w:t xml:space="preserve"> et al.</w:t>
      </w:r>
      <w:r w:rsidR="00A24E43">
        <w:rPr>
          <w:rFonts w:ascii="Calibri" w:eastAsia="Calibri" w:hAnsi="Calibri" w:cs="Times New Roman"/>
          <w:color w:val="000000" w:themeColor="text1"/>
        </w:rPr>
        <w:t>, 2013), and improving</w:t>
      </w:r>
      <w:r w:rsidRPr="00C6470A">
        <w:rPr>
          <w:rFonts w:ascii="Calibri" w:eastAsia="Calibri" w:hAnsi="Calibri" w:cs="Times New Roman"/>
          <w:color w:val="000000" w:themeColor="text1"/>
        </w:rPr>
        <w:t xml:space="preserve"> our capacity to monitor the exposure of GBR ecosystems to risk from river plumes exposure using the using remote sensing products developed. We mainly worked toward a better understanding of the averaged WQ concentratio</w:t>
      </w:r>
      <w:r w:rsidR="00A24E43">
        <w:rPr>
          <w:rFonts w:ascii="Calibri" w:eastAsia="Calibri" w:hAnsi="Calibri" w:cs="Times New Roman"/>
          <w:color w:val="000000" w:themeColor="text1"/>
        </w:rPr>
        <w:t>ns across the plume water types in this period.</w:t>
      </w:r>
      <w:r w:rsidRPr="00C6470A">
        <w:rPr>
          <w:rFonts w:ascii="Calibri" w:eastAsia="Calibri" w:hAnsi="Calibri" w:cs="Times New Roman"/>
          <w:color w:val="000000" w:themeColor="text1"/>
        </w:rPr>
        <w:t xml:space="preserve"> </w:t>
      </w:r>
      <w:bookmarkEnd w:id="71"/>
    </w:p>
    <w:p w14:paraId="7A76AB6A" w14:textId="77777777" w:rsidR="00EB332C" w:rsidRDefault="00EB332C" w:rsidP="00EB332C"/>
    <w:p w14:paraId="359AE95C" w14:textId="77777777" w:rsidR="00482CB4" w:rsidRPr="000054D1" w:rsidRDefault="00482CB4" w:rsidP="00EB332C">
      <w:pPr>
        <w:sectPr w:rsidR="00482CB4" w:rsidRPr="000054D1" w:rsidSect="00A564D7">
          <w:headerReference w:type="default" r:id="rId45"/>
          <w:pgSz w:w="11907" w:h="16840" w:code="9"/>
          <w:pgMar w:top="1440" w:right="1440" w:bottom="1440" w:left="1440" w:header="680" w:footer="851" w:gutter="0"/>
          <w:cols w:space="708"/>
          <w:docGrid w:linePitch="326"/>
        </w:sectPr>
      </w:pPr>
    </w:p>
    <w:p w14:paraId="12F73EF9" w14:textId="77777777" w:rsidR="00EF30CA" w:rsidRPr="00FB5AAA" w:rsidRDefault="00482CB4" w:rsidP="00A76577">
      <w:pPr>
        <w:pStyle w:val="Heading1"/>
        <w:numPr>
          <w:ilvl w:val="0"/>
          <w:numId w:val="3"/>
        </w:numPr>
        <w:spacing w:after="240" w:line="80" w:lineRule="atLeast"/>
        <w:rPr>
          <w:caps w:val="0"/>
        </w:rPr>
      </w:pPr>
      <w:bookmarkStart w:id="72" w:name="_Toc443299467"/>
      <w:bookmarkStart w:id="73" w:name="_Toc443299680"/>
      <w:bookmarkStart w:id="74" w:name="_Toc454304700"/>
      <w:r w:rsidRPr="00FB5AAA">
        <w:rPr>
          <w:caps w:val="0"/>
        </w:rPr>
        <w:lastRenderedPageBreak/>
        <w:t>Characteristics of th</w:t>
      </w:r>
      <w:r w:rsidR="005306FA">
        <w:rPr>
          <w:caps w:val="0"/>
        </w:rPr>
        <w:t>e 2013-2014</w:t>
      </w:r>
      <w:r w:rsidRPr="00FB5AAA">
        <w:rPr>
          <w:caps w:val="0"/>
        </w:rPr>
        <w:t xml:space="preserve"> wet season</w:t>
      </w:r>
      <w:bookmarkEnd w:id="72"/>
      <w:bookmarkEnd w:id="73"/>
      <w:bookmarkEnd w:id="74"/>
    </w:p>
    <w:p w14:paraId="3237940D" w14:textId="77777777" w:rsidR="008D3A01" w:rsidRDefault="00482CB4" w:rsidP="00B46AF9">
      <w:pPr>
        <w:pStyle w:val="Heading2"/>
        <w:numPr>
          <w:ilvl w:val="1"/>
          <w:numId w:val="3"/>
        </w:numPr>
      </w:pPr>
      <w:bookmarkStart w:id="75" w:name="_Toc443299468"/>
      <w:bookmarkStart w:id="76" w:name="_Toc443299681"/>
      <w:bookmarkStart w:id="77" w:name="_Toc454304701"/>
      <w:r>
        <w:t>Wet Season conditions</w:t>
      </w:r>
      <w:bookmarkEnd w:id="75"/>
      <w:bookmarkEnd w:id="76"/>
      <w:bookmarkEnd w:id="77"/>
    </w:p>
    <w:p w14:paraId="1937760A" w14:textId="19886122" w:rsidR="005306FA" w:rsidRDefault="005306FA" w:rsidP="002D1F86">
      <w:r w:rsidRPr="00FF78D9">
        <w:t xml:space="preserve">The wet season 2014 was characterised by neutral (neither El Niño nor La Niña) climatic conditions and tropical cyclone activity for the </w:t>
      </w:r>
      <w:r w:rsidR="005006CE">
        <w:t>2013-2014</w:t>
      </w:r>
      <w:r w:rsidRPr="00FF78D9">
        <w:t xml:space="preserve"> wet season was near average the typical cyclone season activity of Queensland. After a late start to the wet season, Queensland’s NRM regions experienced two minor flood events around the 26 January to 17</w:t>
      </w:r>
      <w:r w:rsidR="00C6470A">
        <w:t xml:space="preserve"> </w:t>
      </w:r>
      <w:r w:rsidRPr="00FF78D9">
        <w:t xml:space="preserve">February and around 19 March to 6 April </w:t>
      </w:r>
      <w:r w:rsidR="00C6470A">
        <w:t xml:space="preserve">2014 </w:t>
      </w:r>
      <w:r w:rsidRPr="00FF78D9">
        <w:t xml:space="preserve">as well as a more important flood event under the influence of Tropical Cyclone Ita which developed </w:t>
      </w:r>
      <w:r w:rsidR="009935EC">
        <w:t xml:space="preserve">in </w:t>
      </w:r>
      <w:r w:rsidR="00BE1A79">
        <w:t xml:space="preserve">the northern GBR in </w:t>
      </w:r>
      <w:r w:rsidR="009935EC">
        <w:t>mid-</w:t>
      </w:r>
      <w:r w:rsidRPr="00FF78D9">
        <w:t>April</w:t>
      </w:r>
      <w:r>
        <w:t xml:space="preserve"> 2014. Cyclone Ita reached </w:t>
      </w:r>
      <w:r w:rsidRPr="00FF78D9">
        <w:t xml:space="preserve">Category 5 severe tropical cyclone early on </w:t>
      </w:r>
      <w:r w:rsidR="00C6470A">
        <w:t xml:space="preserve">11 </w:t>
      </w:r>
      <w:r w:rsidRPr="00FF78D9">
        <w:t>April</w:t>
      </w:r>
      <w:r>
        <w:t xml:space="preserve"> 2014</w:t>
      </w:r>
      <w:r w:rsidR="00BE1A79">
        <w:t xml:space="preserve"> and w</w:t>
      </w:r>
      <w:r w:rsidRPr="00FF78D9">
        <w:t xml:space="preserve">inds were estimated to have reached 215 km/h (130 mph). The storm weakened before making </w:t>
      </w:r>
      <w:hyperlink r:id="rId46" w:tooltip="Landfall (meteorology)" w:history="1">
        <w:r w:rsidRPr="00FF78D9">
          <w:t>landfall</w:t>
        </w:r>
      </w:hyperlink>
      <w:r w:rsidRPr="00FF78D9">
        <w:t xml:space="preserve"> near </w:t>
      </w:r>
      <w:hyperlink r:id="rId47" w:tooltip="Cape Flattery (Queensland)" w:history="1">
        <w:r w:rsidRPr="00FF78D9">
          <w:t>Cape Flattery</w:t>
        </w:r>
      </w:hyperlink>
      <w:r w:rsidRPr="00FF78D9">
        <w:t xml:space="preserve"> as a Category 4 </w:t>
      </w:r>
      <w:r w:rsidR="00BE1A79">
        <w:t xml:space="preserve">cyclone </w:t>
      </w:r>
      <w:r w:rsidRPr="00FF78D9">
        <w:t>later on</w:t>
      </w:r>
      <w:r w:rsidR="00A12002">
        <w:t xml:space="preserve"> </w:t>
      </w:r>
      <w:r w:rsidR="00C6470A">
        <w:t xml:space="preserve">11 </w:t>
      </w:r>
      <w:r w:rsidRPr="00FF78D9">
        <w:t>April</w:t>
      </w:r>
      <w:r w:rsidR="00C6470A">
        <w:t xml:space="preserve"> 2014</w:t>
      </w:r>
      <w:r w:rsidRPr="00FF78D9">
        <w:t xml:space="preserve">. The greatest impact from Ita resulted from heavy rains, with many areas receiving up to 300 mm in 24 hours. </w:t>
      </w:r>
      <w:hyperlink r:id="rId48" w:tooltip="Cardwell, Queensland" w:history="1">
        <w:r w:rsidRPr="00FF78D9">
          <w:t>Cardwell</w:t>
        </w:r>
      </w:hyperlink>
      <w:r w:rsidRPr="00FF78D9">
        <w:t xml:space="preserve"> reported 307 mm of rain in 24 hours, while in </w:t>
      </w:r>
      <w:hyperlink r:id="rId49" w:tooltip="Tully, Queensland" w:history="1">
        <w:r w:rsidRPr="00FF78D9">
          <w:t>Tully</w:t>
        </w:r>
      </w:hyperlink>
      <w:r w:rsidRPr="00FF78D9">
        <w:t xml:space="preserve"> 312 mm of rain fell over two days, causing moderate flooding in both towns. In </w:t>
      </w:r>
      <w:hyperlink r:id="rId50" w:tooltip="Bowen, Queensland" w:history="1">
        <w:r w:rsidRPr="00FF78D9">
          <w:t>Bowen</w:t>
        </w:r>
      </w:hyperlink>
      <w:r w:rsidRPr="00FF78D9">
        <w:t xml:space="preserve">, 110 mm fell in one-hour, triggering a </w:t>
      </w:r>
      <w:hyperlink r:id="rId51" w:tooltip="Flash flood" w:history="1">
        <w:r w:rsidRPr="00FF78D9">
          <w:t>flash flood</w:t>
        </w:r>
      </w:hyperlink>
      <w:r w:rsidRPr="00FF78D9">
        <w:t xml:space="preserve"> through the town</w:t>
      </w:r>
      <w:r>
        <w:t>’</w:t>
      </w:r>
      <w:r w:rsidRPr="00FF78D9">
        <w:t xml:space="preserve">s main street. Cooktown received 198 mm of rain over a three-day span. The </w:t>
      </w:r>
      <w:hyperlink r:id="rId52" w:tooltip="Daintree River" w:history="1">
        <w:r w:rsidRPr="00FF78D9">
          <w:t>Daintree</w:t>
        </w:r>
      </w:hyperlink>
      <w:r w:rsidRPr="00FF78D9">
        <w:t xml:space="preserve">, </w:t>
      </w:r>
      <w:hyperlink r:id="rId53" w:tooltip="Mulgrave River" w:history="1">
        <w:r w:rsidRPr="00FF78D9">
          <w:t>Mulgrave</w:t>
        </w:r>
      </w:hyperlink>
      <w:r w:rsidRPr="00FF78D9">
        <w:t xml:space="preserve">, </w:t>
      </w:r>
      <w:hyperlink r:id="rId54" w:tooltip="Haughton River" w:history="1">
        <w:r w:rsidRPr="00FF78D9">
          <w:t>Haughton</w:t>
        </w:r>
      </w:hyperlink>
      <w:r w:rsidRPr="00FF78D9">
        <w:t xml:space="preserve">, and </w:t>
      </w:r>
      <w:hyperlink r:id="rId55" w:tooltip="Herbert River" w:history="1">
        <w:r w:rsidRPr="00FF78D9">
          <w:t>Herbert</w:t>
        </w:r>
      </w:hyperlink>
      <w:r w:rsidRPr="00FF78D9">
        <w:t xml:space="preserve"> rivers all experienced major flooding. </w:t>
      </w:r>
      <w:hyperlink r:id="rId56" w:tooltip="Townsville" w:history="1">
        <w:r w:rsidRPr="00FF78D9">
          <w:t>Townsville</w:t>
        </w:r>
      </w:hyperlink>
      <w:r w:rsidRPr="00FF78D9">
        <w:t xml:space="preserve"> reported 214 mm of rain and wind gusts of up to 93 km/h (58 mph) causing only minor damage.</w:t>
      </w:r>
    </w:p>
    <w:p w14:paraId="7FB823C3" w14:textId="2EFC2F4C" w:rsidR="001763D2" w:rsidRDefault="00A24E43" w:rsidP="002D1F86">
      <w:r>
        <w:rPr>
          <w:noProof/>
        </w:rPr>
        <w:drawing>
          <wp:anchor distT="0" distB="0" distL="114300" distR="114300" simplePos="0" relativeHeight="251806720" behindDoc="0" locked="0" layoutInCell="1" allowOverlap="1" wp14:anchorId="55CF5D1F" wp14:editId="2E8C0686">
            <wp:simplePos x="0" y="0"/>
            <wp:positionH relativeFrom="margin">
              <wp:posOffset>885825</wp:posOffset>
            </wp:positionH>
            <wp:positionV relativeFrom="paragraph">
              <wp:posOffset>1738630</wp:posOffset>
            </wp:positionV>
            <wp:extent cx="3139440" cy="2461260"/>
            <wp:effectExtent l="0" t="0" r="3810" b="0"/>
            <wp:wrapTopAndBottom/>
            <wp:docPr id="57" name="Picture 57" descr="Long-term total hydrological year discharge (c.a., Oct-1 to Sep-30) for the main GBR Rivers (Source: DNRM, http://watermonitoring.dnrm.qld.gov.au/host.htm)." title="Long-term total hydrological year discharge (c.a., Oct-1 to Sep-30) for the main GBR River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DD2ECF5-3236-4E96-BBAF-5535FD59E0B8" descr="cid:6518C05D-FA54-465E-A48E-11094D7E8CAF"/>
                    <pic:cNvPicPr>
                      <a:picLocks noChangeAspect="1" noChangeArrowheads="1"/>
                    </pic:cNvPicPr>
                  </pic:nvPicPr>
                  <pic:blipFill>
                    <a:blip r:embed="rId57" r:link="rId58" cstate="screen">
                      <a:extLst>
                        <a:ext uri="{28A0092B-C50C-407E-A947-70E740481C1C}">
                          <a14:useLocalDpi xmlns:a14="http://schemas.microsoft.com/office/drawing/2010/main" val="0"/>
                        </a:ext>
                      </a:extLst>
                    </a:blip>
                    <a:srcRect/>
                    <a:stretch>
                      <a:fillRect/>
                    </a:stretch>
                  </pic:blipFill>
                  <pic:spPr bwMode="auto">
                    <a:xfrm>
                      <a:off x="0" y="0"/>
                      <a:ext cx="3139440" cy="2461260"/>
                    </a:xfrm>
                    <a:prstGeom prst="rect">
                      <a:avLst/>
                    </a:prstGeom>
                    <a:noFill/>
                    <a:ln>
                      <a:noFill/>
                    </a:ln>
                  </pic:spPr>
                </pic:pic>
              </a:graphicData>
            </a:graphic>
            <wp14:sizeRelH relativeFrom="page">
              <wp14:pctWidth>0</wp14:pctWidth>
            </wp14:sizeRelH>
            <wp14:sizeRelV relativeFrom="page">
              <wp14:pctHeight>0</wp14:pctHeight>
            </wp14:sizeRelV>
          </wp:anchor>
        </w:drawing>
      </w:r>
      <w:r w:rsidR="001763D2" w:rsidRPr="00506D1E">
        <w:t xml:space="preserve">This sampling period was </w:t>
      </w:r>
      <w:r w:rsidR="001763D2">
        <w:t xml:space="preserve">also </w:t>
      </w:r>
      <w:r w:rsidR="001763D2" w:rsidRPr="00506D1E">
        <w:t>characterised by a late wet season start (mid-January) and many moderate episodic flows. The passage of Ex-tropical cyclone Ita produced an increased signal on the flow records for the Normanby, Russell-Mulgrave and Herbert Rivers, but it did not imprint a strong signal on the Tully River discharge records. Overall, the GBR Rive</w:t>
      </w:r>
      <w:r w:rsidR="00554012">
        <w:t>rs discharge was not characteris</w:t>
      </w:r>
      <w:r w:rsidR="001763D2" w:rsidRPr="00506D1E">
        <w:t>ed by intense floods such as that which occurred in 2010-</w:t>
      </w:r>
      <w:r w:rsidR="005006CE">
        <w:t>20</w:t>
      </w:r>
      <w:r w:rsidR="001763D2" w:rsidRPr="00506D1E">
        <w:t xml:space="preserve">11, placing the </w:t>
      </w:r>
      <w:r w:rsidR="005006CE">
        <w:t>2013-2014</w:t>
      </w:r>
      <w:r w:rsidR="001763D2" w:rsidRPr="00506D1E">
        <w:t xml:space="preserve"> wet season in the 6</w:t>
      </w:r>
      <w:r w:rsidR="001763D2" w:rsidRPr="007B57B2">
        <w:rPr>
          <w:vertAlign w:val="superscript"/>
        </w:rPr>
        <w:t>th</w:t>
      </w:r>
      <w:r w:rsidR="001763D2" w:rsidRPr="00506D1E">
        <w:t xml:space="preserve"> smallest discharges (approximately </w:t>
      </w:r>
      <w:r w:rsidR="001763D2">
        <w:t>23</w:t>
      </w:r>
      <w:r w:rsidR="001763D2" w:rsidRPr="00506D1E">
        <w:t>×10</w:t>
      </w:r>
      <w:r w:rsidR="001763D2" w:rsidRPr="007B57B2">
        <w:rPr>
          <w:vertAlign w:val="superscript"/>
        </w:rPr>
        <w:t>6</w:t>
      </w:r>
      <w:r w:rsidR="001763D2" w:rsidRPr="00506D1E">
        <w:t xml:space="preserve"> megalitres) over the last 14 years. The total wet season flow (c.a., from </w:t>
      </w:r>
      <w:r w:rsidR="00C6470A">
        <w:t>1 Nov 2013</w:t>
      </w:r>
      <w:r w:rsidR="001763D2" w:rsidRPr="00506D1E">
        <w:t xml:space="preserve"> to </w:t>
      </w:r>
      <w:r w:rsidR="00C6470A">
        <w:t xml:space="preserve">30 </w:t>
      </w:r>
      <w:r w:rsidR="001763D2" w:rsidRPr="00506D1E">
        <w:t>Apr</w:t>
      </w:r>
      <w:r w:rsidR="00C6470A">
        <w:t xml:space="preserve"> 2014</w:t>
      </w:r>
      <w:r w:rsidR="001763D2" w:rsidRPr="00506D1E">
        <w:t>) shows that river discharge into the GBR has returned to the levels experienced in the period between 2000 and 2007 (Fig</w:t>
      </w:r>
      <w:r w:rsidR="001763D2">
        <w:t>ure</w:t>
      </w:r>
      <w:r w:rsidR="001763D2" w:rsidRPr="00506D1E">
        <w:t xml:space="preserve"> </w:t>
      </w:r>
      <w:r w:rsidR="001763D2">
        <w:t>3</w:t>
      </w:r>
      <w:r w:rsidR="001763D2" w:rsidRPr="00506D1E">
        <w:t>-1).</w:t>
      </w:r>
    </w:p>
    <w:p w14:paraId="03F13C5A" w14:textId="77777777" w:rsidR="00DC49FE" w:rsidRDefault="00DC49FE" w:rsidP="00A24E43">
      <w:pPr>
        <w:pStyle w:val="Caption"/>
      </w:pPr>
      <w:bookmarkStart w:id="78" w:name="_Ref428870848"/>
      <w:bookmarkStart w:id="79" w:name="_Toc454303900"/>
    </w:p>
    <w:p w14:paraId="1F167842" w14:textId="1DC31FB4" w:rsidR="00A24E43" w:rsidRPr="00482CB4" w:rsidRDefault="00A24E43" w:rsidP="00A24E43">
      <w:pPr>
        <w:pStyle w:val="Caption"/>
      </w:pPr>
      <w:r>
        <w:t xml:space="preserve">Figure </w:t>
      </w:r>
      <w:r>
        <w:fldChar w:fldCharType="begin"/>
      </w:r>
      <w:r>
        <w:instrText xml:space="preserve"> STYLEREF 1 \s </w:instrText>
      </w:r>
      <w:r>
        <w:fldChar w:fldCharType="separate"/>
      </w:r>
      <w:r w:rsidR="000E22F3">
        <w:rPr>
          <w:noProof/>
        </w:rPr>
        <w:t>3</w:t>
      </w:r>
      <w:r>
        <w:fldChar w:fldCharType="end"/>
      </w:r>
      <w:r>
        <w:noBreakHyphen/>
      </w:r>
      <w:r>
        <w:fldChar w:fldCharType="begin"/>
      </w:r>
      <w:r>
        <w:instrText xml:space="preserve"> SEQ Figure \* ARABIC \s 1 </w:instrText>
      </w:r>
      <w:r>
        <w:fldChar w:fldCharType="separate"/>
      </w:r>
      <w:r w:rsidR="000E22F3">
        <w:rPr>
          <w:noProof/>
        </w:rPr>
        <w:t>1</w:t>
      </w:r>
      <w:r>
        <w:fldChar w:fldCharType="end"/>
      </w:r>
      <w:bookmarkEnd w:id="78"/>
      <w:r>
        <w:t xml:space="preserve">: </w:t>
      </w:r>
      <w:r w:rsidRPr="00482CB4">
        <w:t xml:space="preserve">Long-term total hydrological year discharge (c.a., Oct-1 to Sep-30) for the main GBR Rivers (Source: DNRM, </w:t>
      </w:r>
      <w:hyperlink r:id="rId59" w:history="1">
        <w:r w:rsidRPr="00482CB4">
          <w:rPr>
            <w:rStyle w:val="Hyperlink"/>
            <w:rFonts w:cs="Arial"/>
          </w:rPr>
          <w:t>http://watermonitoring.dnrm.qld.gov.au/host.htm</w:t>
        </w:r>
      </w:hyperlink>
      <w:r w:rsidRPr="00482CB4">
        <w:t>).</w:t>
      </w:r>
      <w:bookmarkEnd w:id="79"/>
    </w:p>
    <w:p w14:paraId="731FBFD5" w14:textId="365A59EB" w:rsidR="00CF3853" w:rsidRDefault="001763D2" w:rsidP="009A2F45">
      <w:r w:rsidRPr="00B433B0">
        <w:rPr>
          <w:lang w:val="en-US"/>
        </w:rPr>
        <w:t xml:space="preserve">The passage of </w:t>
      </w:r>
      <w:r w:rsidR="00211E84">
        <w:rPr>
          <w:lang w:val="en-US"/>
        </w:rPr>
        <w:t>Ex-tropical C</w:t>
      </w:r>
      <w:r w:rsidR="00211E84" w:rsidRPr="00A97E1F">
        <w:rPr>
          <w:lang w:val="en-US"/>
        </w:rPr>
        <w:t xml:space="preserve">yclone Ita </w:t>
      </w:r>
      <w:r w:rsidRPr="00B433B0">
        <w:rPr>
          <w:lang w:val="en-US"/>
        </w:rPr>
        <w:t>led to moderate flows in the Wet Tropics in what was otherwise a relatively low flow year, which was associated with moderate to high TSS loads being dispersed into the GBR lagoon in the Wet Tropics NRM region, particularly out of the Herbert River.</w:t>
      </w:r>
      <w:r>
        <w:rPr>
          <w:lang w:val="en-US"/>
        </w:rPr>
        <w:t xml:space="preserve"> </w:t>
      </w:r>
      <w:r w:rsidRPr="00B433B0">
        <w:rPr>
          <w:lang w:val="en-US"/>
        </w:rPr>
        <w:lastRenderedPageBreak/>
        <w:t xml:space="preserve">The passage of Ex-tropical cyclone Ita produced an increased signal on the flow records for the Normanby, Russell-Mulgrave and Herbert Rivers, but it did not </w:t>
      </w:r>
      <w:r w:rsidR="00A24E43">
        <w:rPr>
          <w:lang w:val="en-US"/>
        </w:rPr>
        <w:t>affect</w:t>
      </w:r>
      <w:r w:rsidRPr="00B433B0">
        <w:rPr>
          <w:lang w:val="en-US"/>
        </w:rPr>
        <w:t xml:space="preserve"> the Tully River discharge records. The Daintree</w:t>
      </w:r>
      <w:r w:rsidR="002D1F86">
        <w:rPr>
          <w:lang w:val="en-US"/>
        </w:rPr>
        <w:t xml:space="preserve"> River</w:t>
      </w:r>
      <w:r w:rsidRPr="00B433B0">
        <w:rPr>
          <w:lang w:val="en-US"/>
        </w:rPr>
        <w:t xml:space="preserve"> was the only main river that experienced discharge exceedin</w:t>
      </w:r>
      <w:r w:rsidR="00211E84">
        <w:rPr>
          <w:lang w:val="en-US"/>
        </w:rPr>
        <w:t>g &gt;2 times the long-term median (Table 3-1).</w:t>
      </w:r>
      <w:bookmarkStart w:id="80" w:name="_Toc416533850"/>
    </w:p>
    <w:p w14:paraId="240F31D0" w14:textId="77777777" w:rsidR="00330E11" w:rsidRDefault="00330E11" w:rsidP="00330E11">
      <w:pPr>
        <w:pStyle w:val="Caption"/>
        <w:sectPr w:rsidR="00330E11" w:rsidSect="00571B6D">
          <w:headerReference w:type="default" r:id="rId60"/>
          <w:footerReference w:type="default" r:id="rId61"/>
          <w:pgSz w:w="11907" w:h="16840" w:code="9"/>
          <w:pgMar w:top="1440" w:right="1440" w:bottom="1440" w:left="1440" w:header="680" w:footer="851" w:gutter="0"/>
          <w:cols w:space="708"/>
          <w:docGrid w:linePitch="326"/>
        </w:sectPr>
      </w:pPr>
      <w:bookmarkStart w:id="81" w:name="_Ref428870999"/>
    </w:p>
    <w:p w14:paraId="75F6AD89" w14:textId="5C89EEE6" w:rsidR="00330E11" w:rsidRPr="00162238" w:rsidRDefault="00330E11" w:rsidP="00162238">
      <w:pPr>
        <w:pStyle w:val="Caption"/>
        <w:rPr>
          <w:rFonts w:cs="Arial"/>
          <w:sz w:val="20"/>
        </w:rPr>
      </w:pPr>
      <w:bookmarkStart w:id="82" w:name="_Toc454304604"/>
      <w:r w:rsidRPr="00162238">
        <w:rPr>
          <w:sz w:val="20"/>
        </w:rPr>
        <w:lastRenderedPageBreak/>
        <w:t xml:space="preserve">Table </w:t>
      </w:r>
      <w:r w:rsidR="00445BD2" w:rsidRPr="00162238">
        <w:rPr>
          <w:sz w:val="20"/>
        </w:rPr>
        <w:fldChar w:fldCharType="begin"/>
      </w:r>
      <w:r w:rsidR="00445BD2" w:rsidRPr="00162238">
        <w:rPr>
          <w:sz w:val="20"/>
        </w:rPr>
        <w:instrText xml:space="preserve"> STYLEREF 1 \s </w:instrText>
      </w:r>
      <w:r w:rsidR="00445BD2" w:rsidRPr="00162238">
        <w:rPr>
          <w:sz w:val="20"/>
        </w:rPr>
        <w:fldChar w:fldCharType="separate"/>
      </w:r>
      <w:r w:rsidR="000E22F3">
        <w:rPr>
          <w:noProof/>
          <w:sz w:val="20"/>
        </w:rPr>
        <w:t>3</w:t>
      </w:r>
      <w:r w:rsidR="00445BD2" w:rsidRPr="00162238">
        <w:rPr>
          <w:sz w:val="20"/>
        </w:rPr>
        <w:fldChar w:fldCharType="end"/>
      </w:r>
      <w:r w:rsidR="00445BD2" w:rsidRPr="00162238">
        <w:rPr>
          <w:sz w:val="20"/>
        </w:rPr>
        <w:noBreakHyphen/>
      </w:r>
      <w:r w:rsidR="00445BD2" w:rsidRPr="00162238">
        <w:rPr>
          <w:sz w:val="20"/>
        </w:rPr>
        <w:fldChar w:fldCharType="begin"/>
      </w:r>
      <w:r w:rsidR="00445BD2" w:rsidRPr="00162238">
        <w:rPr>
          <w:sz w:val="20"/>
        </w:rPr>
        <w:instrText xml:space="preserve"> SEQ Table \* ARABIC \s 1 </w:instrText>
      </w:r>
      <w:r w:rsidR="00445BD2" w:rsidRPr="00162238">
        <w:rPr>
          <w:sz w:val="20"/>
        </w:rPr>
        <w:fldChar w:fldCharType="separate"/>
      </w:r>
      <w:r w:rsidR="000E22F3">
        <w:rPr>
          <w:noProof/>
          <w:sz w:val="20"/>
        </w:rPr>
        <w:t>1</w:t>
      </w:r>
      <w:r w:rsidR="00445BD2" w:rsidRPr="00162238">
        <w:rPr>
          <w:sz w:val="20"/>
        </w:rPr>
        <w:fldChar w:fldCharType="end"/>
      </w:r>
      <w:bookmarkEnd w:id="81"/>
      <w:r w:rsidRPr="00162238">
        <w:rPr>
          <w:sz w:val="20"/>
        </w:rPr>
        <w:t>: Long term river discharge (ML) statistics of GBR rivers for the 2012-201</w:t>
      </w:r>
      <w:r w:rsidR="00861681" w:rsidRPr="00162238">
        <w:rPr>
          <w:sz w:val="20"/>
        </w:rPr>
        <w:t>4</w:t>
      </w:r>
      <w:r w:rsidRPr="00162238">
        <w:rPr>
          <w:sz w:val="20"/>
        </w:rPr>
        <w:t xml:space="preserve"> hydrological year (c.a., Oct-1 to Sep-30), compared against the previous three hydrological years, and long-term (LT) medians, means and standard deviations (SD). Colours indicate levels above the </w:t>
      </w:r>
      <w:r w:rsidR="001850F0" w:rsidRPr="00162238">
        <w:rPr>
          <w:sz w:val="20"/>
        </w:rPr>
        <w:t>long-term</w:t>
      </w:r>
      <w:r w:rsidRPr="00162238">
        <w:rPr>
          <w:sz w:val="20"/>
        </w:rPr>
        <w:t xml:space="preserve"> median: yellow for 1.5 to 2 times; orange for 2 to 3 times, and red for greater than 3 times. Long term statistics were calculated based on a hydrological year taking into account measurements from 1915 to 2000. (Data source: DNRM).</w:t>
      </w:r>
      <w:r w:rsidRPr="00162238">
        <w:rPr>
          <w:rStyle w:val="FootnoteReference"/>
          <w:sz w:val="20"/>
        </w:rPr>
        <w:t xml:space="preserve"> </w:t>
      </w:r>
      <w:r w:rsidRPr="00162238">
        <w:rPr>
          <w:sz w:val="20"/>
        </w:rPr>
        <w:t xml:space="preserve"> </w:t>
      </w:r>
      <w:r w:rsidRPr="00162238">
        <w:rPr>
          <w:rFonts w:cs="Arial"/>
          <w:sz w:val="20"/>
        </w:rPr>
        <w:t>Discharge for Tully at Euramo station (113006A) for the dry season was estimated as 3.5941 times the Tully discharge at Gorge National Park station (113015A), based on a long-term discharge comparison for flows &lt; 20,000 ML/day (r-sq = 0.802).</w:t>
      </w:r>
      <w:bookmarkEnd w:id="82"/>
    </w:p>
    <w:tbl>
      <w:tblPr>
        <w:tblW w:w="5000" w:type="pct"/>
        <w:tblLook w:val="04A0" w:firstRow="1" w:lastRow="0" w:firstColumn="1" w:lastColumn="0" w:noHBand="0" w:noVBand="1"/>
        <w:tblCaption w:val="Long term river discharge (ML) statistics of GBR rivers for the 2012-2014 hydrological yea"/>
        <w:tblDescription w:val="Long term river discharge (ML) statistics of GBR rivers for the 2012-2014 hydrological year (c.a., Oct-1 to Sep-30), compared against the previous three hydrological years, and long-term (LT) medians, means and standard deviations (SD). Colours indicate levels above the long-term median: yellow for 1.5 to 2 times; orange for 2 to 3 times, and red for greater than 3 times. Long term statistics were calculated based on a hydrological year taking into account measurements from 1915 to 2000. (Data source: DNRM).  Discharge for Tully at Euramo station (113006A) for the dry season was estimated as 3.5941 times the Tully discharge at Gorge National Park station (113015A), based on a long-term discharge comparison for flows &lt; 20,000 ML/day (r-sq = 0.802)."/>
      </w:tblPr>
      <w:tblGrid>
        <w:gridCol w:w="1699"/>
        <w:gridCol w:w="2275"/>
        <w:gridCol w:w="1699"/>
        <w:gridCol w:w="1699"/>
        <w:gridCol w:w="1699"/>
        <w:gridCol w:w="1699"/>
        <w:gridCol w:w="1699"/>
        <w:gridCol w:w="1707"/>
      </w:tblGrid>
      <w:tr w:rsidR="00A12002" w:rsidRPr="00A12002" w14:paraId="46EF98EA" w14:textId="77777777" w:rsidTr="00533D6A">
        <w:trPr>
          <w:trHeight w:val="57"/>
        </w:trPr>
        <w:tc>
          <w:tcPr>
            <w:tcW w:w="599" w:type="pct"/>
            <w:tcBorders>
              <w:top w:val="single" w:sz="4" w:space="0" w:color="auto"/>
              <w:left w:val="nil"/>
              <w:bottom w:val="single" w:sz="4" w:space="0" w:color="auto"/>
              <w:right w:val="nil"/>
            </w:tcBorders>
            <w:shd w:val="clear" w:color="auto" w:fill="auto"/>
            <w:noWrap/>
            <w:vAlign w:val="bottom"/>
            <w:hideMark/>
          </w:tcPr>
          <w:p w14:paraId="136C4AB9" w14:textId="77777777" w:rsidR="00A12002" w:rsidRPr="00A12002" w:rsidRDefault="00A12002" w:rsidP="00A12002">
            <w:pPr>
              <w:spacing w:before="0" w:after="0"/>
              <w:jc w:val="left"/>
              <w:rPr>
                <w:rFonts w:ascii="Calibri" w:hAnsi="Calibri" w:cs="Times New Roman"/>
                <w:b/>
                <w:bCs/>
                <w:color w:val="000000"/>
              </w:rPr>
            </w:pPr>
            <w:r w:rsidRPr="00A12002">
              <w:rPr>
                <w:rFonts w:ascii="Calibri" w:hAnsi="Calibri" w:cs="Times New Roman"/>
                <w:b/>
                <w:bCs/>
                <w:color w:val="000000"/>
              </w:rPr>
              <w:t>NRM region</w:t>
            </w:r>
          </w:p>
        </w:tc>
        <w:tc>
          <w:tcPr>
            <w:tcW w:w="802" w:type="pct"/>
            <w:tcBorders>
              <w:top w:val="single" w:sz="4" w:space="0" w:color="auto"/>
              <w:left w:val="nil"/>
              <w:bottom w:val="single" w:sz="4" w:space="0" w:color="auto"/>
              <w:right w:val="nil"/>
            </w:tcBorders>
            <w:shd w:val="clear" w:color="auto" w:fill="auto"/>
            <w:noWrap/>
            <w:vAlign w:val="bottom"/>
            <w:hideMark/>
          </w:tcPr>
          <w:p w14:paraId="3C7B48B0" w14:textId="77777777" w:rsidR="00A12002" w:rsidRPr="00A12002" w:rsidRDefault="00A12002" w:rsidP="00A12002">
            <w:pPr>
              <w:spacing w:before="0" w:after="0"/>
              <w:jc w:val="left"/>
              <w:rPr>
                <w:rFonts w:ascii="Calibri" w:hAnsi="Calibri" w:cs="Times New Roman"/>
                <w:b/>
                <w:bCs/>
                <w:color w:val="000000"/>
              </w:rPr>
            </w:pPr>
            <w:r w:rsidRPr="00A12002">
              <w:rPr>
                <w:rFonts w:ascii="Calibri" w:hAnsi="Calibri" w:cs="Times New Roman"/>
                <w:b/>
                <w:bCs/>
                <w:color w:val="000000"/>
              </w:rPr>
              <w:t>River</w:t>
            </w:r>
          </w:p>
        </w:tc>
        <w:tc>
          <w:tcPr>
            <w:tcW w:w="599" w:type="pct"/>
            <w:tcBorders>
              <w:top w:val="single" w:sz="4" w:space="0" w:color="auto"/>
              <w:left w:val="nil"/>
              <w:bottom w:val="single" w:sz="4" w:space="0" w:color="auto"/>
              <w:right w:val="nil"/>
            </w:tcBorders>
            <w:shd w:val="clear" w:color="auto" w:fill="auto"/>
            <w:noWrap/>
            <w:vAlign w:val="bottom"/>
            <w:hideMark/>
          </w:tcPr>
          <w:p w14:paraId="60A06B97" w14:textId="77777777" w:rsidR="00A12002" w:rsidRPr="00A12002" w:rsidRDefault="00A12002" w:rsidP="00A12002">
            <w:pPr>
              <w:spacing w:before="0" w:after="0"/>
              <w:jc w:val="left"/>
              <w:rPr>
                <w:rFonts w:ascii="Calibri" w:hAnsi="Calibri" w:cs="Times New Roman"/>
                <w:b/>
                <w:bCs/>
                <w:color w:val="000000"/>
              </w:rPr>
            </w:pPr>
            <w:r w:rsidRPr="00A12002">
              <w:rPr>
                <w:rFonts w:ascii="Calibri" w:hAnsi="Calibri" w:cs="Times New Roman"/>
                <w:b/>
                <w:bCs/>
                <w:color w:val="000000"/>
              </w:rPr>
              <w:t>LT median</w:t>
            </w:r>
          </w:p>
        </w:tc>
        <w:tc>
          <w:tcPr>
            <w:tcW w:w="599" w:type="pct"/>
            <w:tcBorders>
              <w:top w:val="single" w:sz="4" w:space="0" w:color="auto"/>
              <w:left w:val="nil"/>
              <w:bottom w:val="single" w:sz="4" w:space="0" w:color="auto"/>
              <w:right w:val="nil"/>
            </w:tcBorders>
            <w:shd w:val="clear" w:color="auto" w:fill="auto"/>
            <w:noWrap/>
            <w:vAlign w:val="bottom"/>
            <w:hideMark/>
          </w:tcPr>
          <w:p w14:paraId="054C7007" w14:textId="77777777" w:rsidR="00A12002" w:rsidRPr="00A12002" w:rsidRDefault="00A12002" w:rsidP="00A12002">
            <w:pPr>
              <w:spacing w:before="0" w:after="0"/>
              <w:jc w:val="left"/>
              <w:rPr>
                <w:rFonts w:ascii="Calibri" w:hAnsi="Calibri" w:cs="Times New Roman"/>
                <w:b/>
                <w:bCs/>
                <w:color w:val="000000"/>
              </w:rPr>
            </w:pPr>
            <w:r w:rsidRPr="00A12002">
              <w:rPr>
                <w:rFonts w:ascii="Calibri" w:hAnsi="Calibri" w:cs="Times New Roman"/>
                <w:b/>
                <w:bCs/>
                <w:color w:val="000000"/>
              </w:rPr>
              <w:t>2009 - 2010</w:t>
            </w:r>
          </w:p>
        </w:tc>
        <w:tc>
          <w:tcPr>
            <w:tcW w:w="599" w:type="pct"/>
            <w:tcBorders>
              <w:top w:val="single" w:sz="4" w:space="0" w:color="auto"/>
              <w:left w:val="nil"/>
              <w:bottom w:val="single" w:sz="4" w:space="0" w:color="auto"/>
              <w:right w:val="nil"/>
            </w:tcBorders>
            <w:shd w:val="clear" w:color="auto" w:fill="auto"/>
            <w:noWrap/>
            <w:vAlign w:val="bottom"/>
            <w:hideMark/>
          </w:tcPr>
          <w:p w14:paraId="60726CCC" w14:textId="77777777" w:rsidR="00A12002" w:rsidRPr="00A12002" w:rsidRDefault="00A12002" w:rsidP="00A12002">
            <w:pPr>
              <w:spacing w:before="0" w:after="0"/>
              <w:jc w:val="left"/>
              <w:rPr>
                <w:rFonts w:ascii="Calibri" w:hAnsi="Calibri" w:cs="Times New Roman"/>
                <w:b/>
                <w:bCs/>
                <w:color w:val="000000"/>
              </w:rPr>
            </w:pPr>
            <w:r w:rsidRPr="00A12002">
              <w:rPr>
                <w:rFonts w:ascii="Calibri" w:hAnsi="Calibri" w:cs="Times New Roman"/>
                <w:b/>
                <w:bCs/>
                <w:color w:val="000000"/>
              </w:rPr>
              <w:t>2010 - 2011</w:t>
            </w:r>
          </w:p>
        </w:tc>
        <w:tc>
          <w:tcPr>
            <w:tcW w:w="599" w:type="pct"/>
            <w:tcBorders>
              <w:top w:val="single" w:sz="4" w:space="0" w:color="auto"/>
              <w:left w:val="nil"/>
              <w:bottom w:val="single" w:sz="4" w:space="0" w:color="auto"/>
              <w:right w:val="nil"/>
            </w:tcBorders>
            <w:shd w:val="clear" w:color="auto" w:fill="auto"/>
            <w:noWrap/>
            <w:vAlign w:val="bottom"/>
            <w:hideMark/>
          </w:tcPr>
          <w:p w14:paraId="20C4A70D" w14:textId="77777777" w:rsidR="00A12002" w:rsidRPr="00A12002" w:rsidRDefault="00A12002" w:rsidP="00A12002">
            <w:pPr>
              <w:spacing w:before="0" w:after="0"/>
              <w:jc w:val="left"/>
              <w:rPr>
                <w:rFonts w:ascii="Calibri" w:hAnsi="Calibri" w:cs="Times New Roman"/>
                <w:b/>
                <w:bCs/>
                <w:color w:val="000000"/>
              </w:rPr>
            </w:pPr>
            <w:r w:rsidRPr="00A12002">
              <w:rPr>
                <w:rFonts w:ascii="Calibri" w:hAnsi="Calibri" w:cs="Times New Roman"/>
                <w:b/>
                <w:bCs/>
                <w:color w:val="000000"/>
              </w:rPr>
              <w:t>2011 - 2012</w:t>
            </w:r>
          </w:p>
        </w:tc>
        <w:tc>
          <w:tcPr>
            <w:tcW w:w="599" w:type="pct"/>
            <w:tcBorders>
              <w:top w:val="single" w:sz="4" w:space="0" w:color="auto"/>
              <w:left w:val="nil"/>
              <w:bottom w:val="single" w:sz="4" w:space="0" w:color="auto"/>
              <w:right w:val="nil"/>
            </w:tcBorders>
            <w:shd w:val="clear" w:color="auto" w:fill="auto"/>
            <w:noWrap/>
            <w:vAlign w:val="bottom"/>
            <w:hideMark/>
          </w:tcPr>
          <w:p w14:paraId="33496881" w14:textId="77777777" w:rsidR="00A12002" w:rsidRPr="00A12002" w:rsidRDefault="00A12002" w:rsidP="00A12002">
            <w:pPr>
              <w:spacing w:before="0" w:after="0"/>
              <w:jc w:val="left"/>
              <w:rPr>
                <w:rFonts w:ascii="Calibri" w:hAnsi="Calibri" w:cs="Times New Roman"/>
                <w:b/>
                <w:bCs/>
                <w:color w:val="000000"/>
              </w:rPr>
            </w:pPr>
            <w:r w:rsidRPr="00A12002">
              <w:rPr>
                <w:rFonts w:ascii="Calibri" w:hAnsi="Calibri" w:cs="Times New Roman"/>
                <w:b/>
                <w:bCs/>
                <w:color w:val="000000"/>
              </w:rPr>
              <w:t>2012 - 2013</w:t>
            </w:r>
          </w:p>
        </w:tc>
        <w:tc>
          <w:tcPr>
            <w:tcW w:w="602" w:type="pct"/>
            <w:tcBorders>
              <w:top w:val="single" w:sz="4" w:space="0" w:color="auto"/>
              <w:left w:val="nil"/>
              <w:bottom w:val="single" w:sz="4" w:space="0" w:color="auto"/>
              <w:right w:val="nil"/>
            </w:tcBorders>
            <w:shd w:val="clear" w:color="auto" w:fill="auto"/>
            <w:noWrap/>
            <w:vAlign w:val="bottom"/>
            <w:hideMark/>
          </w:tcPr>
          <w:p w14:paraId="223ADAFB" w14:textId="77777777" w:rsidR="00A12002" w:rsidRPr="00A12002" w:rsidRDefault="00A12002" w:rsidP="00A12002">
            <w:pPr>
              <w:spacing w:before="0" w:after="0"/>
              <w:jc w:val="left"/>
              <w:rPr>
                <w:rFonts w:ascii="Calibri" w:hAnsi="Calibri" w:cs="Times New Roman"/>
                <w:b/>
                <w:bCs/>
                <w:color w:val="000000"/>
              </w:rPr>
            </w:pPr>
            <w:r w:rsidRPr="00A12002">
              <w:rPr>
                <w:rFonts w:ascii="Calibri" w:hAnsi="Calibri" w:cs="Times New Roman"/>
                <w:b/>
                <w:bCs/>
                <w:color w:val="000000"/>
              </w:rPr>
              <w:t>2013 - 2014</w:t>
            </w:r>
          </w:p>
        </w:tc>
      </w:tr>
      <w:tr w:rsidR="00A12002" w:rsidRPr="00A12002" w14:paraId="55F961EC" w14:textId="77777777" w:rsidTr="00A12002">
        <w:trPr>
          <w:trHeight w:val="57"/>
        </w:trPr>
        <w:tc>
          <w:tcPr>
            <w:tcW w:w="599" w:type="pct"/>
            <w:vMerge w:val="restart"/>
            <w:tcBorders>
              <w:top w:val="nil"/>
              <w:left w:val="nil"/>
              <w:bottom w:val="single" w:sz="4" w:space="0" w:color="000000"/>
              <w:right w:val="nil"/>
            </w:tcBorders>
            <w:shd w:val="clear" w:color="auto" w:fill="auto"/>
            <w:vAlign w:val="center"/>
            <w:hideMark/>
          </w:tcPr>
          <w:p w14:paraId="70CA18A7" w14:textId="77777777" w:rsidR="00A12002" w:rsidRPr="00A12002" w:rsidRDefault="00A12002" w:rsidP="00A12002">
            <w:pPr>
              <w:spacing w:before="0" w:after="0"/>
              <w:jc w:val="left"/>
              <w:rPr>
                <w:rFonts w:ascii="Arial" w:hAnsi="Arial" w:cs="Arial"/>
                <w:b/>
                <w:bCs/>
                <w:color w:val="000000"/>
                <w:sz w:val="16"/>
                <w:szCs w:val="16"/>
              </w:rPr>
            </w:pPr>
            <w:r w:rsidRPr="00A12002">
              <w:rPr>
                <w:rFonts w:ascii="Arial" w:hAnsi="Arial" w:cs="Arial"/>
                <w:b/>
                <w:bCs/>
                <w:color w:val="000000"/>
                <w:sz w:val="16"/>
                <w:szCs w:val="16"/>
              </w:rPr>
              <w:t>Cape York</w:t>
            </w:r>
          </w:p>
        </w:tc>
        <w:tc>
          <w:tcPr>
            <w:tcW w:w="802" w:type="pct"/>
            <w:tcBorders>
              <w:top w:val="nil"/>
              <w:left w:val="nil"/>
              <w:bottom w:val="nil"/>
              <w:right w:val="nil"/>
            </w:tcBorders>
            <w:shd w:val="clear" w:color="auto" w:fill="auto"/>
            <w:noWrap/>
            <w:vAlign w:val="bottom"/>
            <w:hideMark/>
          </w:tcPr>
          <w:p w14:paraId="1420C218"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Pascoe</w:t>
            </w:r>
          </w:p>
        </w:tc>
        <w:tc>
          <w:tcPr>
            <w:tcW w:w="599" w:type="pct"/>
            <w:tcBorders>
              <w:top w:val="nil"/>
              <w:left w:val="nil"/>
              <w:bottom w:val="nil"/>
              <w:right w:val="nil"/>
            </w:tcBorders>
            <w:shd w:val="clear" w:color="auto" w:fill="auto"/>
            <w:noWrap/>
            <w:vAlign w:val="bottom"/>
            <w:hideMark/>
          </w:tcPr>
          <w:p w14:paraId="47C2DD46"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1,252,975 </w:t>
            </w:r>
          </w:p>
        </w:tc>
        <w:tc>
          <w:tcPr>
            <w:tcW w:w="599" w:type="pct"/>
            <w:tcBorders>
              <w:top w:val="nil"/>
              <w:left w:val="nil"/>
              <w:bottom w:val="nil"/>
              <w:right w:val="nil"/>
            </w:tcBorders>
            <w:shd w:val="clear" w:color="auto" w:fill="auto"/>
            <w:noWrap/>
            <w:vAlign w:val="bottom"/>
            <w:hideMark/>
          </w:tcPr>
          <w:p w14:paraId="19AF9602"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1,534,694 </w:t>
            </w:r>
          </w:p>
        </w:tc>
        <w:tc>
          <w:tcPr>
            <w:tcW w:w="599" w:type="pct"/>
            <w:tcBorders>
              <w:top w:val="nil"/>
              <w:left w:val="nil"/>
              <w:bottom w:val="nil"/>
              <w:right w:val="nil"/>
            </w:tcBorders>
            <w:shd w:val="clear" w:color="000000" w:fill="FFFF00"/>
            <w:noWrap/>
            <w:vAlign w:val="bottom"/>
            <w:hideMark/>
          </w:tcPr>
          <w:p w14:paraId="001A7A76"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1,972,999 </w:t>
            </w:r>
          </w:p>
        </w:tc>
        <w:tc>
          <w:tcPr>
            <w:tcW w:w="599" w:type="pct"/>
            <w:tcBorders>
              <w:top w:val="nil"/>
              <w:left w:val="nil"/>
              <w:bottom w:val="nil"/>
              <w:right w:val="nil"/>
            </w:tcBorders>
            <w:shd w:val="clear" w:color="auto" w:fill="auto"/>
            <w:noWrap/>
            <w:vAlign w:val="bottom"/>
            <w:hideMark/>
          </w:tcPr>
          <w:p w14:paraId="12D8A908"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758,509 </w:t>
            </w:r>
          </w:p>
        </w:tc>
        <w:tc>
          <w:tcPr>
            <w:tcW w:w="599" w:type="pct"/>
            <w:tcBorders>
              <w:top w:val="nil"/>
              <w:left w:val="nil"/>
              <w:bottom w:val="nil"/>
              <w:right w:val="nil"/>
            </w:tcBorders>
            <w:shd w:val="clear" w:color="auto" w:fill="auto"/>
            <w:noWrap/>
            <w:vAlign w:val="bottom"/>
            <w:hideMark/>
          </w:tcPr>
          <w:p w14:paraId="1CD9592C"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827,844 </w:t>
            </w:r>
          </w:p>
        </w:tc>
        <w:tc>
          <w:tcPr>
            <w:tcW w:w="602" w:type="pct"/>
            <w:tcBorders>
              <w:top w:val="nil"/>
              <w:left w:val="nil"/>
              <w:bottom w:val="nil"/>
              <w:right w:val="nil"/>
            </w:tcBorders>
            <w:shd w:val="clear" w:color="auto" w:fill="auto"/>
            <w:noWrap/>
            <w:vAlign w:val="bottom"/>
            <w:hideMark/>
          </w:tcPr>
          <w:p w14:paraId="593EB6D8"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1,579,514 </w:t>
            </w:r>
          </w:p>
        </w:tc>
      </w:tr>
      <w:tr w:rsidR="00A12002" w:rsidRPr="00A12002" w14:paraId="75227F23" w14:textId="77777777" w:rsidTr="00533D6A">
        <w:trPr>
          <w:trHeight w:val="57"/>
        </w:trPr>
        <w:tc>
          <w:tcPr>
            <w:tcW w:w="599" w:type="pct"/>
            <w:vMerge/>
            <w:tcBorders>
              <w:top w:val="nil"/>
              <w:left w:val="nil"/>
              <w:bottom w:val="single" w:sz="4" w:space="0" w:color="000000"/>
              <w:right w:val="nil"/>
            </w:tcBorders>
            <w:vAlign w:val="center"/>
            <w:hideMark/>
          </w:tcPr>
          <w:p w14:paraId="5B2E7253" w14:textId="77777777" w:rsidR="00A12002" w:rsidRPr="00A12002" w:rsidRDefault="00A12002" w:rsidP="00A12002">
            <w:pPr>
              <w:spacing w:before="0" w:after="0"/>
              <w:jc w:val="left"/>
              <w:rPr>
                <w:rFonts w:ascii="Arial" w:hAnsi="Arial" w:cs="Arial"/>
                <w:b/>
                <w:bCs/>
                <w:color w:val="000000"/>
                <w:sz w:val="16"/>
                <w:szCs w:val="16"/>
              </w:rPr>
            </w:pPr>
          </w:p>
        </w:tc>
        <w:tc>
          <w:tcPr>
            <w:tcW w:w="802" w:type="pct"/>
            <w:tcBorders>
              <w:top w:val="nil"/>
              <w:left w:val="nil"/>
              <w:bottom w:val="nil"/>
              <w:right w:val="nil"/>
            </w:tcBorders>
            <w:shd w:val="clear" w:color="auto" w:fill="auto"/>
            <w:noWrap/>
            <w:vAlign w:val="bottom"/>
            <w:hideMark/>
          </w:tcPr>
          <w:p w14:paraId="1FE4C0F5"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Stewart</w:t>
            </w:r>
          </w:p>
        </w:tc>
        <w:tc>
          <w:tcPr>
            <w:tcW w:w="599" w:type="pct"/>
            <w:tcBorders>
              <w:top w:val="nil"/>
              <w:left w:val="nil"/>
              <w:bottom w:val="nil"/>
              <w:right w:val="nil"/>
            </w:tcBorders>
            <w:shd w:val="clear" w:color="auto" w:fill="auto"/>
            <w:noWrap/>
            <w:vAlign w:val="bottom"/>
            <w:hideMark/>
          </w:tcPr>
          <w:p w14:paraId="25CB3293"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217,473 </w:t>
            </w:r>
          </w:p>
        </w:tc>
        <w:tc>
          <w:tcPr>
            <w:tcW w:w="599" w:type="pct"/>
            <w:tcBorders>
              <w:top w:val="nil"/>
              <w:left w:val="nil"/>
              <w:bottom w:val="nil"/>
              <w:right w:val="nil"/>
            </w:tcBorders>
            <w:shd w:val="clear" w:color="auto" w:fill="auto"/>
            <w:noWrap/>
            <w:vAlign w:val="bottom"/>
            <w:hideMark/>
          </w:tcPr>
          <w:p w14:paraId="7F5FF462"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188,528 </w:t>
            </w:r>
          </w:p>
        </w:tc>
        <w:tc>
          <w:tcPr>
            <w:tcW w:w="599" w:type="pct"/>
            <w:tcBorders>
              <w:top w:val="nil"/>
              <w:left w:val="nil"/>
              <w:bottom w:val="nil"/>
              <w:right w:val="nil"/>
            </w:tcBorders>
            <w:shd w:val="clear" w:color="000000" w:fill="FFFF00"/>
            <w:noWrap/>
            <w:vAlign w:val="bottom"/>
            <w:hideMark/>
          </w:tcPr>
          <w:p w14:paraId="1F2F62A4"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376,009 </w:t>
            </w:r>
          </w:p>
        </w:tc>
        <w:tc>
          <w:tcPr>
            <w:tcW w:w="599" w:type="pct"/>
            <w:tcBorders>
              <w:top w:val="nil"/>
              <w:left w:val="nil"/>
              <w:bottom w:val="nil"/>
              <w:right w:val="nil"/>
            </w:tcBorders>
            <w:shd w:val="clear" w:color="auto" w:fill="auto"/>
            <w:noWrap/>
            <w:vAlign w:val="bottom"/>
            <w:hideMark/>
          </w:tcPr>
          <w:p w14:paraId="77E7FDF9"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106,219 </w:t>
            </w:r>
          </w:p>
        </w:tc>
        <w:tc>
          <w:tcPr>
            <w:tcW w:w="599" w:type="pct"/>
            <w:tcBorders>
              <w:top w:val="nil"/>
              <w:left w:val="nil"/>
              <w:bottom w:val="nil"/>
              <w:right w:val="nil"/>
            </w:tcBorders>
            <w:shd w:val="clear" w:color="auto" w:fill="auto"/>
            <w:noWrap/>
            <w:vAlign w:val="bottom"/>
            <w:hideMark/>
          </w:tcPr>
          <w:p w14:paraId="1A0735D7"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90,233 </w:t>
            </w:r>
          </w:p>
        </w:tc>
        <w:tc>
          <w:tcPr>
            <w:tcW w:w="602" w:type="pct"/>
            <w:tcBorders>
              <w:top w:val="nil"/>
              <w:left w:val="nil"/>
              <w:bottom w:val="nil"/>
              <w:right w:val="nil"/>
            </w:tcBorders>
            <w:shd w:val="clear" w:color="auto" w:fill="auto"/>
            <w:noWrap/>
            <w:vAlign w:val="bottom"/>
            <w:hideMark/>
          </w:tcPr>
          <w:p w14:paraId="21A940AA"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226,168 </w:t>
            </w:r>
          </w:p>
        </w:tc>
      </w:tr>
      <w:tr w:rsidR="00A12002" w:rsidRPr="00A12002" w14:paraId="1741B4E4" w14:textId="77777777" w:rsidTr="00533D6A">
        <w:trPr>
          <w:trHeight w:val="57"/>
        </w:trPr>
        <w:tc>
          <w:tcPr>
            <w:tcW w:w="599" w:type="pct"/>
            <w:vMerge/>
            <w:tcBorders>
              <w:top w:val="nil"/>
              <w:left w:val="nil"/>
              <w:bottom w:val="single" w:sz="4" w:space="0" w:color="000000"/>
              <w:right w:val="nil"/>
            </w:tcBorders>
            <w:vAlign w:val="center"/>
            <w:hideMark/>
          </w:tcPr>
          <w:p w14:paraId="4774698F" w14:textId="77777777" w:rsidR="00A12002" w:rsidRPr="00A12002" w:rsidRDefault="00A12002" w:rsidP="00A12002">
            <w:pPr>
              <w:spacing w:before="0" w:after="0"/>
              <w:jc w:val="left"/>
              <w:rPr>
                <w:rFonts w:ascii="Arial" w:hAnsi="Arial" w:cs="Arial"/>
                <w:b/>
                <w:bCs/>
                <w:color w:val="000000"/>
                <w:sz w:val="16"/>
                <w:szCs w:val="16"/>
              </w:rPr>
            </w:pPr>
          </w:p>
        </w:tc>
        <w:tc>
          <w:tcPr>
            <w:tcW w:w="802" w:type="pct"/>
            <w:tcBorders>
              <w:top w:val="nil"/>
              <w:left w:val="nil"/>
              <w:bottom w:val="nil"/>
              <w:right w:val="nil"/>
            </w:tcBorders>
            <w:shd w:val="clear" w:color="auto" w:fill="auto"/>
            <w:noWrap/>
            <w:vAlign w:val="bottom"/>
            <w:hideMark/>
          </w:tcPr>
          <w:p w14:paraId="580278ED"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Normanby</w:t>
            </w:r>
          </w:p>
        </w:tc>
        <w:tc>
          <w:tcPr>
            <w:tcW w:w="599" w:type="pct"/>
            <w:tcBorders>
              <w:top w:val="nil"/>
              <w:left w:val="nil"/>
              <w:bottom w:val="nil"/>
              <w:right w:val="nil"/>
            </w:tcBorders>
            <w:shd w:val="clear" w:color="auto" w:fill="auto"/>
            <w:noWrap/>
            <w:vAlign w:val="bottom"/>
            <w:hideMark/>
          </w:tcPr>
          <w:p w14:paraId="71E5FE1A"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 </w:t>
            </w:r>
          </w:p>
        </w:tc>
        <w:tc>
          <w:tcPr>
            <w:tcW w:w="599" w:type="pct"/>
            <w:tcBorders>
              <w:top w:val="nil"/>
              <w:left w:val="nil"/>
              <w:bottom w:val="nil"/>
              <w:right w:val="nil"/>
            </w:tcBorders>
            <w:shd w:val="clear" w:color="auto" w:fill="auto"/>
            <w:noWrap/>
            <w:vAlign w:val="bottom"/>
            <w:hideMark/>
          </w:tcPr>
          <w:p w14:paraId="1F521BC4"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2,945,850 </w:t>
            </w:r>
          </w:p>
        </w:tc>
        <w:tc>
          <w:tcPr>
            <w:tcW w:w="599" w:type="pct"/>
            <w:tcBorders>
              <w:top w:val="nil"/>
              <w:left w:val="nil"/>
              <w:bottom w:val="nil"/>
              <w:right w:val="nil"/>
            </w:tcBorders>
            <w:shd w:val="clear" w:color="auto" w:fill="auto"/>
            <w:noWrap/>
            <w:vAlign w:val="bottom"/>
            <w:hideMark/>
          </w:tcPr>
          <w:p w14:paraId="2BFFEC78"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5,964,886 </w:t>
            </w:r>
          </w:p>
        </w:tc>
        <w:tc>
          <w:tcPr>
            <w:tcW w:w="599" w:type="pct"/>
            <w:tcBorders>
              <w:top w:val="nil"/>
              <w:left w:val="nil"/>
              <w:bottom w:val="nil"/>
              <w:right w:val="nil"/>
            </w:tcBorders>
            <w:shd w:val="clear" w:color="auto" w:fill="auto"/>
            <w:noWrap/>
            <w:vAlign w:val="bottom"/>
            <w:hideMark/>
          </w:tcPr>
          <w:p w14:paraId="141F8F43"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1,148,416 </w:t>
            </w:r>
          </w:p>
        </w:tc>
        <w:tc>
          <w:tcPr>
            <w:tcW w:w="599" w:type="pct"/>
            <w:tcBorders>
              <w:top w:val="nil"/>
              <w:left w:val="nil"/>
              <w:bottom w:val="nil"/>
              <w:right w:val="nil"/>
            </w:tcBorders>
            <w:shd w:val="clear" w:color="auto" w:fill="auto"/>
            <w:noWrap/>
            <w:vAlign w:val="bottom"/>
            <w:hideMark/>
          </w:tcPr>
          <w:p w14:paraId="19C7C4C0"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1,822,230 </w:t>
            </w:r>
          </w:p>
        </w:tc>
        <w:tc>
          <w:tcPr>
            <w:tcW w:w="602" w:type="pct"/>
            <w:tcBorders>
              <w:top w:val="nil"/>
              <w:left w:val="nil"/>
              <w:bottom w:val="nil"/>
              <w:right w:val="nil"/>
            </w:tcBorders>
            <w:shd w:val="clear" w:color="auto" w:fill="auto"/>
            <w:noWrap/>
            <w:vAlign w:val="bottom"/>
            <w:hideMark/>
          </w:tcPr>
          <w:p w14:paraId="1FD3B133"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2,662,977 </w:t>
            </w:r>
          </w:p>
        </w:tc>
      </w:tr>
      <w:tr w:rsidR="00A12002" w:rsidRPr="00A12002" w14:paraId="38D7193C" w14:textId="77777777" w:rsidTr="00533D6A">
        <w:trPr>
          <w:trHeight w:val="57"/>
        </w:trPr>
        <w:tc>
          <w:tcPr>
            <w:tcW w:w="599" w:type="pct"/>
            <w:vMerge/>
            <w:tcBorders>
              <w:top w:val="nil"/>
              <w:left w:val="nil"/>
              <w:bottom w:val="single" w:sz="4" w:space="0" w:color="000000"/>
              <w:right w:val="nil"/>
            </w:tcBorders>
            <w:vAlign w:val="center"/>
            <w:hideMark/>
          </w:tcPr>
          <w:p w14:paraId="4EC54D9E" w14:textId="77777777" w:rsidR="00A12002" w:rsidRPr="00A12002" w:rsidRDefault="00A12002" w:rsidP="00A12002">
            <w:pPr>
              <w:spacing w:before="0" w:after="0"/>
              <w:jc w:val="left"/>
              <w:rPr>
                <w:rFonts w:ascii="Arial" w:hAnsi="Arial" w:cs="Arial"/>
                <w:b/>
                <w:bCs/>
                <w:color w:val="000000"/>
                <w:sz w:val="16"/>
                <w:szCs w:val="16"/>
              </w:rPr>
            </w:pPr>
          </w:p>
        </w:tc>
        <w:tc>
          <w:tcPr>
            <w:tcW w:w="802" w:type="pct"/>
            <w:tcBorders>
              <w:top w:val="nil"/>
              <w:left w:val="nil"/>
              <w:bottom w:val="single" w:sz="4" w:space="0" w:color="auto"/>
              <w:right w:val="nil"/>
            </w:tcBorders>
            <w:shd w:val="clear" w:color="auto" w:fill="auto"/>
            <w:noWrap/>
            <w:vAlign w:val="bottom"/>
            <w:hideMark/>
          </w:tcPr>
          <w:p w14:paraId="023F887C"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Annan</w:t>
            </w:r>
          </w:p>
        </w:tc>
        <w:tc>
          <w:tcPr>
            <w:tcW w:w="599" w:type="pct"/>
            <w:tcBorders>
              <w:top w:val="nil"/>
              <w:left w:val="nil"/>
              <w:bottom w:val="single" w:sz="4" w:space="0" w:color="auto"/>
              <w:right w:val="nil"/>
            </w:tcBorders>
            <w:shd w:val="clear" w:color="auto" w:fill="auto"/>
            <w:noWrap/>
            <w:vAlign w:val="bottom"/>
            <w:hideMark/>
          </w:tcPr>
          <w:p w14:paraId="5A63A79B"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276,538 </w:t>
            </w:r>
          </w:p>
        </w:tc>
        <w:tc>
          <w:tcPr>
            <w:tcW w:w="599" w:type="pct"/>
            <w:tcBorders>
              <w:top w:val="nil"/>
              <w:left w:val="nil"/>
              <w:bottom w:val="single" w:sz="4" w:space="0" w:color="auto"/>
              <w:right w:val="nil"/>
            </w:tcBorders>
            <w:shd w:val="clear" w:color="auto" w:fill="auto"/>
            <w:noWrap/>
            <w:vAlign w:val="bottom"/>
            <w:hideMark/>
          </w:tcPr>
          <w:p w14:paraId="3C21C5BF"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407,257 </w:t>
            </w:r>
          </w:p>
        </w:tc>
        <w:tc>
          <w:tcPr>
            <w:tcW w:w="599" w:type="pct"/>
            <w:tcBorders>
              <w:top w:val="nil"/>
              <w:left w:val="nil"/>
              <w:bottom w:val="single" w:sz="4" w:space="0" w:color="auto"/>
              <w:right w:val="nil"/>
            </w:tcBorders>
            <w:shd w:val="clear" w:color="000000" w:fill="FFFF00"/>
            <w:noWrap/>
            <w:vAlign w:val="bottom"/>
            <w:hideMark/>
          </w:tcPr>
          <w:p w14:paraId="76ABF219"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550,403 </w:t>
            </w:r>
          </w:p>
        </w:tc>
        <w:tc>
          <w:tcPr>
            <w:tcW w:w="599" w:type="pct"/>
            <w:tcBorders>
              <w:top w:val="nil"/>
              <w:left w:val="nil"/>
              <w:bottom w:val="single" w:sz="4" w:space="0" w:color="auto"/>
              <w:right w:val="nil"/>
            </w:tcBorders>
            <w:shd w:val="clear" w:color="auto" w:fill="auto"/>
            <w:noWrap/>
            <w:vAlign w:val="bottom"/>
            <w:hideMark/>
          </w:tcPr>
          <w:p w14:paraId="3D738E63"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331,370 </w:t>
            </w:r>
          </w:p>
        </w:tc>
        <w:tc>
          <w:tcPr>
            <w:tcW w:w="599" w:type="pct"/>
            <w:tcBorders>
              <w:top w:val="nil"/>
              <w:left w:val="nil"/>
              <w:bottom w:val="single" w:sz="4" w:space="0" w:color="auto"/>
              <w:right w:val="nil"/>
            </w:tcBorders>
            <w:shd w:val="clear" w:color="auto" w:fill="auto"/>
            <w:noWrap/>
            <w:vAlign w:val="bottom"/>
            <w:hideMark/>
          </w:tcPr>
          <w:p w14:paraId="152A359F"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196,441 </w:t>
            </w:r>
          </w:p>
        </w:tc>
        <w:tc>
          <w:tcPr>
            <w:tcW w:w="602" w:type="pct"/>
            <w:tcBorders>
              <w:top w:val="nil"/>
              <w:left w:val="nil"/>
              <w:bottom w:val="single" w:sz="4" w:space="0" w:color="auto"/>
              <w:right w:val="nil"/>
            </w:tcBorders>
            <w:shd w:val="clear" w:color="auto" w:fill="auto"/>
            <w:noWrap/>
            <w:vAlign w:val="bottom"/>
            <w:hideMark/>
          </w:tcPr>
          <w:p w14:paraId="0F57DD72"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303,382 </w:t>
            </w:r>
          </w:p>
        </w:tc>
      </w:tr>
      <w:tr w:rsidR="00A12002" w:rsidRPr="00A12002" w14:paraId="4FB1B798" w14:textId="77777777" w:rsidTr="00533D6A">
        <w:trPr>
          <w:trHeight w:val="57"/>
        </w:trPr>
        <w:tc>
          <w:tcPr>
            <w:tcW w:w="599" w:type="pct"/>
            <w:vMerge w:val="restart"/>
            <w:tcBorders>
              <w:top w:val="nil"/>
              <w:left w:val="nil"/>
              <w:bottom w:val="single" w:sz="4" w:space="0" w:color="000000"/>
              <w:right w:val="nil"/>
            </w:tcBorders>
            <w:shd w:val="clear" w:color="auto" w:fill="auto"/>
            <w:vAlign w:val="center"/>
            <w:hideMark/>
          </w:tcPr>
          <w:p w14:paraId="2EEFDCD4" w14:textId="77777777" w:rsidR="00A12002" w:rsidRPr="00A12002" w:rsidRDefault="00A12002" w:rsidP="00A12002">
            <w:pPr>
              <w:spacing w:before="0" w:after="0"/>
              <w:jc w:val="left"/>
              <w:rPr>
                <w:rFonts w:ascii="Arial" w:hAnsi="Arial" w:cs="Arial"/>
                <w:b/>
                <w:bCs/>
                <w:color w:val="000000"/>
                <w:sz w:val="16"/>
                <w:szCs w:val="16"/>
              </w:rPr>
            </w:pPr>
            <w:r w:rsidRPr="00A12002">
              <w:rPr>
                <w:rFonts w:ascii="Arial" w:hAnsi="Arial" w:cs="Arial"/>
                <w:b/>
                <w:bCs/>
                <w:color w:val="000000"/>
                <w:sz w:val="16"/>
                <w:szCs w:val="16"/>
              </w:rPr>
              <w:t>Wet Tropics</w:t>
            </w:r>
          </w:p>
        </w:tc>
        <w:tc>
          <w:tcPr>
            <w:tcW w:w="802" w:type="pct"/>
            <w:tcBorders>
              <w:top w:val="nil"/>
              <w:left w:val="nil"/>
              <w:bottom w:val="nil"/>
              <w:right w:val="nil"/>
            </w:tcBorders>
            <w:shd w:val="clear" w:color="auto" w:fill="auto"/>
            <w:noWrap/>
            <w:vAlign w:val="bottom"/>
            <w:hideMark/>
          </w:tcPr>
          <w:p w14:paraId="42F7762D"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Daintree</w:t>
            </w:r>
          </w:p>
        </w:tc>
        <w:tc>
          <w:tcPr>
            <w:tcW w:w="599" w:type="pct"/>
            <w:tcBorders>
              <w:top w:val="nil"/>
              <w:left w:val="nil"/>
              <w:bottom w:val="nil"/>
              <w:right w:val="nil"/>
            </w:tcBorders>
            <w:shd w:val="clear" w:color="auto" w:fill="auto"/>
            <w:noWrap/>
            <w:vAlign w:val="bottom"/>
            <w:hideMark/>
          </w:tcPr>
          <w:p w14:paraId="2A7D68ED"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727,872 </w:t>
            </w:r>
          </w:p>
        </w:tc>
        <w:tc>
          <w:tcPr>
            <w:tcW w:w="599" w:type="pct"/>
            <w:tcBorders>
              <w:top w:val="nil"/>
              <w:left w:val="nil"/>
              <w:bottom w:val="nil"/>
              <w:right w:val="nil"/>
            </w:tcBorders>
            <w:shd w:val="clear" w:color="000000" w:fill="FFFF00"/>
            <w:noWrap/>
            <w:vAlign w:val="bottom"/>
            <w:hideMark/>
          </w:tcPr>
          <w:p w14:paraId="282F1800"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1,216,318 </w:t>
            </w:r>
          </w:p>
        </w:tc>
        <w:tc>
          <w:tcPr>
            <w:tcW w:w="599" w:type="pct"/>
            <w:tcBorders>
              <w:top w:val="nil"/>
              <w:left w:val="nil"/>
              <w:bottom w:val="nil"/>
              <w:right w:val="nil"/>
            </w:tcBorders>
            <w:shd w:val="clear" w:color="000000" w:fill="FFC000"/>
            <w:noWrap/>
            <w:vAlign w:val="bottom"/>
            <w:hideMark/>
          </w:tcPr>
          <w:p w14:paraId="31B891EA"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1,640,196 </w:t>
            </w:r>
          </w:p>
        </w:tc>
        <w:tc>
          <w:tcPr>
            <w:tcW w:w="599" w:type="pct"/>
            <w:tcBorders>
              <w:top w:val="nil"/>
              <w:left w:val="nil"/>
              <w:bottom w:val="nil"/>
              <w:right w:val="nil"/>
            </w:tcBorders>
            <w:shd w:val="clear" w:color="auto" w:fill="auto"/>
            <w:noWrap/>
            <w:vAlign w:val="bottom"/>
            <w:hideMark/>
          </w:tcPr>
          <w:p w14:paraId="10C296A7"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998,710 </w:t>
            </w:r>
          </w:p>
        </w:tc>
        <w:tc>
          <w:tcPr>
            <w:tcW w:w="599" w:type="pct"/>
            <w:tcBorders>
              <w:top w:val="nil"/>
              <w:left w:val="nil"/>
              <w:bottom w:val="nil"/>
              <w:right w:val="nil"/>
            </w:tcBorders>
            <w:shd w:val="clear" w:color="auto" w:fill="auto"/>
            <w:noWrap/>
            <w:vAlign w:val="bottom"/>
            <w:hideMark/>
          </w:tcPr>
          <w:p w14:paraId="141A3393"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695,126 </w:t>
            </w:r>
          </w:p>
        </w:tc>
        <w:tc>
          <w:tcPr>
            <w:tcW w:w="602" w:type="pct"/>
            <w:tcBorders>
              <w:top w:val="nil"/>
              <w:left w:val="nil"/>
              <w:bottom w:val="nil"/>
              <w:right w:val="nil"/>
            </w:tcBorders>
            <w:shd w:val="clear" w:color="000000" w:fill="FFC000"/>
            <w:noWrap/>
            <w:vAlign w:val="bottom"/>
            <w:hideMark/>
          </w:tcPr>
          <w:p w14:paraId="4C395D00"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2,140,426 </w:t>
            </w:r>
          </w:p>
        </w:tc>
      </w:tr>
      <w:tr w:rsidR="00A12002" w:rsidRPr="00A12002" w14:paraId="53053FA7" w14:textId="77777777" w:rsidTr="00533D6A">
        <w:trPr>
          <w:trHeight w:val="57"/>
        </w:trPr>
        <w:tc>
          <w:tcPr>
            <w:tcW w:w="599" w:type="pct"/>
            <w:vMerge/>
            <w:tcBorders>
              <w:top w:val="nil"/>
              <w:left w:val="nil"/>
              <w:bottom w:val="single" w:sz="4" w:space="0" w:color="000000"/>
              <w:right w:val="nil"/>
            </w:tcBorders>
            <w:vAlign w:val="center"/>
            <w:hideMark/>
          </w:tcPr>
          <w:p w14:paraId="6FDD1FF4" w14:textId="77777777" w:rsidR="00A12002" w:rsidRPr="00A12002" w:rsidRDefault="00A12002" w:rsidP="00A12002">
            <w:pPr>
              <w:spacing w:before="0" w:after="0"/>
              <w:jc w:val="left"/>
              <w:rPr>
                <w:rFonts w:ascii="Arial" w:hAnsi="Arial" w:cs="Arial"/>
                <w:b/>
                <w:bCs/>
                <w:color w:val="000000"/>
                <w:sz w:val="16"/>
                <w:szCs w:val="16"/>
              </w:rPr>
            </w:pPr>
          </w:p>
        </w:tc>
        <w:tc>
          <w:tcPr>
            <w:tcW w:w="802" w:type="pct"/>
            <w:tcBorders>
              <w:top w:val="nil"/>
              <w:left w:val="nil"/>
              <w:bottom w:val="nil"/>
              <w:right w:val="nil"/>
            </w:tcBorders>
            <w:shd w:val="clear" w:color="auto" w:fill="auto"/>
            <w:noWrap/>
            <w:vAlign w:val="bottom"/>
            <w:hideMark/>
          </w:tcPr>
          <w:p w14:paraId="111FB666"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Barron</w:t>
            </w:r>
          </w:p>
        </w:tc>
        <w:tc>
          <w:tcPr>
            <w:tcW w:w="599" w:type="pct"/>
            <w:tcBorders>
              <w:top w:val="nil"/>
              <w:left w:val="nil"/>
              <w:bottom w:val="nil"/>
              <w:right w:val="nil"/>
            </w:tcBorders>
            <w:shd w:val="clear" w:color="auto" w:fill="auto"/>
            <w:noWrap/>
            <w:vAlign w:val="bottom"/>
            <w:hideMark/>
          </w:tcPr>
          <w:p w14:paraId="08A52A1F"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529,091 </w:t>
            </w:r>
          </w:p>
        </w:tc>
        <w:tc>
          <w:tcPr>
            <w:tcW w:w="599" w:type="pct"/>
            <w:tcBorders>
              <w:top w:val="nil"/>
              <w:left w:val="nil"/>
              <w:bottom w:val="nil"/>
              <w:right w:val="nil"/>
            </w:tcBorders>
            <w:shd w:val="clear" w:color="auto" w:fill="auto"/>
            <w:noWrap/>
            <w:vAlign w:val="bottom"/>
            <w:hideMark/>
          </w:tcPr>
          <w:p w14:paraId="434D8A2E"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500,233 </w:t>
            </w:r>
          </w:p>
        </w:tc>
        <w:tc>
          <w:tcPr>
            <w:tcW w:w="599" w:type="pct"/>
            <w:tcBorders>
              <w:top w:val="nil"/>
              <w:left w:val="nil"/>
              <w:bottom w:val="nil"/>
              <w:right w:val="nil"/>
            </w:tcBorders>
            <w:shd w:val="clear" w:color="000000" w:fill="FF0000"/>
            <w:noWrap/>
            <w:vAlign w:val="bottom"/>
            <w:hideMark/>
          </w:tcPr>
          <w:p w14:paraId="10BAD2EB"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1,927,091 </w:t>
            </w:r>
          </w:p>
        </w:tc>
        <w:tc>
          <w:tcPr>
            <w:tcW w:w="599" w:type="pct"/>
            <w:tcBorders>
              <w:top w:val="nil"/>
              <w:left w:val="nil"/>
              <w:bottom w:val="nil"/>
              <w:right w:val="nil"/>
            </w:tcBorders>
            <w:shd w:val="clear" w:color="auto" w:fill="auto"/>
            <w:noWrap/>
            <w:vAlign w:val="bottom"/>
            <w:hideMark/>
          </w:tcPr>
          <w:p w14:paraId="6A3A2A6E"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774,595 </w:t>
            </w:r>
          </w:p>
        </w:tc>
        <w:tc>
          <w:tcPr>
            <w:tcW w:w="599" w:type="pct"/>
            <w:tcBorders>
              <w:top w:val="nil"/>
              <w:left w:val="nil"/>
              <w:bottom w:val="nil"/>
              <w:right w:val="nil"/>
            </w:tcBorders>
            <w:shd w:val="clear" w:color="auto" w:fill="auto"/>
            <w:noWrap/>
            <w:vAlign w:val="bottom"/>
            <w:hideMark/>
          </w:tcPr>
          <w:p w14:paraId="547AAC7B"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298,418 </w:t>
            </w:r>
          </w:p>
        </w:tc>
        <w:tc>
          <w:tcPr>
            <w:tcW w:w="602" w:type="pct"/>
            <w:tcBorders>
              <w:top w:val="nil"/>
              <w:left w:val="nil"/>
              <w:bottom w:val="nil"/>
              <w:right w:val="nil"/>
            </w:tcBorders>
            <w:shd w:val="clear" w:color="auto" w:fill="auto"/>
            <w:noWrap/>
            <w:vAlign w:val="bottom"/>
            <w:hideMark/>
          </w:tcPr>
          <w:p w14:paraId="0137C174"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603,606 </w:t>
            </w:r>
          </w:p>
        </w:tc>
      </w:tr>
      <w:tr w:rsidR="00A12002" w:rsidRPr="00A12002" w14:paraId="5AC32FC7" w14:textId="77777777" w:rsidTr="00533D6A">
        <w:trPr>
          <w:trHeight w:val="57"/>
        </w:trPr>
        <w:tc>
          <w:tcPr>
            <w:tcW w:w="599" w:type="pct"/>
            <w:vMerge/>
            <w:tcBorders>
              <w:top w:val="nil"/>
              <w:left w:val="nil"/>
              <w:bottom w:val="single" w:sz="4" w:space="0" w:color="000000"/>
              <w:right w:val="nil"/>
            </w:tcBorders>
            <w:vAlign w:val="center"/>
            <w:hideMark/>
          </w:tcPr>
          <w:p w14:paraId="0B67D293" w14:textId="77777777" w:rsidR="00A12002" w:rsidRPr="00A12002" w:rsidRDefault="00A12002" w:rsidP="00A12002">
            <w:pPr>
              <w:spacing w:before="0" w:after="0"/>
              <w:jc w:val="left"/>
              <w:rPr>
                <w:rFonts w:ascii="Arial" w:hAnsi="Arial" w:cs="Arial"/>
                <w:b/>
                <w:bCs/>
                <w:color w:val="000000"/>
                <w:sz w:val="16"/>
                <w:szCs w:val="16"/>
              </w:rPr>
            </w:pPr>
          </w:p>
        </w:tc>
        <w:tc>
          <w:tcPr>
            <w:tcW w:w="802" w:type="pct"/>
            <w:tcBorders>
              <w:top w:val="nil"/>
              <w:left w:val="nil"/>
              <w:bottom w:val="nil"/>
              <w:right w:val="nil"/>
            </w:tcBorders>
            <w:shd w:val="clear" w:color="auto" w:fill="auto"/>
            <w:noWrap/>
            <w:vAlign w:val="bottom"/>
            <w:hideMark/>
          </w:tcPr>
          <w:p w14:paraId="2905F55F"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Mulgrave</w:t>
            </w:r>
          </w:p>
        </w:tc>
        <w:tc>
          <w:tcPr>
            <w:tcW w:w="599" w:type="pct"/>
            <w:tcBorders>
              <w:top w:val="nil"/>
              <w:left w:val="nil"/>
              <w:bottom w:val="nil"/>
              <w:right w:val="nil"/>
            </w:tcBorders>
            <w:shd w:val="clear" w:color="auto" w:fill="auto"/>
            <w:noWrap/>
            <w:vAlign w:val="bottom"/>
            <w:hideMark/>
          </w:tcPr>
          <w:p w14:paraId="64A2F82E"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728,917 </w:t>
            </w:r>
          </w:p>
        </w:tc>
        <w:tc>
          <w:tcPr>
            <w:tcW w:w="599" w:type="pct"/>
            <w:tcBorders>
              <w:top w:val="nil"/>
              <w:left w:val="nil"/>
              <w:bottom w:val="nil"/>
              <w:right w:val="nil"/>
            </w:tcBorders>
            <w:shd w:val="clear" w:color="auto" w:fill="auto"/>
            <w:noWrap/>
            <w:vAlign w:val="bottom"/>
            <w:hideMark/>
          </w:tcPr>
          <w:p w14:paraId="5B17DF2A"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773,158 </w:t>
            </w:r>
          </w:p>
        </w:tc>
        <w:tc>
          <w:tcPr>
            <w:tcW w:w="599" w:type="pct"/>
            <w:tcBorders>
              <w:top w:val="nil"/>
              <w:left w:val="nil"/>
              <w:bottom w:val="nil"/>
              <w:right w:val="nil"/>
            </w:tcBorders>
            <w:shd w:val="clear" w:color="000000" w:fill="FFC000"/>
            <w:noWrap/>
            <w:vAlign w:val="bottom"/>
            <w:hideMark/>
          </w:tcPr>
          <w:p w14:paraId="3DD94206"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1,568,750 </w:t>
            </w:r>
          </w:p>
        </w:tc>
        <w:tc>
          <w:tcPr>
            <w:tcW w:w="599" w:type="pct"/>
            <w:tcBorders>
              <w:top w:val="nil"/>
              <w:left w:val="nil"/>
              <w:bottom w:val="nil"/>
              <w:right w:val="nil"/>
            </w:tcBorders>
            <w:shd w:val="clear" w:color="auto" w:fill="auto"/>
            <w:noWrap/>
            <w:vAlign w:val="bottom"/>
            <w:hideMark/>
          </w:tcPr>
          <w:p w14:paraId="52C6AC02"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1,083,093 </w:t>
            </w:r>
          </w:p>
        </w:tc>
        <w:tc>
          <w:tcPr>
            <w:tcW w:w="599" w:type="pct"/>
            <w:tcBorders>
              <w:top w:val="nil"/>
              <w:left w:val="nil"/>
              <w:bottom w:val="nil"/>
              <w:right w:val="nil"/>
            </w:tcBorders>
            <w:shd w:val="clear" w:color="auto" w:fill="auto"/>
            <w:noWrap/>
            <w:vAlign w:val="bottom"/>
            <w:hideMark/>
          </w:tcPr>
          <w:p w14:paraId="2AC19BAC"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570,415 </w:t>
            </w:r>
          </w:p>
        </w:tc>
        <w:tc>
          <w:tcPr>
            <w:tcW w:w="602" w:type="pct"/>
            <w:tcBorders>
              <w:top w:val="nil"/>
              <w:left w:val="nil"/>
              <w:bottom w:val="nil"/>
              <w:right w:val="nil"/>
            </w:tcBorders>
            <w:shd w:val="clear" w:color="auto" w:fill="auto"/>
            <w:noWrap/>
            <w:vAlign w:val="bottom"/>
            <w:hideMark/>
          </w:tcPr>
          <w:p w14:paraId="607DF23E"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928,259 </w:t>
            </w:r>
          </w:p>
        </w:tc>
      </w:tr>
      <w:tr w:rsidR="00A12002" w:rsidRPr="00A12002" w14:paraId="6B7DF3B0" w14:textId="77777777" w:rsidTr="00533D6A">
        <w:trPr>
          <w:trHeight w:val="57"/>
        </w:trPr>
        <w:tc>
          <w:tcPr>
            <w:tcW w:w="599" w:type="pct"/>
            <w:vMerge/>
            <w:tcBorders>
              <w:top w:val="nil"/>
              <w:left w:val="nil"/>
              <w:bottom w:val="single" w:sz="4" w:space="0" w:color="000000"/>
              <w:right w:val="nil"/>
            </w:tcBorders>
            <w:vAlign w:val="center"/>
            <w:hideMark/>
          </w:tcPr>
          <w:p w14:paraId="0D0CDDC8" w14:textId="77777777" w:rsidR="00A12002" w:rsidRPr="00A12002" w:rsidRDefault="00A12002" w:rsidP="00A12002">
            <w:pPr>
              <w:spacing w:before="0" w:after="0"/>
              <w:jc w:val="left"/>
              <w:rPr>
                <w:rFonts w:ascii="Arial" w:hAnsi="Arial" w:cs="Arial"/>
                <w:b/>
                <w:bCs/>
                <w:color w:val="000000"/>
                <w:sz w:val="16"/>
                <w:szCs w:val="16"/>
              </w:rPr>
            </w:pPr>
          </w:p>
        </w:tc>
        <w:tc>
          <w:tcPr>
            <w:tcW w:w="802" w:type="pct"/>
            <w:tcBorders>
              <w:top w:val="nil"/>
              <w:left w:val="nil"/>
              <w:bottom w:val="nil"/>
              <w:right w:val="nil"/>
            </w:tcBorders>
            <w:shd w:val="clear" w:color="auto" w:fill="auto"/>
            <w:noWrap/>
            <w:vAlign w:val="bottom"/>
            <w:hideMark/>
          </w:tcPr>
          <w:p w14:paraId="41A4F821"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Russell</w:t>
            </w:r>
          </w:p>
        </w:tc>
        <w:tc>
          <w:tcPr>
            <w:tcW w:w="599" w:type="pct"/>
            <w:tcBorders>
              <w:top w:val="nil"/>
              <w:left w:val="nil"/>
              <w:bottom w:val="nil"/>
              <w:right w:val="nil"/>
            </w:tcBorders>
            <w:shd w:val="clear" w:color="auto" w:fill="auto"/>
            <w:noWrap/>
            <w:vAlign w:val="bottom"/>
            <w:hideMark/>
          </w:tcPr>
          <w:p w14:paraId="70CFE5D9"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995,142 </w:t>
            </w:r>
          </w:p>
        </w:tc>
        <w:tc>
          <w:tcPr>
            <w:tcW w:w="599" w:type="pct"/>
            <w:tcBorders>
              <w:top w:val="nil"/>
              <w:left w:val="nil"/>
              <w:bottom w:val="nil"/>
              <w:right w:val="nil"/>
            </w:tcBorders>
            <w:shd w:val="clear" w:color="auto" w:fill="auto"/>
            <w:noWrap/>
            <w:vAlign w:val="bottom"/>
            <w:hideMark/>
          </w:tcPr>
          <w:p w14:paraId="72B1AA31"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1,298,963 </w:t>
            </w:r>
          </w:p>
        </w:tc>
        <w:tc>
          <w:tcPr>
            <w:tcW w:w="599" w:type="pct"/>
            <w:tcBorders>
              <w:top w:val="nil"/>
              <w:left w:val="nil"/>
              <w:bottom w:val="nil"/>
              <w:right w:val="nil"/>
            </w:tcBorders>
            <w:shd w:val="clear" w:color="000000" w:fill="FFFF00"/>
            <w:noWrap/>
            <w:vAlign w:val="bottom"/>
            <w:hideMark/>
          </w:tcPr>
          <w:p w14:paraId="24DB1D74"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1,719,880 </w:t>
            </w:r>
          </w:p>
        </w:tc>
        <w:tc>
          <w:tcPr>
            <w:tcW w:w="599" w:type="pct"/>
            <w:tcBorders>
              <w:top w:val="nil"/>
              <w:left w:val="nil"/>
              <w:bottom w:val="nil"/>
              <w:right w:val="nil"/>
            </w:tcBorders>
            <w:shd w:val="clear" w:color="auto" w:fill="auto"/>
            <w:noWrap/>
            <w:vAlign w:val="bottom"/>
            <w:hideMark/>
          </w:tcPr>
          <w:p w14:paraId="0505A42A"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1,290,488 </w:t>
            </w:r>
          </w:p>
        </w:tc>
        <w:tc>
          <w:tcPr>
            <w:tcW w:w="599" w:type="pct"/>
            <w:tcBorders>
              <w:top w:val="nil"/>
              <w:left w:val="nil"/>
              <w:bottom w:val="nil"/>
              <w:right w:val="nil"/>
            </w:tcBorders>
            <w:shd w:val="clear" w:color="auto" w:fill="auto"/>
            <w:noWrap/>
            <w:vAlign w:val="bottom"/>
            <w:hideMark/>
          </w:tcPr>
          <w:p w14:paraId="44779B80"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900,360 </w:t>
            </w:r>
          </w:p>
        </w:tc>
        <w:tc>
          <w:tcPr>
            <w:tcW w:w="602" w:type="pct"/>
            <w:tcBorders>
              <w:top w:val="nil"/>
              <w:left w:val="nil"/>
              <w:bottom w:val="nil"/>
              <w:right w:val="nil"/>
            </w:tcBorders>
            <w:shd w:val="clear" w:color="auto" w:fill="auto"/>
            <w:noWrap/>
            <w:vAlign w:val="bottom"/>
            <w:hideMark/>
          </w:tcPr>
          <w:p w14:paraId="3B9558D7"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1,330,357 </w:t>
            </w:r>
          </w:p>
        </w:tc>
      </w:tr>
      <w:tr w:rsidR="00A12002" w:rsidRPr="00A12002" w14:paraId="768653A3" w14:textId="77777777" w:rsidTr="00533D6A">
        <w:trPr>
          <w:trHeight w:val="57"/>
        </w:trPr>
        <w:tc>
          <w:tcPr>
            <w:tcW w:w="599" w:type="pct"/>
            <w:vMerge/>
            <w:tcBorders>
              <w:top w:val="nil"/>
              <w:left w:val="nil"/>
              <w:bottom w:val="single" w:sz="4" w:space="0" w:color="000000"/>
              <w:right w:val="nil"/>
            </w:tcBorders>
            <w:vAlign w:val="center"/>
            <w:hideMark/>
          </w:tcPr>
          <w:p w14:paraId="59FAA0FF" w14:textId="77777777" w:rsidR="00A12002" w:rsidRPr="00A12002" w:rsidRDefault="00A12002" w:rsidP="00A12002">
            <w:pPr>
              <w:spacing w:before="0" w:after="0"/>
              <w:jc w:val="left"/>
              <w:rPr>
                <w:rFonts w:ascii="Arial" w:hAnsi="Arial" w:cs="Arial"/>
                <w:b/>
                <w:bCs/>
                <w:color w:val="000000"/>
                <w:sz w:val="16"/>
                <w:szCs w:val="16"/>
              </w:rPr>
            </w:pPr>
          </w:p>
        </w:tc>
        <w:tc>
          <w:tcPr>
            <w:tcW w:w="802" w:type="pct"/>
            <w:tcBorders>
              <w:top w:val="nil"/>
              <w:left w:val="nil"/>
              <w:bottom w:val="nil"/>
              <w:right w:val="nil"/>
            </w:tcBorders>
            <w:shd w:val="clear" w:color="auto" w:fill="auto"/>
            <w:noWrap/>
            <w:vAlign w:val="bottom"/>
            <w:hideMark/>
          </w:tcPr>
          <w:p w14:paraId="7EFF2C6D"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North Johnstone</w:t>
            </w:r>
          </w:p>
        </w:tc>
        <w:tc>
          <w:tcPr>
            <w:tcW w:w="599" w:type="pct"/>
            <w:tcBorders>
              <w:top w:val="nil"/>
              <w:left w:val="nil"/>
              <w:bottom w:val="nil"/>
              <w:right w:val="nil"/>
            </w:tcBorders>
            <w:shd w:val="clear" w:color="auto" w:fill="auto"/>
            <w:noWrap/>
            <w:vAlign w:val="bottom"/>
            <w:hideMark/>
          </w:tcPr>
          <w:p w14:paraId="1E5850FA"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1,764,742 </w:t>
            </w:r>
          </w:p>
        </w:tc>
        <w:tc>
          <w:tcPr>
            <w:tcW w:w="599" w:type="pct"/>
            <w:tcBorders>
              <w:top w:val="nil"/>
              <w:left w:val="nil"/>
              <w:bottom w:val="nil"/>
              <w:right w:val="nil"/>
            </w:tcBorders>
            <w:shd w:val="clear" w:color="auto" w:fill="auto"/>
            <w:noWrap/>
            <w:vAlign w:val="bottom"/>
            <w:hideMark/>
          </w:tcPr>
          <w:p w14:paraId="3D275891"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1,826,418 </w:t>
            </w:r>
          </w:p>
        </w:tc>
        <w:tc>
          <w:tcPr>
            <w:tcW w:w="599" w:type="pct"/>
            <w:tcBorders>
              <w:top w:val="nil"/>
              <w:left w:val="nil"/>
              <w:bottom w:val="nil"/>
              <w:right w:val="nil"/>
            </w:tcBorders>
            <w:shd w:val="clear" w:color="000000" w:fill="FFC000"/>
            <w:noWrap/>
            <w:vAlign w:val="bottom"/>
            <w:hideMark/>
          </w:tcPr>
          <w:p w14:paraId="297D9309"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3,541,632 </w:t>
            </w:r>
          </w:p>
        </w:tc>
        <w:tc>
          <w:tcPr>
            <w:tcW w:w="599" w:type="pct"/>
            <w:tcBorders>
              <w:top w:val="nil"/>
              <w:left w:val="nil"/>
              <w:bottom w:val="nil"/>
              <w:right w:val="nil"/>
            </w:tcBorders>
            <w:shd w:val="clear" w:color="auto" w:fill="auto"/>
            <w:noWrap/>
            <w:vAlign w:val="bottom"/>
            <w:hideMark/>
          </w:tcPr>
          <w:p w14:paraId="517E8A5F"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2,023,900 </w:t>
            </w:r>
          </w:p>
        </w:tc>
        <w:tc>
          <w:tcPr>
            <w:tcW w:w="599" w:type="pct"/>
            <w:tcBorders>
              <w:top w:val="nil"/>
              <w:left w:val="nil"/>
              <w:bottom w:val="nil"/>
              <w:right w:val="nil"/>
            </w:tcBorders>
            <w:shd w:val="clear" w:color="auto" w:fill="auto"/>
            <w:noWrap/>
            <w:vAlign w:val="bottom"/>
            <w:hideMark/>
          </w:tcPr>
          <w:p w14:paraId="7E8F5100"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1,478,270 </w:t>
            </w:r>
          </w:p>
        </w:tc>
        <w:tc>
          <w:tcPr>
            <w:tcW w:w="602" w:type="pct"/>
            <w:tcBorders>
              <w:top w:val="nil"/>
              <w:left w:val="nil"/>
              <w:bottom w:val="nil"/>
              <w:right w:val="nil"/>
            </w:tcBorders>
            <w:shd w:val="clear" w:color="auto" w:fill="auto"/>
            <w:noWrap/>
            <w:vAlign w:val="bottom"/>
            <w:hideMark/>
          </w:tcPr>
          <w:p w14:paraId="5B235BD1"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2,158,945 </w:t>
            </w:r>
          </w:p>
        </w:tc>
      </w:tr>
      <w:tr w:rsidR="00A12002" w:rsidRPr="00A12002" w14:paraId="1F1315A3" w14:textId="77777777" w:rsidTr="00533D6A">
        <w:trPr>
          <w:trHeight w:val="57"/>
        </w:trPr>
        <w:tc>
          <w:tcPr>
            <w:tcW w:w="599" w:type="pct"/>
            <w:vMerge/>
            <w:tcBorders>
              <w:top w:val="nil"/>
              <w:left w:val="nil"/>
              <w:bottom w:val="single" w:sz="4" w:space="0" w:color="000000"/>
              <w:right w:val="nil"/>
            </w:tcBorders>
            <w:vAlign w:val="center"/>
            <w:hideMark/>
          </w:tcPr>
          <w:p w14:paraId="1A4397F1" w14:textId="77777777" w:rsidR="00A12002" w:rsidRPr="00A12002" w:rsidRDefault="00A12002" w:rsidP="00A12002">
            <w:pPr>
              <w:spacing w:before="0" w:after="0"/>
              <w:jc w:val="left"/>
              <w:rPr>
                <w:rFonts w:ascii="Arial" w:hAnsi="Arial" w:cs="Arial"/>
                <w:b/>
                <w:bCs/>
                <w:color w:val="000000"/>
                <w:sz w:val="16"/>
                <w:szCs w:val="16"/>
              </w:rPr>
            </w:pPr>
          </w:p>
        </w:tc>
        <w:tc>
          <w:tcPr>
            <w:tcW w:w="802" w:type="pct"/>
            <w:tcBorders>
              <w:top w:val="nil"/>
              <w:left w:val="nil"/>
              <w:bottom w:val="nil"/>
              <w:right w:val="nil"/>
            </w:tcBorders>
            <w:shd w:val="clear" w:color="auto" w:fill="auto"/>
            <w:noWrap/>
            <w:vAlign w:val="bottom"/>
            <w:hideMark/>
          </w:tcPr>
          <w:p w14:paraId="2E28B89E"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South Johnstone</w:t>
            </w:r>
          </w:p>
        </w:tc>
        <w:tc>
          <w:tcPr>
            <w:tcW w:w="599" w:type="pct"/>
            <w:tcBorders>
              <w:top w:val="nil"/>
              <w:left w:val="nil"/>
              <w:bottom w:val="nil"/>
              <w:right w:val="nil"/>
            </w:tcBorders>
            <w:shd w:val="clear" w:color="auto" w:fill="auto"/>
            <w:noWrap/>
            <w:vAlign w:val="bottom"/>
            <w:hideMark/>
          </w:tcPr>
          <w:p w14:paraId="6B3F447C"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850,463 </w:t>
            </w:r>
          </w:p>
        </w:tc>
        <w:tc>
          <w:tcPr>
            <w:tcW w:w="599" w:type="pct"/>
            <w:tcBorders>
              <w:top w:val="nil"/>
              <w:left w:val="nil"/>
              <w:bottom w:val="nil"/>
              <w:right w:val="nil"/>
            </w:tcBorders>
            <w:shd w:val="clear" w:color="auto" w:fill="auto"/>
            <w:noWrap/>
            <w:vAlign w:val="bottom"/>
            <w:hideMark/>
          </w:tcPr>
          <w:p w14:paraId="75334700"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728,626 </w:t>
            </w:r>
          </w:p>
        </w:tc>
        <w:tc>
          <w:tcPr>
            <w:tcW w:w="599" w:type="pct"/>
            <w:tcBorders>
              <w:top w:val="nil"/>
              <w:left w:val="nil"/>
              <w:bottom w:val="nil"/>
              <w:right w:val="nil"/>
            </w:tcBorders>
            <w:shd w:val="clear" w:color="000000" w:fill="FFFF00"/>
            <w:noWrap/>
            <w:vAlign w:val="bottom"/>
            <w:hideMark/>
          </w:tcPr>
          <w:p w14:paraId="4B37B1E0"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1,612,187 </w:t>
            </w:r>
          </w:p>
        </w:tc>
        <w:tc>
          <w:tcPr>
            <w:tcW w:w="599" w:type="pct"/>
            <w:tcBorders>
              <w:top w:val="nil"/>
              <w:left w:val="nil"/>
              <w:bottom w:val="nil"/>
              <w:right w:val="nil"/>
            </w:tcBorders>
            <w:shd w:val="clear" w:color="auto" w:fill="auto"/>
            <w:noWrap/>
            <w:vAlign w:val="bottom"/>
            <w:hideMark/>
          </w:tcPr>
          <w:p w14:paraId="32AFC75A"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941,983 </w:t>
            </w:r>
          </w:p>
        </w:tc>
        <w:tc>
          <w:tcPr>
            <w:tcW w:w="599" w:type="pct"/>
            <w:tcBorders>
              <w:top w:val="nil"/>
              <w:left w:val="nil"/>
              <w:bottom w:val="nil"/>
              <w:right w:val="nil"/>
            </w:tcBorders>
            <w:shd w:val="clear" w:color="auto" w:fill="auto"/>
            <w:noWrap/>
            <w:vAlign w:val="bottom"/>
            <w:hideMark/>
          </w:tcPr>
          <w:p w14:paraId="1C7F8D88"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588,407 </w:t>
            </w:r>
          </w:p>
        </w:tc>
        <w:tc>
          <w:tcPr>
            <w:tcW w:w="602" w:type="pct"/>
            <w:tcBorders>
              <w:top w:val="nil"/>
              <w:left w:val="nil"/>
              <w:bottom w:val="nil"/>
              <w:right w:val="nil"/>
            </w:tcBorders>
            <w:shd w:val="clear" w:color="auto" w:fill="auto"/>
            <w:noWrap/>
            <w:vAlign w:val="bottom"/>
            <w:hideMark/>
          </w:tcPr>
          <w:p w14:paraId="646558F8"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843,019 </w:t>
            </w:r>
          </w:p>
        </w:tc>
      </w:tr>
      <w:tr w:rsidR="00A12002" w:rsidRPr="00A12002" w14:paraId="28FD3771" w14:textId="77777777" w:rsidTr="00533D6A">
        <w:trPr>
          <w:trHeight w:val="57"/>
        </w:trPr>
        <w:tc>
          <w:tcPr>
            <w:tcW w:w="599" w:type="pct"/>
            <w:vMerge/>
            <w:tcBorders>
              <w:top w:val="nil"/>
              <w:left w:val="nil"/>
              <w:bottom w:val="single" w:sz="4" w:space="0" w:color="000000"/>
              <w:right w:val="nil"/>
            </w:tcBorders>
            <w:vAlign w:val="center"/>
            <w:hideMark/>
          </w:tcPr>
          <w:p w14:paraId="3A31C523" w14:textId="77777777" w:rsidR="00A12002" w:rsidRPr="00A12002" w:rsidRDefault="00A12002" w:rsidP="00A12002">
            <w:pPr>
              <w:spacing w:before="0" w:after="0"/>
              <w:jc w:val="left"/>
              <w:rPr>
                <w:rFonts w:ascii="Arial" w:hAnsi="Arial" w:cs="Arial"/>
                <w:b/>
                <w:bCs/>
                <w:color w:val="000000"/>
                <w:sz w:val="16"/>
                <w:szCs w:val="16"/>
              </w:rPr>
            </w:pPr>
          </w:p>
        </w:tc>
        <w:tc>
          <w:tcPr>
            <w:tcW w:w="802" w:type="pct"/>
            <w:tcBorders>
              <w:top w:val="nil"/>
              <w:left w:val="nil"/>
              <w:bottom w:val="nil"/>
              <w:right w:val="nil"/>
            </w:tcBorders>
            <w:shd w:val="clear" w:color="auto" w:fill="auto"/>
            <w:noWrap/>
            <w:vAlign w:val="bottom"/>
            <w:hideMark/>
          </w:tcPr>
          <w:p w14:paraId="2264AF07"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Tully</w:t>
            </w:r>
          </w:p>
        </w:tc>
        <w:tc>
          <w:tcPr>
            <w:tcW w:w="599" w:type="pct"/>
            <w:tcBorders>
              <w:top w:val="nil"/>
              <w:left w:val="nil"/>
              <w:bottom w:val="nil"/>
              <w:right w:val="nil"/>
            </w:tcBorders>
            <w:shd w:val="clear" w:color="auto" w:fill="auto"/>
            <w:noWrap/>
            <w:vAlign w:val="bottom"/>
            <w:hideMark/>
          </w:tcPr>
          <w:p w14:paraId="0B9B54D2"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2,944,018 </w:t>
            </w:r>
          </w:p>
        </w:tc>
        <w:tc>
          <w:tcPr>
            <w:tcW w:w="599" w:type="pct"/>
            <w:tcBorders>
              <w:top w:val="nil"/>
              <w:left w:val="nil"/>
              <w:bottom w:val="nil"/>
              <w:right w:val="nil"/>
            </w:tcBorders>
            <w:shd w:val="clear" w:color="auto" w:fill="auto"/>
            <w:noWrap/>
            <w:vAlign w:val="bottom"/>
            <w:hideMark/>
          </w:tcPr>
          <w:p w14:paraId="6111B562"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2,984,477 </w:t>
            </w:r>
          </w:p>
        </w:tc>
        <w:tc>
          <w:tcPr>
            <w:tcW w:w="599" w:type="pct"/>
            <w:tcBorders>
              <w:top w:val="nil"/>
              <w:left w:val="nil"/>
              <w:bottom w:val="nil"/>
              <w:right w:val="nil"/>
            </w:tcBorders>
            <w:shd w:val="clear" w:color="000000" w:fill="FFC000"/>
            <w:noWrap/>
            <w:vAlign w:val="bottom"/>
            <w:hideMark/>
          </w:tcPr>
          <w:p w14:paraId="7F685A2C"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6,202,306 </w:t>
            </w:r>
          </w:p>
        </w:tc>
        <w:tc>
          <w:tcPr>
            <w:tcW w:w="599" w:type="pct"/>
            <w:tcBorders>
              <w:top w:val="nil"/>
              <w:left w:val="nil"/>
              <w:bottom w:val="nil"/>
              <w:right w:val="nil"/>
            </w:tcBorders>
            <w:shd w:val="clear" w:color="auto" w:fill="auto"/>
            <w:noWrap/>
            <w:vAlign w:val="bottom"/>
            <w:hideMark/>
          </w:tcPr>
          <w:p w14:paraId="61584790"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2,854,247 </w:t>
            </w:r>
          </w:p>
        </w:tc>
        <w:tc>
          <w:tcPr>
            <w:tcW w:w="599" w:type="pct"/>
            <w:tcBorders>
              <w:top w:val="nil"/>
              <w:left w:val="nil"/>
              <w:bottom w:val="nil"/>
              <w:right w:val="nil"/>
            </w:tcBorders>
            <w:shd w:val="clear" w:color="auto" w:fill="auto"/>
            <w:noWrap/>
            <w:vAlign w:val="bottom"/>
            <w:hideMark/>
          </w:tcPr>
          <w:p w14:paraId="12BE49A4"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2,784,906 </w:t>
            </w:r>
          </w:p>
        </w:tc>
        <w:tc>
          <w:tcPr>
            <w:tcW w:w="602" w:type="pct"/>
            <w:tcBorders>
              <w:top w:val="nil"/>
              <w:left w:val="nil"/>
              <w:bottom w:val="nil"/>
              <w:right w:val="nil"/>
            </w:tcBorders>
            <w:shd w:val="clear" w:color="auto" w:fill="auto"/>
            <w:noWrap/>
            <w:vAlign w:val="bottom"/>
            <w:hideMark/>
          </w:tcPr>
          <w:p w14:paraId="291BC264"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3,602,080 </w:t>
            </w:r>
          </w:p>
        </w:tc>
      </w:tr>
      <w:tr w:rsidR="00A12002" w:rsidRPr="00A12002" w14:paraId="7371D6AD" w14:textId="77777777" w:rsidTr="00533D6A">
        <w:trPr>
          <w:trHeight w:val="57"/>
        </w:trPr>
        <w:tc>
          <w:tcPr>
            <w:tcW w:w="599" w:type="pct"/>
            <w:vMerge/>
            <w:tcBorders>
              <w:top w:val="nil"/>
              <w:left w:val="nil"/>
              <w:bottom w:val="single" w:sz="4" w:space="0" w:color="000000"/>
              <w:right w:val="nil"/>
            </w:tcBorders>
            <w:vAlign w:val="center"/>
            <w:hideMark/>
          </w:tcPr>
          <w:p w14:paraId="1544BDF9" w14:textId="77777777" w:rsidR="00A12002" w:rsidRPr="00A12002" w:rsidRDefault="00A12002" w:rsidP="00A12002">
            <w:pPr>
              <w:spacing w:before="0" w:after="0"/>
              <w:jc w:val="left"/>
              <w:rPr>
                <w:rFonts w:ascii="Arial" w:hAnsi="Arial" w:cs="Arial"/>
                <w:b/>
                <w:bCs/>
                <w:color w:val="000000"/>
                <w:sz w:val="16"/>
                <w:szCs w:val="16"/>
              </w:rPr>
            </w:pPr>
          </w:p>
        </w:tc>
        <w:tc>
          <w:tcPr>
            <w:tcW w:w="802" w:type="pct"/>
            <w:tcBorders>
              <w:top w:val="nil"/>
              <w:left w:val="nil"/>
              <w:bottom w:val="single" w:sz="4" w:space="0" w:color="auto"/>
              <w:right w:val="nil"/>
            </w:tcBorders>
            <w:shd w:val="clear" w:color="auto" w:fill="auto"/>
            <w:noWrap/>
            <w:vAlign w:val="bottom"/>
            <w:hideMark/>
          </w:tcPr>
          <w:p w14:paraId="0938BDB8"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Herbert</w:t>
            </w:r>
          </w:p>
        </w:tc>
        <w:tc>
          <w:tcPr>
            <w:tcW w:w="599" w:type="pct"/>
            <w:tcBorders>
              <w:top w:val="nil"/>
              <w:left w:val="nil"/>
              <w:bottom w:val="single" w:sz="4" w:space="0" w:color="auto"/>
              <w:right w:val="nil"/>
            </w:tcBorders>
            <w:shd w:val="clear" w:color="auto" w:fill="auto"/>
            <w:noWrap/>
            <w:vAlign w:val="bottom"/>
            <w:hideMark/>
          </w:tcPr>
          <w:p w14:paraId="60D30186"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3,041,440 </w:t>
            </w:r>
          </w:p>
        </w:tc>
        <w:tc>
          <w:tcPr>
            <w:tcW w:w="599" w:type="pct"/>
            <w:tcBorders>
              <w:top w:val="nil"/>
              <w:left w:val="nil"/>
              <w:bottom w:val="single" w:sz="4" w:space="0" w:color="auto"/>
              <w:right w:val="nil"/>
            </w:tcBorders>
            <w:shd w:val="clear" w:color="auto" w:fill="auto"/>
            <w:noWrap/>
            <w:vAlign w:val="bottom"/>
            <w:hideMark/>
          </w:tcPr>
          <w:p w14:paraId="19EE6F0A"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3,162,356 </w:t>
            </w:r>
          </w:p>
        </w:tc>
        <w:tc>
          <w:tcPr>
            <w:tcW w:w="599" w:type="pct"/>
            <w:tcBorders>
              <w:top w:val="nil"/>
              <w:left w:val="nil"/>
              <w:bottom w:val="single" w:sz="4" w:space="0" w:color="auto"/>
              <w:right w:val="nil"/>
            </w:tcBorders>
            <w:shd w:val="clear" w:color="000000" w:fill="FF0000"/>
            <w:noWrap/>
            <w:vAlign w:val="bottom"/>
            <w:hideMark/>
          </w:tcPr>
          <w:p w14:paraId="6B2681AF"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11,448,794 </w:t>
            </w:r>
          </w:p>
        </w:tc>
        <w:tc>
          <w:tcPr>
            <w:tcW w:w="599" w:type="pct"/>
            <w:tcBorders>
              <w:top w:val="nil"/>
              <w:left w:val="nil"/>
              <w:bottom w:val="single" w:sz="4" w:space="0" w:color="auto"/>
              <w:right w:val="nil"/>
            </w:tcBorders>
            <w:shd w:val="clear" w:color="auto" w:fill="auto"/>
            <w:noWrap/>
            <w:vAlign w:val="bottom"/>
            <w:hideMark/>
          </w:tcPr>
          <w:p w14:paraId="3F4A1979"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4,131,993 </w:t>
            </w:r>
          </w:p>
        </w:tc>
        <w:tc>
          <w:tcPr>
            <w:tcW w:w="599" w:type="pct"/>
            <w:tcBorders>
              <w:top w:val="nil"/>
              <w:left w:val="nil"/>
              <w:bottom w:val="single" w:sz="4" w:space="0" w:color="auto"/>
              <w:right w:val="nil"/>
            </w:tcBorders>
            <w:shd w:val="clear" w:color="auto" w:fill="auto"/>
            <w:noWrap/>
            <w:vAlign w:val="bottom"/>
            <w:hideMark/>
          </w:tcPr>
          <w:p w14:paraId="18C01D63"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2,899,822 </w:t>
            </w:r>
          </w:p>
        </w:tc>
        <w:tc>
          <w:tcPr>
            <w:tcW w:w="602" w:type="pct"/>
            <w:tcBorders>
              <w:top w:val="nil"/>
              <w:left w:val="nil"/>
              <w:bottom w:val="single" w:sz="4" w:space="0" w:color="auto"/>
              <w:right w:val="nil"/>
            </w:tcBorders>
            <w:shd w:val="clear" w:color="auto" w:fill="auto"/>
            <w:noWrap/>
            <w:vAlign w:val="bottom"/>
            <w:hideMark/>
          </w:tcPr>
          <w:p w14:paraId="1D341E0F"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3,892,370 </w:t>
            </w:r>
          </w:p>
        </w:tc>
      </w:tr>
      <w:tr w:rsidR="00A12002" w:rsidRPr="00A12002" w14:paraId="35C3C24B" w14:textId="77777777" w:rsidTr="00533D6A">
        <w:trPr>
          <w:trHeight w:val="57"/>
        </w:trPr>
        <w:tc>
          <w:tcPr>
            <w:tcW w:w="599" w:type="pct"/>
            <w:vMerge w:val="restart"/>
            <w:tcBorders>
              <w:top w:val="nil"/>
              <w:left w:val="nil"/>
              <w:bottom w:val="single" w:sz="4" w:space="0" w:color="000000"/>
              <w:right w:val="nil"/>
            </w:tcBorders>
            <w:shd w:val="clear" w:color="auto" w:fill="auto"/>
            <w:vAlign w:val="center"/>
            <w:hideMark/>
          </w:tcPr>
          <w:p w14:paraId="714591A6" w14:textId="77777777" w:rsidR="00A12002" w:rsidRPr="00A12002" w:rsidRDefault="00A12002" w:rsidP="00A12002">
            <w:pPr>
              <w:spacing w:before="0" w:after="0"/>
              <w:jc w:val="left"/>
              <w:rPr>
                <w:rFonts w:ascii="Arial" w:hAnsi="Arial" w:cs="Arial"/>
                <w:b/>
                <w:bCs/>
                <w:color w:val="000000"/>
                <w:sz w:val="16"/>
                <w:szCs w:val="16"/>
              </w:rPr>
            </w:pPr>
            <w:r w:rsidRPr="00A12002">
              <w:rPr>
                <w:rFonts w:ascii="Arial" w:hAnsi="Arial" w:cs="Arial"/>
                <w:b/>
                <w:bCs/>
                <w:color w:val="000000"/>
                <w:sz w:val="16"/>
                <w:szCs w:val="16"/>
              </w:rPr>
              <w:t>Burdekin</w:t>
            </w:r>
          </w:p>
        </w:tc>
        <w:tc>
          <w:tcPr>
            <w:tcW w:w="802" w:type="pct"/>
            <w:tcBorders>
              <w:top w:val="nil"/>
              <w:left w:val="nil"/>
              <w:bottom w:val="nil"/>
              <w:right w:val="nil"/>
            </w:tcBorders>
            <w:shd w:val="clear" w:color="auto" w:fill="auto"/>
            <w:noWrap/>
            <w:vAlign w:val="bottom"/>
            <w:hideMark/>
          </w:tcPr>
          <w:p w14:paraId="14F16F3D"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Burdekin</w:t>
            </w:r>
          </w:p>
        </w:tc>
        <w:tc>
          <w:tcPr>
            <w:tcW w:w="599" w:type="pct"/>
            <w:tcBorders>
              <w:top w:val="nil"/>
              <w:left w:val="nil"/>
              <w:bottom w:val="nil"/>
              <w:right w:val="nil"/>
            </w:tcBorders>
            <w:shd w:val="clear" w:color="auto" w:fill="auto"/>
            <w:noWrap/>
            <w:vAlign w:val="bottom"/>
            <w:hideMark/>
          </w:tcPr>
          <w:p w14:paraId="0D453A39"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5,312,986 </w:t>
            </w:r>
          </w:p>
        </w:tc>
        <w:tc>
          <w:tcPr>
            <w:tcW w:w="599" w:type="pct"/>
            <w:tcBorders>
              <w:top w:val="nil"/>
              <w:left w:val="nil"/>
              <w:bottom w:val="nil"/>
              <w:right w:val="nil"/>
            </w:tcBorders>
            <w:shd w:val="clear" w:color="auto" w:fill="auto"/>
            <w:noWrap/>
            <w:vAlign w:val="bottom"/>
            <w:hideMark/>
          </w:tcPr>
          <w:p w14:paraId="33D765FD"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7,946,435 </w:t>
            </w:r>
          </w:p>
        </w:tc>
        <w:tc>
          <w:tcPr>
            <w:tcW w:w="599" w:type="pct"/>
            <w:tcBorders>
              <w:top w:val="nil"/>
              <w:left w:val="nil"/>
              <w:bottom w:val="nil"/>
              <w:right w:val="nil"/>
            </w:tcBorders>
            <w:shd w:val="clear" w:color="000000" w:fill="FF0000"/>
            <w:noWrap/>
            <w:vAlign w:val="bottom"/>
            <w:hideMark/>
          </w:tcPr>
          <w:p w14:paraId="6970671C"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34,834,316 </w:t>
            </w:r>
          </w:p>
        </w:tc>
        <w:tc>
          <w:tcPr>
            <w:tcW w:w="599" w:type="pct"/>
            <w:tcBorders>
              <w:top w:val="nil"/>
              <w:left w:val="nil"/>
              <w:bottom w:val="nil"/>
              <w:right w:val="nil"/>
            </w:tcBorders>
            <w:shd w:val="clear" w:color="000000" w:fill="FFC000"/>
            <w:noWrap/>
            <w:vAlign w:val="bottom"/>
            <w:hideMark/>
          </w:tcPr>
          <w:p w14:paraId="183092F6"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15,568,159 </w:t>
            </w:r>
          </w:p>
        </w:tc>
        <w:tc>
          <w:tcPr>
            <w:tcW w:w="599" w:type="pct"/>
            <w:tcBorders>
              <w:top w:val="nil"/>
              <w:left w:val="nil"/>
              <w:bottom w:val="nil"/>
              <w:right w:val="nil"/>
            </w:tcBorders>
            <w:shd w:val="clear" w:color="auto" w:fill="auto"/>
            <w:noWrap/>
            <w:vAlign w:val="bottom"/>
            <w:hideMark/>
          </w:tcPr>
          <w:p w14:paraId="1A82AF87"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3,424,572 </w:t>
            </w:r>
          </w:p>
        </w:tc>
        <w:tc>
          <w:tcPr>
            <w:tcW w:w="602" w:type="pct"/>
            <w:tcBorders>
              <w:top w:val="nil"/>
              <w:left w:val="nil"/>
              <w:bottom w:val="nil"/>
              <w:right w:val="nil"/>
            </w:tcBorders>
            <w:shd w:val="clear" w:color="auto" w:fill="auto"/>
            <w:noWrap/>
            <w:vAlign w:val="bottom"/>
            <w:hideMark/>
          </w:tcPr>
          <w:p w14:paraId="22947E73"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1,458,772 </w:t>
            </w:r>
          </w:p>
        </w:tc>
      </w:tr>
      <w:tr w:rsidR="00A12002" w:rsidRPr="00A12002" w14:paraId="4CA9C551" w14:textId="77777777" w:rsidTr="00533D6A">
        <w:trPr>
          <w:trHeight w:val="57"/>
        </w:trPr>
        <w:tc>
          <w:tcPr>
            <w:tcW w:w="599" w:type="pct"/>
            <w:vMerge/>
            <w:tcBorders>
              <w:top w:val="nil"/>
              <w:left w:val="nil"/>
              <w:bottom w:val="single" w:sz="4" w:space="0" w:color="000000"/>
              <w:right w:val="nil"/>
            </w:tcBorders>
            <w:vAlign w:val="center"/>
            <w:hideMark/>
          </w:tcPr>
          <w:p w14:paraId="320179C9" w14:textId="77777777" w:rsidR="00A12002" w:rsidRPr="00A12002" w:rsidRDefault="00A12002" w:rsidP="00A12002">
            <w:pPr>
              <w:spacing w:before="0" w:after="0"/>
              <w:jc w:val="left"/>
              <w:rPr>
                <w:rFonts w:ascii="Arial" w:hAnsi="Arial" w:cs="Arial"/>
                <w:b/>
                <w:bCs/>
                <w:color w:val="000000"/>
                <w:sz w:val="16"/>
                <w:szCs w:val="16"/>
              </w:rPr>
            </w:pPr>
          </w:p>
        </w:tc>
        <w:tc>
          <w:tcPr>
            <w:tcW w:w="802" w:type="pct"/>
            <w:tcBorders>
              <w:top w:val="nil"/>
              <w:left w:val="nil"/>
              <w:bottom w:val="single" w:sz="4" w:space="0" w:color="auto"/>
              <w:right w:val="nil"/>
            </w:tcBorders>
            <w:shd w:val="clear" w:color="auto" w:fill="auto"/>
            <w:noWrap/>
            <w:vAlign w:val="bottom"/>
            <w:hideMark/>
          </w:tcPr>
          <w:p w14:paraId="7DA9D2E2"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Don</w:t>
            </w:r>
          </w:p>
        </w:tc>
        <w:tc>
          <w:tcPr>
            <w:tcW w:w="599" w:type="pct"/>
            <w:tcBorders>
              <w:top w:val="nil"/>
              <w:left w:val="nil"/>
              <w:bottom w:val="single" w:sz="4" w:space="0" w:color="auto"/>
              <w:right w:val="nil"/>
            </w:tcBorders>
            <w:shd w:val="clear" w:color="auto" w:fill="auto"/>
            <w:noWrap/>
            <w:vAlign w:val="bottom"/>
            <w:hideMark/>
          </w:tcPr>
          <w:p w14:paraId="770C1126"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51,243 </w:t>
            </w:r>
          </w:p>
        </w:tc>
        <w:tc>
          <w:tcPr>
            <w:tcW w:w="599" w:type="pct"/>
            <w:tcBorders>
              <w:top w:val="nil"/>
              <w:left w:val="nil"/>
              <w:bottom w:val="single" w:sz="4" w:space="0" w:color="auto"/>
              <w:right w:val="nil"/>
            </w:tcBorders>
            <w:shd w:val="clear" w:color="000000" w:fill="FFC000"/>
            <w:noWrap/>
            <w:vAlign w:val="bottom"/>
            <w:hideMark/>
          </w:tcPr>
          <w:p w14:paraId="24FAD21F"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144,481 </w:t>
            </w:r>
          </w:p>
        </w:tc>
        <w:tc>
          <w:tcPr>
            <w:tcW w:w="599" w:type="pct"/>
            <w:tcBorders>
              <w:top w:val="nil"/>
              <w:left w:val="nil"/>
              <w:bottom w:val="single" w:sz="4" w:space="0" w:color="auto"/>
              <w:right w:val="nil"/>
            </w:tcBorders>
            <w:shd w:val="clear" w:color="000000" w:fill="FF0000"/>
            <w:noWrap/>
            <w:vAlign w:val="bottom"/>
            <w:hideMark/>
          </w:tcPr>
          <w:p w14:paraId="455BB7B8"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847,617 </w:t>
            </w:r>
          </w:p>
        </w:tc>
        <w:tc>
          <w:tcPr>
            <w:tcW w:w="599" w:type="pct"/>
            <w:tcBorders>
              <w:top w:val="nil"/>
              <w:left w:val="nil"/>
              <w:bottom w:val="single" w:sz="4" w:space="0" w:color="auto"/>
              <w:right w:val="nil"/>
            </w:tcBorders>
            <w:shd w:val="clear" w:color="000000" w:fill="FF0000"/>
            <w:noWrap/>
            <w:vAlign w:val="bottom"/>
            <w:hideMark/>
          </w:tcPr>
          <w:p w14:paraId="6AA3DA1E"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216,956 </w:t>
            </w:r>
          </w:p>
        </w:tc>
        <w:tc>
          <w:tcPr>
            <w:tcW w:w="599" w:type="pct"/>
            <w:tcBorders>
              <w:top w:val="nil"/>
              <w:left w:val="nil"/>
              <w:bottom w:val="single" w:sz="4" w:space="0" w:color="auto"/>
              <w:right w:val="nil"/>
            </w:tcBorders>
            <w:shd w:val="clear" w:color="000000" w:fill="FF0000"/>
            <w:noWrap/>
            <w:vAlign w:val="bottom"/>
            <w:hideMark/>
          </w:tcPr>
          <w:p w14:paraId="2AF3ADA8"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156,322 </w:t>
            </w:r>
          </w:p>
        </w:tc>
        <w:tc>
          <w:tcPr>
            <w:tcW w:w="602" w:type="pct"/>
            <w:tcBorders>
              <w:top w:val="nil"/>
              <w:left w:val="nil"/>
              <w:bottom w:val="single" w:sz="4" w:space="0" w:color="auto"/>
              <w:right w:val="nil"/>
            </w:tcBorders>
            <w:shd w:val="clear" w:color="000000" w:fill="FFFF00"/>
            <w:noWrap/>
            <w:vAlign w:val="bottom"/>
            <w:hideMark/>
          </w:tcPr>
          <w:p w14:paraId="6159CA10"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87,600 </w:t>
            </w:r>
          </w:p>
        </w:tc>
      </w:tr>
      <w:tr w:rsidR="00A12002" w:rsidRPr="00A12002" w14:paraId="66A33DEB" w14:textId="77777777" w:rsidTr="00533D6A">
        <w:trPr>
          <w:trHeight w:val="57"/>
        </w:trPr>
        <w:tc>
          <w:tcPr>
            <w:tcW w:w="599" w:type="pct"/>
            <w:vMerge w:val="restart"/>
            <w:tcBorders>
              <w:top w:val="nil"/>
              <w:left w:val="nil"/>
              <w:bottom w:val="single" w:sz="4" w:space="0" w:color="000000"/>
              <w:right w:val="nil"/>
            </w:tcBorders>
            <w:shd w:val="clear" w:color="auto" w:fill="auto"/>
            <w:vAlign w:val="center"/>
            <w:hideMark/>
          </w:tcPr>
          <w:p w14:paraId="280397C8" w14:textId="77777777" w:rsidR="00A12002" w:rsidRPr="00A12002" w:rsidRDefault="00A12002" w:rsidP="00A12002">
            <w:pPr>
              <w:spacing w:before="0" w:after="0"/>
              <w:jc w:val="left"/>
              <w:rPr>
                <w:rFonts w:ascii="Arial" w:hAnsi="Arial" w:cs="Arial"/>
                <w:b/>
                <w:bCs/>
                <w:color w:val="000000"/>
                <w:sz w:val="16"/>
                <w:szCs w:val="16"/>
              </w:rPr>
            </w:pPr>
            <w:r w:rsidRPr="00A12002">
              <w:rPr>
                <w:rFonts w:ascii="Arial" w:hAnsi="Arial" w:cs="Arial"/>
                <w:b/>
                <w:bCs/>
                <w:color w:val="000000"/>
                <w:sz w:val="16"/>
                <w:szCs w:val="16"/>
              </w:rPr>
              <w:t>Mackay Whitsunday</w:t>
            </w:r>
          </w:p>
        </w:tc>
        <w:tc>
          <w:tcPr>
            <w:tcW w:w="802" w:type="pct"/>
            <w:tcBorders>
              <w:top w:val="nil"/>
              <w:left w:val="nil"/>
              <w:bottom w:val="nil"/>
              <w:right w:val="nil"/>
            </w:tcBorders>
            <w:shd w:val="clear" w:color="auto" w:fill="auto"/>
            <w:noWrap/>
            <w:vAlign w:val="bottom"/>
            <w:hideMark/>
          </w:tcPr>
          <w:p w14:paraId="2CE2A7F4"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Proserpine</w:t>
            </w:r>
          </w:p>
        </w:tc>
        <w:tc>
          <w:tcPr>
            <w:tcW w:w="599" w:type="pct"/>
            <w:tcBorders>
              <w:top w:val="nil"/>
              <w:left w:val="nil"/>
              <w:bottom w:val="nil"/>
              <w:right w:val="nil"/>
            </w:tcBorders>
            <w:shd w:val="clear" w:color="auto" w:fill="auto"/>
            <w:noWrap/>
            <w:vAlign w:val="bottom"/>
            <w:hideMark/>
          </w:tcPr>
          <w:p w14:paraId="0E51FC62"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14,632 </w:t>
            </w:r>
          </w:p>
        </w:tc>
        <w:tc>
          <w:tcPr>
            <w:tcW w:w="599" w:type="pct"/>
            <w:tcBorders>
              <w:top w:val="nil"/>
              <w:left w:val="nil"/>
              <w:bottom w:val="nil"/>
              <w:right w:val="nil"/>
            </w:tcBorders>
            <w:shd w:val="clear" w:color="000000" w:fill="FF0000"/>
            <w:noWrap/>
            <w:vAlign w:val="bottom"/>
            <w:hideMark/>
          </w:tcPr>
          <w:p w14:paraId="7A4BECAD"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52,304 </w:t>
            </w:r>
          </w:p>
        </w:tc>
        <w:tc>
          <w:tcPr>
            <w:tcW w:w="599" w:type="pct"/>
            <w:tcBorders>
              <w:top w:val="nil"/>
              <w:left w:val="nil"/>
              <w:bottom w:val="nil"/>
              <w:right w:val="nil"/>
            </w:tcBorders>
            <w:shd w:val="clear" w:color="000000" w:fill="FF0000"/>
            <w:noWrap/>
            <w:vAlign w:val="bottom"/>
            <w:hideMark/>
          </w:tcPr>
          <w:p w14:paraId="4DC3A813"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346,248 </w:t>
            </w:r>
          </w:p>
        </w:tc>
        <w:tc>
          <w:tcPr>
            <w:tcW w:w="599" w:type="pct"/>
            <w:tcBorders>
              <w:top w:val="nil"/>
              <w:left w:val="nil"/>
              <w:bottom w:val="nil"/>
              <w:right w:val="nil"/>
            </w:tcBorders>
            <w:shd w:val="clear" w:color="000000" w:fill="FF0000"/>
            <w:noWrap/>
            <w:vAlign w:val="bottom"/>
            <w:hideMark/>
          </w:tcPr>
          <w:p w14:paraId="6613CB39"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51,927 </w:t>
            </w:r>
          </w:p>
        </w:tc>
        <w:tc>
          <w:tcPr>
            <w:tcW w:w="599" w:type="pct"/>
            <w:tcBorders>
              <w:top w:val="nil"/>
              <w:left w:val="nil"/>
              <w:bottom w:val="nil"/>
              <w:right w:val="nil"/>
            </w:tcBorders>
            <w:shd w:val="clear" w:color="000000" w:fill="FFC000"/>
            <w:noWrap/>
            <w:vAlign w:val="bottom"/>
            <w:hideMark/>
          </w:tcPr>
          <w:p w14:paraId="2068403F"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37,520 </w:t>
            </w:r>
          </w:p>
        </w:tc>
        <w:tc>
          <w:tcPr>
            <w:tcW w:w="602" w:type="pct"/>
            <w:tcBorders>
              <w:top w:val="nil"/>
              <w:left w:val="nil"/>
              <w:bottom w:val="nil"/>
              <w:right w:val="nil"/>
            </w:tcBorders>
            <w:shd w:val="clear" w:color="auto" w:fill="auto"/>
            <w:noWrap/>
            <w:vAlign w:val="bottom"/>
            <w:hideMark/>
          </w:tcPr>
          <w:p w14:paraId="5A757200"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3,542 </w:t>
            </w:r>
          </w:p>
        </w:tc>
      </w:tr>
      <w:tr w:rsidR="00A12002" w:rsidRPr="00A12002" w14:paraId="55C9E2F8" w14:textId="77777777" w:rsidTr="00533D6A">
        <w:trPr>
          <w:trHeight w:val="57"/>
        </w:trPr>
        <w:tc>
          <w:tcPr>
            <w:tcW w:w="599" w:type="pct"/>
            <w:vMerge/>
            <w:tcBorders>
              <w:top w:val="nil"/>
              <w:left w:val="nil"/>
              <w:bottom w:val="single" w:sz="4" w:space="0" w:color="000000"/>
              <w:right w:val="nil"/>
            </w:tcBorders>
            <w:vAlign w:val="center"/>
            <w:hideMark/>
          </w:tcPr>
          <w:p w14:paraId="1F8B4AFF" w14:textId="77777777" w:rsidR="00A12002" w:rsidRPr="00A12002" w:rsidRDefault="00A12002" w:rsidP="00A12002">
            <w:pPr>
              <w:spacing w:before="0" w:after="0"/>
              <w:jc w:val="left"/>
              <w:rPr>
                <w:rFonts w:ascii="Arial" w:hAnsi="Arial" w:cs="Arial"/>
                <w:b/>
                <w:bCs/>
                <w:color w:val="000000"/>
                <w:sz w:val="16"/>
                <w:szCs w:val="16"/>
              </w:rPr>
            </w:pPr>
          </w:p>
        </w:tc>
        <w:tc>
          <w:tcPr>
            <w:tcW w:w="802" w:type="pct"/>
            <w:tcBorders>
              <w:top w:val="nil"/>
              <w:left w:val="nil"/>
              <w:bottom w:val="nil"/>
              <w:right w:val="nil"/>
            </w:tcBorders>
            <w:shd w:val="clear" w:color="auto" w:fill="auto"/>
            <w:noWrap/>
            <w:vAlign w:val="bottom"/>
            <w:hideMark/>
          </w:tcPr>
          <w:p w14:paraId="3DC8DE52"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Oconnell</w:t>
            </w:r>
          </w:p>
        </w:tc>
        <w:tc>
          <w:tcPr>
            <w:tcW w:w="599" w:type="pct"/>
            <w:tcBorders>
              <w:top w:val="nil"/>
              <w:left w:val="nil"/>
              <w:bottom w:val="nil"/>
              <w:right w:val="nil"/>
            </w:tcBorders>
            <w:shd w:val="clear" w:color="auto" w:fill="auto"/>
            <w:noWrap/>
            <w:vAlign w:val="bottom"/>
            <w:hideMark/>
          </w:tcPr>
          <w:p w14:paraId="5E05C6C8"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150,788 </w:t>
            </w:r>
          </w:p>
        </w:tc>
        <w:tc>
          <w:tcPr>
            <w:tcW w:w="599" w:type="pct"/>
            <w:tcBorders>
              <w:top w:val="nil"/>
              <w:left w:val="nil"/>
              <w:bottom w:val="nil"/>
              <w:right w:val="nil"/>
            </w:tcBorders>
            <w:shd w:val="clear" w:color="000000" w:fill="FFC000"/>
            <w:noWrap/>
            <w:vAlign w:val="bottom"/>
            <w:hideMark/>
          </w:tcPr>
          <w:p w14:paraId="1EA7BC14"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327,627 </w:t>
            </w:r>
          </w:p>
        </w:tc>
        <w:tc>
          <w:tcPr>
            <w:tcW w:w="599" w:type="pct"/>
            <w:tcBorders>
              <w:top w:val="nil"/>
              <w:left w:val="nil"/>
              <w:bottom w:val="nil"/>
              <w:right w:val="nil"/>
            </w:tcBorders>
            <w:shd w:val="clear" w:color="000000" w:fill="FF0000"/>
            <w:noWrap/>
            <w:vAlign w:val="bottom"/>
            <w:hideMark/>
          </w:tcPr>
          <w:p w14:paraId="23E70171"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587,525 </w:t>
            </w:r>
          </w:p>
        </w:tc>
        <w:tc>
          <w:tcPr>
            <w:tcW w:w="599" w:type="pct"/>
            <w:tcBorders>
              <w:top w:val="nil"/>
              <w:left w:val="nil"/>
              <w:bottom w:val="nil"/>
              <w:right w:val="nil"/>
            </w:tcBorders>
            <w:shd w:val="clear" w:color="000000" w:fill="FFFF00"/>
            <w:noWrap/>
            <w:vAlign w:val="bottom"/>
            <w:hideMark/>
          </w:tcPr>
          <w:p w14:paraId="702F0C09"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278,370 </w:t>
            </w:r>
          </w:p>
        </w:tc>
        <w:tc>
          <w:tcPr>
            <w:tcW w:w="599" w:type="pct"/>
            <w:tcBorders>
              <w:top w:val="nil"/>
              <w:left w:val="nil"/>
              <w:bottom w:val="nil"/>
              <w:right w:val="nil"/>
            </w:tcBorders>
            <w:shd w:val="clear" w:color="auto" w:fill="auto"/>
            <w:noWrap/>
            <w:vAlign w:val="bottom"/>
            <w:hideMark/>
          </w:tcPr>
          <w:p w14:paraId="57EDBA1E"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109,167 </w:t>
            </w:r>
          </w:p>
        </w:tc>
        <w:tc>
          <w:tcPr>
            <w:tcW w:w="602" w:type="pct"/>
            <w:tcBorders>
              <w:top w:val="nil"/>
              <w:left w:val="nil"/>
              <w:bottom w:val="nil"/>
              <w:right w:val="nil"/>
            </w:tcBorders>
            <w:shd w:val="clear" w:color="auto" w:fill="auto"/>
            <w:noWrap/>
            <w:vAlign w:val="bottom"/>
            <w:hideMark/>
          </w:tcPr>
          <w:p w14:paraId="5609ECAF"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92,362 </w:t>
            </w:r>
          </w:p>
        </w:tc>
      </w:tr>
      <w:tr w:rsidR="00A12002" w:rsidRPr="00A12002" w14:paraId="55FC1DCA" w14:textId="77777777" w:rsidTr="00533D6A">
        <w:trPr>
          <w:trHeight w:val="57"/>
        </w:trPr>
        <w:tc>
          <w:tcPr>
            <w:tcW w:w="599" w:type="pct"/>
            <w:vMerge/>
            <w:tcBorders>
              <w:top w:val="nil"/>
              <w:left w:val="nil"/>
              <w:bottom w:val="single" w:sz="4" w:space="0" w:color="000000"/>
              <w:right w:val="nil"/>
            </w:tcBorders>
            <w:vAlign w:val="center"/>
            <w:hideMark/>
          </w:tcPr>
          <w:p w14:paraId="3D15256D" w14:textId="77777777" w:rsidR="00A12002" w:rsidRPr="00A12002" w:rsidRDefault="00A12002" w:rsidP="00A12002">
            <w:pPr>
              <w:spacing w:before="0" w:after="0"/>
              <w:jc w:val="left"/>
              <w:rPr>
                <w:rFonts w:ascii="Arial" w:hAnsi="Arial" w:cs="Arial"/>
                <w:b/>
                <w:bCs/>
                <w:color w:val="000000"/>
                <w:sz w:val="16"/>
                <w:szCs w:val="16"/>
              </w:rPr>
            </w:pPr>
          </w:p>
        </w:tc>
        <w:tc>
          <w:tcPr>
            <w:tcW w:w="802" w:type="pct"/>
            <w:tcBorders>
              <w:top w:val="nil"/>
              <w:left w:val="nil"/>
              <w:bottom w:val="nil"/>
              <w:right w:val="nil"/>
            </w:tcBorders>
            <w:shd w:val="clear" w:color="auto" w:fill="auto"/>
            <w:noWrap/>
            <w:vAlign w:val="bottom"/>
            <w:hideMark/>
          </w:tcPr>
          <w:p w14:paraId="6F499E90"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Pioneer</w:t>
            </w:r>
          </w:p>
        </w:tc>
        <w:tc>
          <w:tcPr>
            <w:tcW w:w="599" w:type="pct"/>
            <w:tcBorders>
              <w:top w:val="nil"/>
              <w:left w:val="nil"/>
              <w:bottom w:val="nil"/>
              <w:right w:val="nil"/>
            </w:tcBorders>
            <w:shd w:val="clear" w:color="auto" w:fill="auto"/>
            <w:noWrap/>
            <w:vAlign w:val="bottom"/>
            <w:hideMark/>
          </w:tcPr>
          <w:p w14:paraId="7654DD97"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355,584 </w:t>
            </w:r>
          </w:p>
        </w:tc>
        <w:tc>
          <w:tcPr>
            <w:tcW w:w="599" w:type="pct"/>
            <w:tcBorders>
              <w:top w:val="nil"/>
              <w:left w:val="nil"/>
              <w:bottom w:val="nil"/>
              <w:right w:val="nil"/>
            </w:tcBorders>
            <w:shd w:val="clear" w:color="000000" w:fill="FF0000"/>
            <w:noWrap/>
            <w:vAlign w:val="bottom"/>
            <w:hideMark/>
          </w:tcPr>
          <w:p w14:paraId="30C5DD9F"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1,432,244 </w:t>
            </w:r>
          </w:p>
        </w:tc>
        <w:tc>
          <w:tcPr>
            <w:tcW w:w="599" w:type="pct"/>
            <w:tcBorders>
              <w:top w:val="nil"/>
              <w:left w:val="nil"/>
              <w:bottom w:val="nil"/>
              <w:right w:val="nil"/>
            </w:tcBorders>
            <w:shd w:val="clear" w:color="000000" w:fill="FF0000"/>
            <w:noWrap/>
            <w:vAlign w:val="bottom"/>
            <w:hideMark/>
          </w:tcPr>
          <w:p w14:paraId="31D3E8AA"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3,300,383 </w:t>
            </w:r>
          </w:p>
        </w:tc>
        <w:tc>
          <w:tcPr>
            <w:tcW w:w="599" w:type="pct"/>
            <w:tcBorders>
              <w:top w:val="nil"/>
              <w:left w:val="nil"/>
              <w:bottom w:val="nil"/>
              <w:right w:val="nil"/>
            </w:tcBorders>
            <w:shd w:val="clear" w:color="000000" w:fill="FF0000"/>
            <w:noWrap/>
            <w:vAlign w:val="bottom"/>
            <w:hideMark/>
          </w:tcPr>
          <w:p w14:paraId="29919BAC"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1,425,167 </w:t>
            </w:r>
          </w:p>
        </w:tc>
        <w:tc>
          <w:tcPr>
            <w:tcW w:w="599" w:type="pct"/>
            <w:tcBorders>
              <w:top w:val="nil"/>
              <w:left w:val="nil"/>
              <w:bottom w:val="nil"/>
              <w:right w:val="nil"/>
            </w:tcBorders>
            <w:shd w:val="clear" w:color="000000" w:fill="FFC000"/>
            <w:noWrap/>
            <w:vAlign w:val="bottom"/>
            <w:hideMark/>
          </w:tcPr>
          <w:p w14:paraId="520DEE20"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1,057,156 </w:t>
            </w:r>
          </w:p>
        </w:tc>
        <w:tc>
          <w:tcPr>
            <w:tcW w:w="602" w:type="pct"/>
            <w:tcBorders>
              <w:top w:val="nil"/>
              <w:left w:val="nil"/>
              <w:bottom w:val="nil"/>
              <w:right w:val="nil"/>
            </w:tcBorders>
            <w:shd w:val="clear" w:color="000000" w:fill="FFFF00"/>
            <w:noWrap/>
            <w:vAlign w:val="bottom"/>
            <w:hideMark/>
          </w:tcPr>
          <w:p w14:paraId="7B7516E4"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577,559 </w:t>
            </w:r>
          </w:p>
        </w:tc>
      </w:tr>
      <w:tr w:rsidR="00A12002" w:rsidRPr="00A12002" w14:paraId="49863411" w14:textId="77777777" w:rsidTr="00533D6A">
        <w:trPr>
          <w:trHeight w:val="57"/>
        </w:trPr>
        <w:tc>
          <w:tcPr>
            <w:tcW w:w="599" w:type="pct"/>
            <w:vMerge/>
            <w:tcBorders>
              <w:top w:val="nil"/>
              <w:left w:val="nil"/>
              <w:bottom w:val="single" w:sz="4" w:space="0" w:color="000000"/>
              <w:right w:val="nil"/>
            </w:tcBorders>
            <w:vAlign w:val="center"/>
            <w:hideMark/>
          </w:tcPr>
          <w:p w14:paraId="440FBD0D" w14:textId="77777777" w:rsidR="00A12002" w:rsidRPr="00A12002" w:rsidRDefault="00A12002" w:rsidP="00A12002">
            <w:pPr>
              <w:spacing w:before="0" w:after="0"/>
              <w:jc w:val="left"/>
              <w:rPr>
                <w:rFonts w:ascii="Arial" w:hAnsi="Arial" w:cs="Arial"/>
                <w:b/>
                <w:bCs/>
                <w:color w:val="000000"/>
                <w:sz w:val="16"/>
                <w:szCs w:val="16"/>
              </w:rPr>
            </w:pPr>
          </w:p>
        </w:tc>
        <w:tc>
          <w:tcPr>
            <w:tcW w:w="802" w:type="pct"/>
            <w:tcBorders>
              <w:top w:val="nil"/>
              <w:left w:val="nil"/>
              <w:bottom w:val="nil"/>
              <w:right w:val="nil"/>
            </w:tcBorders>
            <w:shd w:val="clear" w:color="auto" w:fill="auto"/>
            <w:noWrap/>
            <w:vAlign w:val="bottom"/>
            <w:hideMark/>
          </w:tcPr>
          <w:p w14:paraId="2AD4806E"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Sandy</w:t>
            </w:r>
          </w:p>
        </w:tc>
        <w:tc>
          <w:tcPr>
            <w:tcW w:w="599" w:type="pct"/>
            <w:tcBorders>
              <w:top w:val="nil"/>
              <w:left w:val="nil"/>
              <w:bottom w:val="nil"/>
              <w:right w:val="nil"/>
            </w:tcBorders>
            <w:shd w:val="clear" w:color="auto" w:fill="auto"/>
            <w:noWrap/>
            <w:vAlign w:val="bottom"/>
            <w:hideMark/>
          </w:tcPr>
          <w:p w14:paraId="354FB43C"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117,856 </w:t>
            </w:r>
          </w:p>
        </w:tc>
        <w:tc>
          <w:tcPr>
            <w:tcW w:w="599" w:type="pct"/>
            <w:tcBorders>
              <w:top w:val="nil"/>
              <w:left w:val="nil"/>
              <w:bottom w:val="nil"/>
              <w:right w:val="nil"/>
            </w:tcBorders>
            <w:shd w:val="clear" w:color="auto" w:fill="auto"/>
            <w:noWrap/>
            <w:vAlign w:val="bottom"/>
            <w:hideMark/>
          </w:tcPr>
          <w:p w14:paraId="4DC22515"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375,904 </w:t>
            </w:r>
          </w:p>
        </w:tc>
        <w:tc>
          <w:tcPr>
            <w:tcW w:w="599" w:type="pct"/>
            <w:tcBorders>
              <w:top w:val="nil"/>
              <w:left w:val="nil"/>
              <w:bottom w:val="nil"/>
              <w:right w:val="nil"/>
            </w:tcBorders>
            <w:shd w:val="clear" w:color="auto" w:fill="auto"/>
            <w:noWrap/>
            <w:vAlign w:val="bottom"/>
            <w:hideMark/>
          </w:tcPr>
          <w:p w14:paraId="2C1574D1"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616,569 </w:t>
            </w:r>
          </w:p>
        </w:tc>
        <w:tc>
          <w:tcPr>
            <w:tcW w:w="599" w:type="pct"/>
            <w:tcBorders>
              <w:top w:val="nil"/>
              <w:left w:val="nil"/>
              <w:bottom w:val="nil"/>
              <w:right w:val="nil"/>
            </w:tcBorders>
            <w:shd w:val="clear" w:color="auto" w:fill="auto"/>
            <w:noWrap/>
            <w:vAlign w:val="bottom"/>
            <w:hideMark/>
          </w:tcPr>
          <w:p w14:paraId="4E2F35C4"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365,988 </w:t>
            </w:r>
          </w:p>
        </w:tc>
        <w:tc>
          <w:tcPr>
            <w:tcW w:w="599" w:type="pct"/>
            <w:tcBorders>
              <w:top w:val="nil"/>
              <w:left w:val="nil"/>
              <w:bottom w:val="nil"/>
              <w:right w:val="nil"/>
            </w:tcBorders>
            <w:shd w:val="clear" w:color="auto" w:fill="auto"/>
            <w:noWrap/>
            <w:vAlign w:val="bottom"/>
            <w:hideMark/>
          </w:tcPr>
          <w:p w14:paraId="042E70C1"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249,863 </w:t>
            </w:r>
          </w:p>
        </w:tc>
        <w:tc>
          <w:tcPr>
            <w:tcW w:w="602" w:type="pct"/>
            <w:tcBorders>
              <w:top w:val="nil"/>
              <w:left w:val="nil"/>
              <w:bottom w:val="nil"/>
              <w:right w:val="nil"/>
            </w:tcBorders>
            <w:shd w:val="clear" w:color="auto" w:fill="auto"/>
            <w:noWrap/>
            <w:vAlign w:val="bottom"/>
            <w:hideMark/>
          </w:tcPr>
          <w:p w14:paraId="04A859B5"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94,562 </w:t>
            </w:r>
          </w:p>
        </w:tc>
      </w:tr>
      <w:tr w:rsidR="00A12002" w:rsidRPr="00A12002" w14:paraId="563A9E7D" w14:textId="77777777" w:rsidTr="00533D6A">
        <w:trPr>
          <w:trHeight w:val="57"/>
        </w:trPr>
        <w:tc>
          <w:tcPr>
            <w:tcW w:w="599" w:type="pct"/>
            <w:vMerge/>
            <w:tcBorders>
              <w:top w:val="nil"/>
              <w:left w:val="nil"/>
              <w:bottom w:val="single" w:sz="4" w:space="0" w:color="000000"/>
              <w:right w:val="nil"/>
            </w:tcBorders>
            <w:vAlign w:val="center"/>
            <w:hideMark/>
          </w:tcPr>
          <w:p w14:paraId="3C885CAC" w14:textId="77777777" w:rsidR="00A12002" w:rsidRPr="00A12002" w:rsidRDefault="00A12002" w:rsidP="00A12002">
            <w:pPr>
              <w:spacing w:before="0" w:after="0"/>
              <w:jc w:val="left"/>
              <w:rPr>
                <w:rFonts w:ascii="Arial" w:hAnsi="Arial" w:cs="Arial"/>
                <w:b/>
                <w:bCs/>
                <w:color w:val="000000"/>
                <w:sz w:val="16"/>
                <w:szCs w:val="16"/>
              </w:rPr>
            </w:pPr>
          </w:p>
        </w:tc>
        <w:tc>
          <w:tcPr>
            <w:tcW w:w="802" w:type="pct"/>
            <w:tcBorders>
              <w:top w:val="nil"/>
              <w:left w:val="nil"/>
              <w:bottom w:val="single" w:sz="4" w:space="0" w:color="auto"/>
              <w:right w:val="nil"/>
            </w:tcBorders>
            <w:shd w:val="clear" w:color="auto" w:fill="auto"/>
            <w:noWrap/>
            <w:vAlign w:val="bottom"/>
            <w:hideMark/>
          </w:tcPr>
          <w:p w14:paraId="56580CEC"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Carmila</w:t>
            </w:r>
          </w:p>
        </w:tc>
        <w:tc>
          <w:tcPr>
            <w:tcW w:w="599" w:type="pct"/>
            <w:tcBorders>
              <w:top w:val="nil"/>
              <w:left w:val="nil"/>
              <w:bottom w:val="single" w:sz="4" w:space="0" w:color="auto"/>
              <w:right w:val="nil"/>
            </w:tcBorders>
            <w:shd w:val="clear" w:color="auto" w:fill="auto"/>
            <w:noWrap/>
            <w:vAlign w:val="bottom"/>
            <w:hideMark/>
          </w:tcPr>
          <w:p w14:paraId="0AF49CCB"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33,158 </w:t>
            </w:r>
          </w:p>
        </w:tc>
        <w:tc>
          <w:tcPr>
            <w:tcW w:w="599" w:type="pct"/>
            <w:tcBorders>
              <w:top w:val="nil"/>
              <w:left w:val="nil"/>
              <w:bottom w:val="single" w:sz="4" w:space="0" w:color="auto"/>
              <w:right w:val="nil"/>
            </w:tcBorders>
            <w:shd w:val="clear" w:color="000000" w:fill="FFC000"/>
            <w:noWrap/>
            <w:vAlign w:val="bottom"/>
            <w:hideMark/>
          </w:tcPr>
          <w:p w14:paraId="652FD02A"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96,228 </w:t>
            </w:r>
          </w:p>
        </w:tc>
        <w:tc>
          <w:tcPr>
            <w:tcW w:w="599" w:type="pct"/>
            <w:tcBorders>
              <w:top w:val="nil"/>
              <w:left w:val="nil"/>
              <w:bottom w:val="single" w:sz="4" w:space="0" w:color="auto"/>
              <w:right w:val="nil"/>
            </w:tcBorders>
            <w:shd w:val="clear" w:color="000000" w:fill="FFC000"/>
            <w:noWrap/>
            <w:vAlign w:val="bottom"/>
            <w:hideMark/>
          </w:tcPr>
          <w:p w14:paraId="7651D2D7"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87,644 </w:t>
            </w:r>
          </w:p>
        </w:tc>
        <w:tc>
          <w:tcPr>
            <w:tcW w:w="599" w:type="pct"/>
            <w:tcBorders>
              <w:top w:val="nil"/>
              <w:left w:val="nil"/>
              <w:bottom w:val="single" w:sz="4" w:space="0" w:color="auto"/>
              <w:right w:val="nil"/>
            </w:tcBorders>
            <w:shd w:val="clear" w:color="000000" w:fill="FFFF00"/>
            <w:noWrap/>
            <w:vAlign w:val="bottom"/>
            <w:hideMark/>
          </w:tcPr>
          <w:p w14:paraId="3C127E69"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57,656 </w:t>
            </w:r>
          </w:p>
        </w:tc>
        <w:tc>
          <w:tcPr>
            <w:tcW w:w="599" w:type="pct"/>
            <w:tcBorders>
              <w:top w:val="nil"/>
              <w:left w:val="nil"/>
              <w:bottom w:val="single" w:sz="4" w:space="0" w:color="auto"/>
              <w:right w:val="nil"/>
            </w:tcBorders>
            <w:shd w:val="clear" w:color="auto" w:fill="auto"/>
            <w:noWrap/>
            <w:vAlign w:val="bottom"/>
            <w:hideMark/>
          </w:tcPr>
          <w:p w14:paraId="2C88692C"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45,044 </w:t>
            </w:r>
          </w:p>
        </w:tc>
        <w:tc>
          <w:tcPr>
            <w:tcW w:w="602" w:type="pct"/>
            <w:tcBorders>
              <w:top w:val="nil"/>
              <w:left w:val="nil"/>
              <w:bottom w:val="single" w:sz="4" w:space="0" w:color="auto"/>
              <w:right w:val="nil"/>
            </w:tcBorders>
            <w:shd w:val="clear" w:color="auto" w:fill="auto"/>
            <w:noWrap/>
            <w:vAlign w:val="bottom"/>
            <w:hideMark/>
          </w:tcPr>
          <w:p w14:paraId="08378D76"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26,256 </w:t>
            </w:r>
          </w:p>
        </w:tc>
      </w:tr>
      <w:tr w:rsidR="00A12002" w:rsidRPr="00A12002" w14:paraId="61EAFAD1" w14:textId="77777777" w:rsidTr="00533D6A">
        <w:trPr>
          <w:trHeight w:val="57"/>
        </w:trPr>
        <w:tc>
          <w:tcPr>
            <w:tcW w:w="599" w:type="pct"/>
            <w:tcBorders>
              <w:top w:val="nil"/>
              <w:left w:val="nil"/>
              <w:bottom w:val="single" w:sz="4" w:space="0" w:color="auto"/>
              <w:right w:val="nil"/>
            </w:tcBorders>
            <w:shd w:val="clear" w:color="auto" w:fill="auto"/>
            <w:vAlign w:val="center"/>
            <w:hideMark/>
          </w:tcPr>
          <w:p w14:paraId="21DF0B36" w14:textId="77777777" w:rsidR="00A12002" w:rsidRPr="00A12002" w:rsidRDefault="00A12002" w:rsidP="00A12002">
            <w:pPr>
              <w:spacing w:before="0" w:after="0"/>
              <w:jc w:val="left"/>
              <w:rPr>
                <w:rFonts w:ascii="Arial" w:hAnsi="Arial" w:cs="Arial"/>
                <w:b/>
                <w:bCs/>
                <w:color w:val="000000"/>
                <w:sz w:val="16"/>
                <w:szCs w:val="16"/>
              </w:rPr>
            </w:pPr>
            <w:r w:rsidRPr="00A12002">
              <w:rPr>
                <w:rFonts w:ascii="Arial" w:hAnsi="Arial" w:cs="Arial"/>
                <w:b/>
                <w:bCs/>
                <w:color w:val="000000"/>
                <w:sz w:val="16"/>
                <w:szCs w:val="16"/>
              </w:rPr>
              <w:t>Fitzroy</w:t>
            </w:r>
          </w:p>
        </w:tc>
        <w:tc>
          <w:tcPr>
            <w:tcW w:w="802" w:type="pct"/>
            <w:tcBorders>
              <w:top w:val="nil"/>
              <w:left w:val="nil"/>
              <w:bottom w:val="single" w:sz="4" w:space="0" w:color="auto"/>
              <w:right w:val="nil"/>
            </w:tcBorders>
            <w:shd w:val="clear" w:color="auto" w:fill="auto"/>
            <w:noWrap/>
            <w:vAlign w:val="bottom"/>
            <w:hideMark/>
          </w:tcPr>
          <w:p w14:paraId="04BDDC61"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Fitzroy</w:t>
            </w:r>
          </w:p>
        </w:tc>
        <w:tc>
          <w:tcPr>
            <w:tcW w:w="599" w:type="pct"/>
            <w:tcBorders>
              <w:top w:val="nil"/>
              <w:left w:val="nil"/>
              <w:bottom w:val="single" w:sz="4" w:space="0" w:color="auto"/>
              <w:right w:val="nil"/>
            </w:tcBorders>
            <w:shd w:val="clear" w:color="auto" w:fill="auto"/>
            <w:noWrap/>
            <w:vAlign w:val="bottom"/>
            <w:hideMark/>
          </w:tcPr>
          <w:p w14:paraId="02BC2CD7"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3,071,435 </w:t>
            </w:r>
          </w:p>
        </w:tc>
        <w:tc>
          <w:tcPr>
            <w:tcW w:w="599" w:type="pct"/>
            <w:tcBorders>
              <w:top w:val="single" w:sz="4" w:space="0" w:color="auto"/>
              <w:left w:val="nil"/>
              <w:bottom w:val="single" w:sz="4" w:space="0" w:color="auto"/>
              <w:right w:val="nil"/>
            </w:tcBorders>
            <w:shd w:val="clear" w:color="000000" w:fill="FF0000"/>
            <w:noWrap/>
            <w:vAlign w:val="bottom"/>
            <w:hideMark/>
          </w:tcPr>
          <w:p w14:paraId="0810DF0B"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11,755,415 </w:t>
            </w:r>
          </w:p>
        </w:tc>
        <w:tc>
          <w:tcPr>
            <w:tcW w:w="599" w:type="pct"/>
            <w:tcBorders>
              <w:top w:val="single" w:sz="4" w:space="0" w:color="auto"/>
              <w:left w:val="nil"/>
              <w:bottom w:val="single" w:sz="4" w:space="0" w:color="auto"/>
              <w:right w:val="nil"/>
            </w:tcBorders>
            <w:shd w:val="clear" w:color="000000" w:fill="FF0000"/>
            <w:noWrap/>
            <w:vAlign w:val="bottom"/>
            <w:hideMark/>
          </w:tcPr>
          <w:p w14:paraId="0A495F8D"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37,942,149 </w:t>
            </w:r>
          </w:p>
        </w:tc>
        <w:tc>
          <w:tcPr>
            <w:tcW w:w="599" w:type="pct"/>
            <w:tcBorders>
              <w:top w:val="single" w:sz="4" w:space="0" w:color="auto"/>
              <w:left w:val="nil"/>
              <w:bottom w:val="single" w:sz="4" w:space="0" w:color="auto"/>
              <w:right w:val="nil"/>
            </w:tcBorders>
            <w:shd w:val="clear" w:color="000000" w:fill="FFC000"/>
            <w:noWrap/>
            <w:vAlign w:val="bottom"/>
            <w:hideMark/>
          </w:tcPr>
          <w:p w14:paraId="3BE35152"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7,993,273 </w:t>
            </w:r>
          </w:p>
        </w:tc>
        <w:tc>
          <w:tcPr>
            <w:tcW w:w="599" w:type="pct"/>
            <w:tcBorders>
              <w:top w:val="single" w:sz="4" w:space="0" w:color="auto"/>
              <w:left w:val="nil"/>
              <w:bottom w:val="single" w:sz="4" w:space="0" w:color="auto"/>
              <w:right w:val="nil"/>
            </w:tcBorders>
            <w:shd w:val="clear" w:color="000000" w:fill="FFC000"/>
            <w:noWrap/>
            <w:vAlign w:val="bottom"/>
            <w:hideMark/>
          </w:tcPr>
          <w:p w14:paraId="1AB38EB6"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8,530,491 </w:t>
            </w:r>
          </w:p>
        </w:tc>
        <w:tc>
          <w:tcPr>
            <w:tcW w:w="602" w:type="pct"/>
            <w:tcBorders>
              <w:top w:val="nil"/>
              <w:left w:val="nil"/>
              <w:bottom w:val="single" w:sz="4" w:space="0" w:color="auto"/>
              <w:right w:val="nil"/>
            </w:tcBorders>
            <w:shd w:val="clear" w:color="auto" w:fill="auto"/>
            <w:noWrap/>
            <w:vAlign w:val="bottom"/>
            <w:hideMark/>
          </w:tcPr>
          <w:p w14:paraId="7576997B"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1,578,610 </w:t>
            </w:r>
          </w:p>
        </w:tc>
      </w:tr>
      <w:tr w:rsidR="00A12002" w:rsidRPr="00A12002" w14:paraId="27A7926D" w14:textId="77777777" w:rsidTr="00533D6A">
        <w:trPr>
          <w:trHeight w:val="57"/>
        </w:trPr>
        <w:tc>
          <w:tcPr>
            <w:tcW w:w="599" w:type="pct"/>
            <w:vMerge w:val="restart"/>
            <w:tcBorders>
              <w:top w:val="nil"/>
              <w:left w:val="nil"/>
              <w:bottom w:val="single" w:sz="4" w:space="0" w:color="000000"/>
              <w:right w:val="nil"/>
            </w:tcBorders>
            <w:shd w:val="clear" w:color="auto" w:fill="auto"/>
            <w:vAlign w:val="center"/>
            <w:hideMark/>
          </w:tcPr>
          <w:p w14:paraId="0EA51CF0" w14:textId="77777777" w:rsidR="00A12002" w:rsidRPr="00A12002" w:rsidRDefault="00A12002" w:rsidP="00A12002">
            <w:pPr>
              <w:spacing w:before="0" w:after="0"/>
              <w:jc w:val="left"/>
              <w:rPr>
                <w:rFonts w:ascii="Arial" w:hAnsi="Arial" w:cs="Arial"/>
                <w:b/>
                <w:bCs/>
                <w:color w:val="000000"/>
                <w:sz w:val="16"/>
                <w:szCs w:val="16"/>
              </w:rPr>
            </w:pPr>
            <w:r w:rsidRPr="00A12002">
              <w:rPr>
                <w:rFonts w:ascii="Arial" w:hAnsi="Arial" w:cs="Arial"/>
                <w:b/>
                <w:bCs/>
                <w:color w:val="000000"/>
                <w:sz w:val="16"/>
                <w:szCs w:val="16"/>
              </w:rPr>
              <w:t>Burnett-Mary</w:t>
            </w:r>
          </w:p>
        </w:tc>
        <w:tc>
          <w:tcPr>
            <w:tcW w:w="802" w:type="pct"/>
            <w:tcBorders>
              <w:top w:val="nil"/>
              <w:left w:val="nil"/>
              <w:bottom w:val="nil"/>
              <w:right w:val="nil"/>
            </w:tcBorders>
            <w:shd w:val="clear" w:color="auto" w:fill="auto"/>
            <w:noWrap/>
            <w:vAlign w:val="bottom"/>
            <w:hideMark/>
          </w:tcPr>
          <w:p w14:paraId="6F53E413"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Burnett</w:t>
            </w:r>
          </w:p>
        </w:tc>
        <w:tc>
          <w:tcPr>
            <w:tcW w:w="599" w:type="pct"/>
            <w:tcBorders>
              <w:top w:val="nil"/>
              <w:left w:val="nil"/>
              <w:bottom w:val="nil"/>
              <w:right w:val="nil"/>
            </w:tcBorders>
            <w:shd w:val="clear" w:color="auto" w:fill="auto"/>
            <w:noWrap/>
            <w:vAlign w:val="bottom"/>
            <w:hideMark/>
          </w:tcPr>
          <w:p w14:paraId="00619249"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282,151 </w:t>
            </w:r>
          </w:p>
        </w:tc>
        <w:tc>
          <w:tcPr>
            <w:tcW w:w="599" w:type="pct"/>
            <w:tcBorders>
              <w:top w:val="nil"/>
              <w:left w:val="nil"/>
              <w:bottom w:val="nil"/>
              <w:right w:val="nil"/>
            </w:tcBorders>
            <w:shd w:val="clear" w:color="000000" w:fill="FF0000"/>
            <w:noWrap/>
            <w:vAlign w:val="bottom"/>
            <w:hideMark/>
          </w:tcPr>
          <w:p w14:paraId="3A35A4DB"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1,022,820 </w:t>
            </w:r>
          </w:p>
        </w:tc>
        <w:tc>
          <w:tcPr>
            <w:tcW w:w="599" w:type="pct"/>
            <w:tcBorders>
              <w:top w:val="nil"/>
              <w:left w:val="nil"/>
              <w:bottom w:val="nil"/>
              <w:right w:val="nil"/>
            </w:tcBorders>
            <w:shd w:val="clear" w:color="000000" w:fill="FF0000"/>
            <w:noWrap/>
            <w:vAlign w:val="bottom"/>
            <w:hideMark/>
          </w:tcPr>
          <w:p w14:paraId="37023117"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8,565,016 </w:t>
            </w:r>
          </w:p>
        </w:tc>
        <w:tc>
          <w:tcPr>
            <w:tcW w:w="599" w:type="pct"/>
            <w:tcBorders>
              <w:top w:val="nil"/>
              <w:left w:val="nil"/>
              <w:bottom w:val="nil"/>
              <w:right w:val="nil"/>
            </w:tcBorders>
            <w:shd w:val="clear" w:color="000000" w:fill="FFC000"/>
            <w:noWrap/>
            <w:vAlign w:val="bottom"/>
            <w:hideMark/>
          </w:tcPr>
          <w:p w14:paraId="6A2204D0"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584,670 </w:t>
            </w:r>
          </w:p>
        </w:tc>
        <w:tc>
          <w:tcPr>
            <w:tcW w:w="599" w:type="pct"/>
            <w:tcBorders>
              <w:top w:val="nil"/>
              <w:left w:val="nil"/>
              <w:bottom w:val="nil"/>
              <w:right w:val="nil"/>
            </w:tcBorders>
            <w:shd w:val="clear" w:color="000000" w:fill="FF0000"/>
            <w:noWrap/>
            <w:vAlign w:val="bottom"/>
            <w:hideMark/>
          </w:tcPr>
          <w:p w14:paraId="361F8803"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6,892,312 </w:t>
            </w:r>
          </w:p>
        </w:tc>
        <w:tc>
          <w:tcPr>
            <w:tcW w:w="602" w:type="pct"/>
            <w:tcBorders>
              <w:top w:val="nil"/>
              <w:left w:val="nil"/>
              <w:bottom w:val="nil"/>
              <w:right w:val="nil"/>
            </w:tcBorders>
            <w:shd w:val="clear" w:color="auto" w:fill="auto"/>
            <w:noWrap/>
            <w:vAlign w:val="bottom"/>
            <w:hideMark/>
          </w:tcPr>
          <w:p w14:paraId="72B1BCDE"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198,261 </w:t>
            </w:r>
          </w:p>
        </w:tc>
      </w:tr>
      <w:tr w:rsidR="00A12002" w:rsidRPr="00A12002" w14:paraId="6423954E" w14:textId="77777777" w:rsidTr="00533D6A">
        <w:trPr>
          <w:trHeight w:val="57"/>
        </w:trPr>
        <w:tc>
          <w:tcPr>
            <w:tcW w:w="599" w:type="pct"/>
            <w:vMerge/>
            <w:tcBorders>
              <w:top w:val="nil"/>
              <w:left w:val="nil"/>
              <w:bottom w:val="single" w:sz="4" w:space="0" w:color="000000"/>
              <w:right w:val="nil"/>
            </w:tcBorders>
            <w:vAlign w:val="center"/>
            <w:hideMark/>
          </w:tcPr>
          <w:p w14:paraId="62A92A26" w14:textId="77777777" w:rsidR="00A12002" w:rsidRPr="00A12002" w:rsidRDefault="00A12002" w:rsidP="00A12002">
            <w:pPr>
              <w:spacing w:before="0" w:after="0"/>
              <w:jc w:val="left"/>
              <w:rPr>
                <w:rFonts w:ascii="Arial" w:hAnsi="Arial" w:cs="Arial"/>
                <w:b/>
                <w:bCs/>
                <w:color w:val="000000"/>
                <w:sz w:val="16"/>
                <w:szCs w:val="16"/>
              </w:rPr>
            </w:pPr>
          </w:p>
        </w:tc>
        <w:tc>
          <w:tcPr>
            <w:tcW w:w="802" w:type="pct"/>
            <w:tcBorders>
              <w:top w:val="nil"/>
              <w:left w:val="nil"/>
              <w:bottom w:val="single" w:sz="4" w:space="0" w:color="auto"/>
              <w:right w:val="nil"/>
            </w:tcBorders>
            <w:shd w:val="clear" w:color="auto" w:fill="auto"/>
            <w:noWrap/>
            <w:vAlign w:val="bottom"/>
            <w:hideMark/>
          </w:tcPr>
          <w:p w14:paraId="0EC2E9BF"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Mary</w:t>
            </w:r>
          </w:p>
        </w:tc>
        <w:tc>
          <w:tcPr>
            <w:tcW w:w="599" w:type="pct"/>
            <w:tcBorders>
              <w:top w:val="nil"/>
              <w:left w:val="nil"/>
              <w:bottom w:val="single" w:sz="4" w:space="0" w:color="auto"/>
              <w:right w:val="nil"/>
            </w:tcBorders>
            <w:shd w:val="clear" w:color="auto" w:fill="auto"/>
            <w:noWrap/>
            <w:vAlign w:val="bottom"/>
            <w:hideMark/>
          </w:tcPr>
          <w:p w14:paraId="668DF41D"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696,590 </w:t>
            </w:r>
          </w:p>
        </w:tc>
        <w:tc>
          <w:tcPr>
            <w:tcW w:w="599" w:type="pct"/>
            <w:tcBorders>
              <w:top w:val="nil"/>
              <w:left w:val="nil"/>
              <w:bottom w:val="single" w:sz="4" w:space="0" w:color="auto"/>
              <w:right w:val="nil"/>
            </w:tcBorders>
            <w:shd w:val="clear" w:color="000000" w:fill="FFC000"/>
            <w:noWrap/>
            <w:vAlign w:val="bottom"/>
            <w:hideMark/>
          </w:tcPr>
          <w:p w14:paraId="6EDAF16C"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1,926,194 </w:t>
            </w:r>
          </w:p>
        </w:tc>
        <w:tc>
          <w:tcPr>
            <w:tcW w:w="599" w:type="pct"/>
            <w:tcBorders>
              <w:top w:val="nil"/>
              <w:left w:val="nil"/>
              <w:bottom w:val="single" w:sz="4" w:space="0" w:color="auto"/>
              <w:right w:val="nil"/>
            </w:tcBorders>
            <w:shd w:val="clear" w:color="000000" w:fill="FF0000"/>
            <w:noWrap/>
            <w:vAlign w:val="bottom"/>
            <w:hideMark/>
          </w:tcPr>
          <w:p w14:paraId="606CA3DC"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6,227,933 </w:t>
            </w:r>
          </w:p>
        </w:tc>
        <w:tc>
          <w:tcPr>
            <w:tcW w:w="599" w:type="pct"/>
            <w:tcBorders>
              <w:top w:val="nil"/>
              <w:left w:val="nil"/>
              <w:bottom w:val="single" w:sz="4" w:space="0" w:color="auto"/>
              <w:right w:val="nil"/>
            </w:tcBorders>
            <w:shd w:val="clear" w:color="000000" w:fill="FF0000"/>
            <w:noWrap/>
            <w:vAlign w:val="bottom"/>
            <w:hideMark/>
          </w:tcPr>
          <w:p w14:paraId="42D710DA"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3,100,196 </w:t>
            </w:r>
          </w:p>
        </w:tc>
        <w:tc>
          <w:tcPr>
            <w:tcW w:w="599" w:type="pct"/>
            <w:tcBorders>
              <w:top w:val="nil"/>
              <w:left w:val="nil"/>
              <w:bottom w:val="single" w:sz="4" w:space="0" w:color="auto"/>
              <w:right w:val="nil"/>
            </w:tcBorders>
            <w:shd w:val="clear" w:color="000000" w:fill="FF0000"/>
            <w:noWrap/>
            <w:vAlign w:val="bottom"/>
            <w:hideMark/>
          </w:tcPr>
          <w:p w14:paraId="4FAE648B"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5,467,371 </w:t>
            </w:r>
          </w:p>
        </w:tc>
        <w:tc>
          <w:tcPr>
            <w:tcW w:w="602" w:type="pct"/>
            <w:tcBorders>
              <w:top w:val="nil"/>
              <w:left w:val="nil"/>
              <w:bottom w:val="single" w:sz="4" w:space="0" w:color="auto"/>
              <w:right w:val="nil"/>
            </w:tcBorders>
            <w:shd w:val="clear" w:color="auto" w:fill="auto"/>
            <w:noWrap/>
            <w:vAlign w:val="bottom"/>
            <w:hideMark/>
          </w:tcPr>
          <w:p w14:paraId="7054112B" w14:textId="77777777" w:rsidR="00A12002" w:rsidRPr="00A12002" w:rsidRDefault="00A12002" w:rsidP="00A12002">
            <w:pPr>
              <w:spacing w:before="0" w:after="0"/>
              <w:jc w:val="left"/>
              <w:rPr>
                <w:rFonts w:ascii="Calibri" w:hAnsi="Calibri" w:cs="Times New Roman"/>
                <w:color w:val="000000"/>
              </w:rPr>
            </w:pPr>
            <w:r w:rsidRPr="00A12002">
              <w:rPr>
                <w:rFonts w:ascii="Calibri" w:hAnsi="Calibri" w:cs="Times New Roman"/>
                <w:color w:val="000000"/>
              </w:rPr>
              <w:t xml:space="preserve">             424,723 </w:t>
            </w:r>
          </w:p>
        </w:tc>
      </w:tr>
    </w:tbl>
    <w:p w14:paraId="4423C6C0" w14:textId="77777777" w:rsidR="00A12002" w:rsidRDefault="00A12002" w:rsidP="00330E11">
      <w:pPr>
        <w:rPr>
          <w:rFonts w:cs="Arial"/>
          <w:sz w:val="20"/>
          <w:szCs w:val="20"/>
        </w:rPr>
      </w:pPr>
    </w:p>
    <w:p w14:paraId="2B8C7F6E" w14:textId="77777777" w:rsidR="00330E11" w:rsidRDefault="00330E11" w:rsidP="00482CB4">
      <w:pPr>
        <w:sectPr w:rsidR="00330E11" w:rsidSect="00330E11">
          <w:pgSz w:w="16840" w:h="11907" w:orient="landscape" w:code="9"/>
          <w:pgMar w:top="1440" w:right="1440" w:bottom="1260" w:left="1440" w:header="680" w:footer="851" w:gutter="0"/>
          <w:cols w:space="708"/>
          <w:docGrid w:linePitch="326"/>
        </w:sectPr>
      </w:pPr>
    </w:p>
    <w:p w14:paraId="480163F8" w14:textId="1C69382E" w:rsidR="00861681" w:rsidRPr="00C36141" w:rsidRDefault="00861681" w:rsidP="00861681">
      <w:pPr>
        <w:rPr>
          <w:lang w:val="en-GB" w:eastAsia="en-US"/>
        </w:rPr>
      </w:pPr>
      <w:r w:rsidRPr="00C36141">
        <w:rPr>
          <w:lang w:val="en-GB" w:eastAsia="en-US"/>
        </w:rPr>
        <w:lastRenderedPageBreak/>
        <w:t>The low</w:t>
      </w:r>
      <w:r w:rsidR="001F15B7">
        <w:rPr>
          <w:lang w:val="en-GB" w:eastAsia="en-US"/>
        </w:rPr>
        <w:t>er</w:t>
      </w:r>
      <w:r w:rsidRPr="00C36141">
        <w:rPr>
          <w:lang w:val="en-GB" w:eastAsia="en-US"/>
        </w:rPr>
        <w:t xml:space="preserve"> 2013-2014 wet season discharge for the main GBR rivers is also evident when it is compared against the long-term mean discharge for each river. For example, the Daintree River in the north of the Wet Tropics was the only main river experienced discharge exceeding &gt;2 folds the long-term median (Tab</w:t>
      </w:r>
      <w:r w:rsidR="001763D2">
        <w:rPr>
          <w:lang w:val="en-GB" w:eastAsia="en-US"/>
        </w:rPr>
        <w:t>le</w:t>
      </w:r>
      <w:r w:rsidRPr="00C36141">
        <w:rPr>
          <w:lang w:val="en-GB" w:eastAsia="en-US"/>
        </w:rPr>
        <w:t xml:space="preserve"> 3-1). This high discharge was a result of the passage of the Ex-tropical cyclone Ita in </w:t>
      </w:r>
      <w:r w:rsidR="00BE1A79">
        <w:rPr>
          <w:lang w:val="en-GB" w:eastAsia="en-US"/>
        </w:rPr>
        <w:t>mid-</w:t>
      </w:r>
      <w:r w:rsidRPr="00C36141">
        <w:rPr>
          <w:lang w:val="en-GB" w:eastAsia="en-US"/>
        </w:rPr>
        <w:t xml:space="preserve">April </w:t>
      </w:r>
      <w:r w:rsidR="00BE1A79">
        <w:rPr>
          <w:lang w:val="en-GB" w:eastAsia="en-US"/>
        </w:rPr>
        <w:t>2014</w:t>
      </w:r>
      <w:r w:rsidRPr="00C36141">
        <w:rPr>
          <w:lang w:val="en-GB" w:eastAsia="en-US"/>
        </w:rPr>
        <w:t xml:space="preserve">, </w:t>
      </w:r>
      <w:r w:rsidR="00BE1A79">
        <w:rPr>
          <w:lang w:val="en-GB" w:eastAsia="en-US"/>
        </w:rPr>
        <w:t xml:space="preserve">contributing to </w:t>
      </w:r>
      <w:r w:rsidRPr="00C36141">
        <w:rPr>
          <w:lang w:val="en-GB" w:eastAsia="en-US"/>
        </w:rPr>
        <w:t>a total wet season flow of 1.4×10</w:t>
      </w:r>
      <w:r w:rsidRPr="00C36141">
        <w:rPr>
          <w:vertAlign w:val="superscript"/>
          <w:lang w:val="en-GB" w:eastAsia="en-US"/>
        </w:rPr>
        <w:t>6</w:t>
      </w:r>
      <w:r w:rsidRPr="00C36141">
        <w:rPr>
          <w:lang w:val="en-GB" w:eastAsia="en-US"/>
        </w:rPr>
        <w:t xml:space="preserve"> ML. All the other major rivers in the GBR did not exceed 1.5 </w:t>
      </w:r>
      <w:r>
        <w:rPr>
          <w:lang w:val="en-GB" w:eastAsia="en-US"/>
        </w:rPr>
        <w:t>times</w:t>
      </w:r>
      <w:r w:rsidRPr="00C36141">
        <w:rPr>
          <w:lang w:val="en-GB" w:eastAsia="en-US"/>
        </w:rPr>
        <w:t xml:space="preserve"> their long-term median discharge. Exceptions were observed to the Don River in the Burdekin region and the Pioneer River in the Mackay-Whitsundays region, with total wet season discharge of 8.1×10</w:t>
      </w:r>
      <w:r w:rsidRPr="00C36141">
        <w:rPr>
          <w:vertAlign w:val="superscript"/>
          <w:lang w:val="en-GB" w:eastAsia="en-US"/>
        </w:rPr>
        <w:t>4</w:t>
      </w:r>
      <w:r w:rsidRPr="00C36141">
        <w:rPr>
          <w:lang w:val="en-GB" w:eastAsia="en-US"/>
        </w:rPr>
        <w:t xml:space="preserve"> ML and 4.2×10</w:t>
      </w:r>
      <w:r w:rsidRPr="00C36141">
        <w:rPr>
          <w:vertAlign w:val="superscript"/>
          <w:lang w:val="en-GB" w:eastAsia="en-US"/>
        </w:rPr>
        <w:t>5</w:t>
      </w:r>
      <w:r w:rsidRPr="00C36141">
        <w:rPr>
          <w:lang w:val="en-GB" w:eastAsia="en-US"/>
        </w:rPr>
        <w:t xml:space="preserve"> ML, respectively.</w:t>
      </w:r>
    </w:p>
    <w:p w14:paraId="78650618" w14:textId="77777777" w:rsidR="00861681" w:rsidRPr="00C36141" w:rsidRDefault="00861681" w:rsidP="00861681">
      <w:pPr>
        <w:rPr>
          <w:lang w:val="en-GB" w:eastAsia="en-US"/>
        </w:rPr>
        <w:sectPr w:rsidR="00861681" w:rsidRPr="00C36141" w:rsidSect="00571B6D">
          <w:headerReference w:type="default" r:id="rId62"/>
          <w:footerReference w:type="default" r:id="rId63"/>
          <w:pgSz w:w="11907" w:h="16840" w:code="9"/>
          <w:pgMar w:top="1440" w:right="1440" w:bottom="1440" w:left="1440" w:header="680" w:footer="851" w:gutter="0"/>
          <w:cols w:space="708"/>
          <w:docGrid w:linePitch="326"/>
        </w:sectPr>
      </w:pPr>
      <w:r w:rsidRPr="00C36141">
        <w:rPr>
          <w:lang w:val="en-GB" w:eastAsia="en-US"/>
        </w:rPr>
        <w:t>The summary of the plume events computed as the number of days in which flow exceeded a long-term 75</w:t>
      </w:r>
      <w:r w:rsidRPr="00C36141">
        <w:rPr>
          <w:vertAlign w:val="superscript"/>
          <w:lang w:val="en-GB" w:eastAsia="en-US"/>
        </w:rPr>
        <w:t>th</w:t>
      </w:r>
      <w:r w:rsidRPr="00C36141">
        <w:rPr>
          <w:lang w:val="en-GB" w:eastAsia="en-US"/>
        </w:rPr>
        <w:t xml:space="preserve"> and 95</w:t>
      </w:r>
      <w:r w:rsidRPr="00C36141">
        <w:rPr>
          <w:vertAlign w:val="superscript"/>
          <w:lang w:val="en-GB" w:eastAsia="en-US"/>
        </w:rPr>
        <w:t>th</w:t>
      </w:r>
      <w:r w:rsidRPr="00C36141">
        <w:rPr>
          <w:lang w:val="en-GB" w:eastAsia="en-US"/>
        </w:rPr>
        <w:t xml:space="preserve"> percentile is shown in Table 3-2. Overall the majority of the main rivers in the GBR exhibited daily flow exceeded 95</w:t>
      </w:r>
      <w:r w:rsidRPr="00C36141">
        <w:rPr>
          <w:vertAlign w:val="superscript"/>
          <w:lang w:val="en-GB" w:eastAsia="en-US"/>
        </w:rPr>
        <w:t>th</w:t>
      </w:r>
      <w:r w:rsidRPr="00C36141">
        <w:rPr>
          <w:lang w:val="en-GB" w:eastAsia="en-US"/>
        </w:rPr>
        <w:t xml:space="preserve"> percentile, but this number was low vary from null to two weeks. Exception was observed for the Daintree River which exhibited 27 days of 178 days with flow record above the 95</w:t>
      </w:r>
      <w:r w:rsidRPr="00C36141">
        <w:rPr>
          <w:vertAlign w:val="superscript"/>
          <w:lang w:val="en-GB" w:eastAsia="en-US"/>
        </w:rPr>
        <w:t>th</w:t>
      </w:r>
      <w:r w:rsidRPr="00C36141">
        <w:rPr>
          <w:lang w:val="en-GB" w:eastAsia="en-US"/>
        </w:rPr>
        <w:t xml:space="preserve"> percentile, which was mainly associated with the passage of the Ex-tropical cyclone Ita.</w:t>
      </w:r>
    </w:p>
    <w:p w14:paraId="7CACA74E" w14:textId="55293928" w:rsidR="00330E11" w:rsidRPr="00482CB4" w:rsidRDefault="00330E11" w:rsidP="00EC2E74">
      <w:pPr>
        <w:pStyle w:val="Caption"/>
        <w:rPr>
          <w:sz w:val="18"/>
        </w:rPr>
      </w:pPr>
      <w:bookmarkStart w:id="83" w:name="_Ref428871099"/>
      <w:bookmarkStart w:id="84" w:name="_Toc454304605"/>
      <w:r>
        <w:lastRenderedPageBreak/>
        <w:t xml:space="preserve">Table </w:t>
      </w:r>
      <w:r w:rsidR="00445BD2">
        <w:fldChar w:fldCharType="begin"/>
      </w:r>
      <w:r w:rsidR="00445BD2">
        <w:instrText xml:space="preserve"> STYLEREF 1 \s </w:instrText>
      </w:r>
      <w:r w:rsidR="00445BD2">
        <w:fldChar w:fldCharType="separate"/>
      </w:r>
      <w:r w:rsidR="000E22F3">
        <w:rPr>
          <w:noProof/>
        </w:rPr>
        <w:t>3</w:t>
      </w:r>
      <w:r w:rsidR="00445BD2">
        <w:fldChar w:fldCharType="end"/>
      </w:r>
      <w:r w:rsidR="00445BD2">
        <w:noBreakHyphen/>
      </w:r>
      <w:r w:rsidR="00445BD2">
        <w:fldChar w:fldCharType="begin"/>
      </w:r>
      <w:r w:rsidR="00445BD2">
        <w:instrText xml:space="preserve"> SEQ Table \* ARABIC \s 1 </w:instrText>
      </w:r>
      <w:r w:rsidR="00445BD2">
        <w:fldChar w:fldCharType="separate"/>
      </w:r>
      <w:r w:rsidR="000E22F3">
        <w:rPr>
          <w:noProof/>
        </w:rPr>
        <w:t>2</w:t>
      </w:r>
      <w:r w:rsidR="00445BD2">
        <w:fldChar w:fldCharType="end"/>
      </w:r>
      <w:bookmarkEnd w:id="83"/>
      <w:r>
        <w:t xml:space="preserve">: </w:t>
      </w:r>
      <w:r w:rsidRPr="00482CB4">
        <w:t>The 75</w:t>
      </w:r>
      <w:r w:rsidRPr="00482CB4">
        <w:rPr>
          <w:vertAlign w:val="superscript"/>
        </w:rPr>
        <w:t>th</w:t>
      </w:r>
      <w:r w:rsidRPr="00482CB4">
        <w:t xml:space="preserve"> and 95</w:t>
      </w:r>
      <w:r w:rsidRPr="00482CB4">
        <w:rPr>
          <w:vertAlign w:val="superscript"/>
        </w:rPr>
        <w:t>th</w:t>
      </w:r>
      <w:r w:rsidRPr="00482CB4">
        <w:t xml:space="preserve"> percentile flow (ML/day) for the major GBR rivers (based on flow between </w:t>
      </w:r>
      <w:r w:rsidR="00A12002">
        <w:t xml:space="preserve">1970 to 2000 </w:t>
      </w:r>
      <w:r w:rsidRPr="00482CB4">
        <w:t>obtained from DNRM).</w:t>
      </w:r>
      <w:bookmarkEnd w:id="84"/>
    </w:p>
    <w:tbl>
      <w:tblPr>
        <w:tblW w:w="5000" w:type="pct"/>
        <w:tblLook w:val="04A0" w:firstRow="1" w:lastRow="0" w:firstColumn="1" w:lastColumn="0" w:noHBand="0" w:noVBand="1"/>
        <w:tblCaption w:val="The 75th and 95th percentile flow (ML/day) for the major GBR rivers (based on flow between 1970 to 2000 obtained from DNRM)."/>
        <w:tblDescription w:val="The 75th and 95th percentile flow (ML/day) for the major GBR rivers (based on flow between 1970 to 2000 obtained from DNRM)."/>
      </w:tblPr>
      <w:tblGrid>
        <w:gridCol w:w="1257"/>
        <w:gridCol w:w="1656"/>
        <w:gridCol w:w="1497"/>
        <w:gridCol w:w="1477"/>
        <w:gridCol w:w="1679"/>
        <w:gridCol w:w="1677"/>
      </w:tblGrid>
      <w:tr w:rsidR="00861681" w:rsidRPr="0097587B" w14:paraId="59B9F8F2" w14:textId="77777777" w:rsidTr="00861681">
        <w:trPr>
          <w:trHeight w:val="20"/>
        </w:trPr>
        <w:tc>
          <w:tcPr>
            <w:tcW w:w="680" w:type="pct"/>
            <w:tcBorders>
              <w:top w:val="single" w:sz="4" w:space="0" w:color="auto"/>
              <w:left w:val="nil"/>
              <w:bottom w:val="single" w:sz="4" w:space="0" w:color="auto"/>
              <w:right w:val="nil"/>
            </w:tcBorders>
            <w:shd w:val="clear" w:color="auto" w:fill="auto"/>
            <w:vAlign w:val="center"/>
            <w:hideMark/>
          </w:tcPr>
          <w:p w14:paraId="069B685B" w14:textId="77777777" w:rsidR="00861681" w:rsidRPr="0097587B" w:rsidRDefault="00861681" w:rsidP="00861681">
            <w:pPr>
              <w:spacing w:before="0" w:after="0" w:line="276" w:lineRule="auto"/>
              <w:jc w:val="left"/>
              <w:rPr>
                <w:rFonts w:ascii="Arial" w:hAnsi="Arial" w:cs="Arial"/>
                <w:b/>
                <w:bCs/>
                <w:color w:val="000000"/>
                <w:sz w:val="18"/>
                <w:szCs w:val="18"/>
              </w:rPr>
            </w:pPr>
            <w:r w:rsidRPr="0097587B">
              <w:rPr>
                <w:rFonts w:ascii="Arial" w:hAnsi="Arial" w:cs="Arial"/>
                <w:b/>
                <w:bCs/>
                <w:color w:val="000000"/>
                <w:sz w:val="18"/>
                <w:szCs w:val="18"/>
              </w:rPr>
              <w:t>Region</w:t>
            </w:r>
          </w:p>
        </w:tc>
        <w:tc>
          <w:tcPr>
            <w:tcW w:w="896" w:type="pct"/>
            <w:tcBorders>
              <w:top w:val="single" w:sz="4" w:space="0" w:color="auto"/>
              <w:left w:val="nil"/>
              <w:bottom w:val="single" w:sz="4" w:space="0" w:color="auto"/>
              <w:right w:val="nil"/>
            </w:tcBorders>
            <w:shd w:val="clear" w:color="auto" w:fill="auto"/>
            <w:vAlign w:val="center"/>
            <w:hideMark/>
          </w:tcPr>
          <w:p w14:paraId="12FF18D8" w14:textId="77777777" w:rsidR="00861681" w:rsidRPr="0097587B" w:rsidRDefault="00861681" w:rsidP="00861681">
            <w:pPr>
              <w:spacing w:before="0" w:after="0" w:line="276" w:lineRule="auto"/>
              <w:jc w:val="left"/>
              <w:rPr>
                <w:rFonts w:ascii="Arial" w:hAnsi="Arial" w:cs="Arial"/>
                <w:b/>
                <w:bCs/>
                <w:color w:val="000000"/>
                <w:sz w:val="18"/>
                <w:szCs w:val="18"/>
              </w:rPr>
            </w:pPr>
            <w:r w:rsidRPr="0097587B">
              <w:rPr>
                <w:rFonts w:ascii="Arial" w:hAnsi="Arial" w:cs="Arial"/>
                <w:b/>
                <w:bCs/>
                <w:color w:val="000000"/>
                <w:sz w:val="18"/>
                <w:szCs w:val="18"/>
              </w:rPr>
              <w:t>River</w:t>
            </w:r>
          </w:p>
        </w:tc>
        <w:tc>
          <w:tcPr>
            <w:tcW w:w="810" w:type="pct"/>
            <w:tcBorders>
              <w:top w:val="single" w:sz="4" w:space="0" w:color="auto"/>
              <w:left w:val="nil"/>
              <w:bottom w:val="single" w:sz="4" w:space="0" w:color="auto"/>
              <w:right w:val="nil"/>
            </w:tcBorders>
            <w:shd w:val="clear" w:color="auto" w:fill="auto"/>
            <w:vAlign w:val="center"/>
            <w:hideMark/>
          </w:tcPr>
          <w:p w14:paraId="5F68C945" w14:textId="77777777" w:rsidR="00861681" w:rsidRPr="0097587B" w:rsidRDefault="00861681" w:rsidP="00861681">
            <w:pPr>
              <w:spacing w:before="0" w:after="0" w:line="276" w:lineRule="auto"/>
              <w:jc w:val="center"/>
              <w:rPr>
                <w:rFonts w:ascii="Arial" w:hAnsi="Arial" w:cs="Arial"/>
                <w:b/>
                <w:bCs/>
                <w:color w:val="000000"/>
                <w:sz w:val="18"/>
                <w:szCs w:val="18"/>
              </w:rPr>
            </w:pPr>
            <w:r w:rsidRPr="0097587B">
              <w:rPr>
                <w:rFonts w:ascii="Arial" w:hAnsi="Arial" w:cs="Arial"/>
                <w:b/>
                <w:bCs/>
                <w:color w:val="000000"/>
                <w:sz w:val="18"/>
                <w:szCs w:val="18"/>
              </w:rPr>
              <w:t>75th %ile (ML/day)</w:t>
            </w:r>
          </w:p>
        </w:tc>
        <w:tc>
          <w:tcPr>
            <w:tcW w:w="799" w:type="pct"/>
            <w:tcBorders>
              <w:top w:val="single" w:sz="4" w:space="0" w:color="auto"/>
              <w:left w:val="nil"/>
              <w:bottom w:val="single" w:sz="4" w:space="0" w:color="auto"/>
              <w:right w:val="nil"/>
            </w:tcBorders>
            <w:shd w:val="clear" w:color="auto" w:fill="auto"/>
            <w:vAlign w:val="center"/>
            <w:hideMark/>
          </w:tcPr>
          <w:p w14:paraId="51FE3BC0" w14:textId="77777777" w:rsidR="00861681" w:rsidRPr="0097587B" w:rsidRDefault="00861681" w:rsidP="00861681">
            <w:pPr>
              <w:spacing w:before="0" w:after="0" w:line="276" w:lineRule="auto"/>
              <w:jc w:val="center"/>
              <w:rPr>
                <w:rFonts w:ascii="Arial" w:hAnsi="Arial" w:cs="Arial"/>
                <w:b/>
                <w:bCs/>
                <w:color w:val="000000"/>
                <w:sz w:val="18"/>
                <w:szCs w:val="18"/>
              </w:rPr>
            </w:pPr>
            <w:r w:rsidRPr="0097587B">
              <w:rPr>
                <w:rFonts w:ascii="Arial" w:hAnsi="Arial" w:cs="Arial"/>
                <w:b/>
                <w:bCs/>
                <w:color w:val="000000"/>
                <w:sz w:val="18"/>
                <w:szCs w:val="18"/>
              </w:rPr>
              <w:t>95th %ile (ML/day)</w:t>
            </w:r>
          </w:p>
        </w:tc>
        <w:tc>
          <w:tcPr>
            <w:tcW w:w="908" w:type="pct"/>
            <w:tcBorders>
              <w:top w:val="single" w:sz="4" w:space="0" w:color="auto"/>
              <w:left w:val="nil"/>
              <w:bottom w:val="single" w:sz="4" w:space="0" w:color="auto"/>
              <w:right w:val="nil"/>
            </w:tcBorders>
            <w:shd w:val="clear" w:color="auto" w:fill="auto"/>
            <w:vAlign w:val="center"/>
            <w:hideMark/>
          </w:tcPr>
          <w:p w14:paraId="21470CDE" w14:textId="77777777" w:rsidR="00861681" w:rsidRPr="0097587B" w:rsidRDefault="00861681" w:rsidP="00861681">
            <w:pPr>
              <w:spacing w:before="0" w:after="0" w:line="276" w:lineRule="auto"/>
              <w:jc w:val="center"/>
              <w:rPr>
                <w:rFonts w:ascii="Arial" w:hAnsi="Arial" w:cs="Arial"/>
                <w:b/>
                <w:bCs/>
                <w:color w:val="000000"/>
                <w:sz w:val="18"/>
                <w:szCs w:val="18"/>
              </w:rPr>
            </w:pPr>
            <w:r w:rsidRPr="0097587B">
              <w:rPr>
                <w:rFonts w:ascii="Arial" w:hAnsi="Arial" w:cs="Arial"/>
                <w:b/>
                <w:bCs/>
                <w:color w:val="000000"/>
                <w:sz w:val="18"/>
                <w:szCs w:val="18"/>
              </w:rPr>
              <w:t>No days exceed 75th %ile</w:t>
            </w:r>
          </w:p>
        </w:tc>
        <w:tc>
          <w:tcPr>
            <w:tcW w:w="907" w:type="pct"/>
            <w:tcBorders>
              <w:top w:val="single" w:sz="4" w:space="0" w:color="auto"/>
              <w:left w:val="nil"/>
              <w:bottom w:val="single" w:sz="4" w:space="0" w:color="auto"/>
              <w:right w:val="nil"/>
            </w:tcBorders>
            <w:shd w:val="clear" w:color="auto" w:fill="auto"/>
            <w:vAlign w:val="center"/>
            <w:hideMark/>
          </w:tcPr>
          <w:p w14:paraId="3DC56B81" w14:textId="77777777" w:rsidR="00861681" w:rsidRPr="0097587B" w:rsidRDefault="00861681" w:rsidP="00861681">
            <w:pPr>
              <w:spacing w:before="0" w:after="0" w:line="276" w:lineRule="auto"/>
              <w:jc w:val="center"/>
              <w:rPr>
                <w:rFonts w:ascii="Arial" w:hAnsi="Arial" w:cs="Arial"/>
                <w:b/>
                <w:bCs/>
                <w:color w:val="000000"/>
                <w:sz w:val="18"/>
                <w:szCs w:val="18"/>
              </w:rPr>
            </w:pPr>
            <w:r w:rsidRPr="0097587B">
              <w:rPr>
                <w:rFonts w:ascii="Arial" w:hAnsi="Arial" w:cs="Arial"/>
                <w:b/>
                <w:bCs/>
                <w:color w:val="000000"/>
                <w:sz w:val="18"/>
                <w:szCs w:val="18"/>
              </w:rPr>
              <w:t>No days exceed 95th %ile</w:t>
            </w:r>
          </w:p>
        </w:tc>
      </w:tr>
      <w:tr w:rsidR="00861681" w:rsidRPr="0097587B" w14:paraId="1677C8F0" w14:textId="77777777" w:rsidTr="00861681">
        <w:trPr>
          <w:trHeight w:val="20"/>
        </w:trPr>
        <w:tc>
          <w:tcPr>
            <w:tcW w:w="680" w:type="pct"/>
            <w:vMerge w:val="restart"/>
            <w:tcBorders>
              <w:top w:val="nil"/>
              <w:left w:val="nil"/>
              <w:bottom w:val="single" w:sz="4" w:space="0" w:color="000000"/>
              <w:right w:val="nil"/>
            </w:tcBorders>
            <w:shd w:val="clear" w:color="auto" w:fill="auto"/>
            <w:vAlign w:val="center"/>
            <w:hideMark/>
          </w:tcPr>
          <w:p w14:paraId="4E9047E3" w14:textId="77777777" w:rsidR="00861681" w:rsidRPr="0097587B" w:rsidRDefault="00861681" w:rsidP="00861681">
            <w:pPr>
              <w:spacing w:before="0" w:after="0" w:line="276" w:lineRule="auto"/>
              <w:jc w:val="left"/>
              <w:rPr>
                <w:rFonts w:ascii="Arial" w:hAnsi="Arial" w:cs="Arial"/>
                <w:b/>
                <w:bCs/>
                <w:color w:val="000000"/>
                <w:sz w:val="18"/>
                <w:szCs w:val="18"/>
              </w:rPr>
            </w:pPr>
            <w:r w:rsidRPr="0097587B">
              <w:rPr>
                <w:rFonts w:ascii="Arial" w:hAnsi="Arial" w:cs="Arial"/>
                <w:b/>
                <w:bCs/>
                <w:color w:val="000000"/>
                <w:sz w:val="18"/>
                <w:szCs w:val="18"/>
              </w:rPr>
              <w:t>Cape York</w:t>
            </w:r>
          </w:p>
        </w:tc>
        <w:tc>
          <w:tcPr>
            <w:tcW w:w="896" w:type="pct"/>
            <w:tcBorders>
              <w:top w:val="nil"/>
              <w:left w:val="nil"/>
              <w:bottom w:val="nil"/>
              <w:right w:val="nil"/>
            </w:tcBorders>
            <w:shd w:val="clear" w:color="auto" w:fill="auto"/>
            <w:noWrap/>
            <w:vAlign w:val="center"/>
            <w:hideMark/>
          </w:tcPr>
          <w:p w14:paraId="10229F7E" w14:textId="77777777" w:rsidR="00861681" w:rsidRPr="0097587B" w:rsidRDefault="00861681" w:rsidP="00861681">
            <w:pPr>
              <w:spacing w:before="0" w:after="0" w:line="276" w:lineRule="auto"/>
              <w:jc w:val="left"/>
              <w:rPr>
                <w:rFonts w:ascii="Arial" w:hAnsi="Arial" w:cs="Arial"/>
                <w:color w:val="000000"/>
                <w:sz w:val="18"/>
                <w:szCs w:val="18"/>
              </w:rPr>
            </w:pPr>
            <w:r w:rsidRPr="0097587B">
              <w:rPr>
                <w:rFonts w:ascii="Arial" w:hAnsi="Arial" w:cs="Arial"/>
                <w:color w:val="000000"/>
                <w:sz w:val="18"/>
                <w:szCs w:val="18"/>
              </w:rPr>
              <w:t>Pascoe</w:t>
            </w:r>
          </w:p>
        </w:tc>
        <w:tc>
          <w:tcPr>
            <w:tcW w:w="810" w:type="pct"/>
            <w:tcBorders>
              <w:top w:val="nil"/>
              <w:left w:val="nil"/>
              <w:bottom w:val="nil"/>
              <w:right w:val="nil"/>
            </w:tcBorders>
            <w:shd w:val="clear" w:color="auto" w:fill="auto"/>
            <w:noWrap/>
            <w:vAlign w:val="center"/>
            <w:hideMark/>
          </w:tcPr>
          <w:p w14:paraId="1B4D57F4"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8,262</w:t>
            </w:r>
          </w:p>
        </w:tc>
        <w:tc>
          <w:tcPr>
            <w:tcW w:w="799" w:type="pct"/>
            <w:tcBorders>
              <w:top w:val="nil"/>
              <w:left w:val="nil"/>
              <w:bottom w:val="nil"/>
              <w:right w:val="nil"/>
            </w:tcBorders>
            <w:shd w:val="clear" w:color="auto" w:fill="auto"/>
            <w:noWrap/>
            <w:vAlign w:val="center"/>
            <w:hideMark/>
          </w:tcPr>
          <w:p w14:paraId="0133E171"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29,620</w:t>
            </w:r>
          </w:p>
        </w:tc>
        <w:tc>
          <w:tcPr>
            <w:tcW w:w="908" w:type="pct"/>
            <w:tcBorders>
              <w:top w:val="nil"/>
              <w:left w:val="nil"/>
              <w:bottom w:val="nil"/>
              <w:right w:val="nil"/>
            </w:tcBorders>
            <w:shd w:val="clear" w:color="auto" w:fill="auto"/>
            <w:noWrap/>
            <w:vAlign w:val="center"/>
            <w:hideMark/>
          </w:tcPr>
          <w:p w14:paraId="3E5C6F90"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46 (in 173)</w:t>
            </w:r>
          </w:p>
        </w:tc>
        <w:tc>
          <w:tcPr>
            <w:tcW w:w="907" w:type="pct"/>
            <w:tcBorders>
              <w:top w:val="nil"/>
              <w:left w:val="nil"/>
              <w:bottom w:val="nil"/>
              <w:right w:val="nil"/>
            </w:tcBorders>
            <w:shd w:val="clear" w:color="auto" w:fill="auto"/>
            <w:noWrap/>
            <w:vAlign w:val="center"/>
            <w:hideMark/>
          </w:tcPr>
          <w:p w14:paraId="7B30B409"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11 (in 173)</w:t>
            </w:r>
          </w:p>
        </w:tc>
      </w:tr>
      <w:tr w:rsidR="00861681" w:rsidRPr="0097587B" w14:paraId="5D8A6500" w14:textId="77777777" w:rsidTr="00861681">
        <w:trPr>
          <w:trHeight w:val="20"/>
        </w:trPr>
        <w:tc>
          <w:tcPr>
            <w:tcW w:w="680" w:type="pct"/>
            <w:vMerge/>
            <w:tcBorders>
              <w:top w:val="nil"/>
              <w:left w:val="nil"/>
              <w:bottom w:val="single" w:sz="4" w:space="0" w:color="000000"/>
              <w:right w:val="nil"/>
            </w:tcBorders>
            <w:vAlign w:val="center"/>
            <w:hideMark/>
          </w:tcPr>
          <w:p w14:paraId="0C6468D8" w14:textId="77777777" w:rsidR="00861681" w:rsidRPr="0097587B" w:rsidRDefault="00861681" w:rsidP="00861681">
            <w:pPr>
              <w:spacing w:before="0" w:after="0" w:line="276" w:lineRule="auto"/>
              <w:jc w:val="left"/>
              <w:rPr>
                <w:rFonts w:ascii="Arial" w:hAnsi="Arial" w:cs="Arial"/>
                <w:b/>
                <w:bCs/>
                <w:color w:val="000000"/>
                <w:sz w:val="18"/>
                <w:szCs w:val="18"/>
              </w:rPr>
            </w:pPr>
          </w:p>
        </w:tc>
        <w:tc>
          <w:tcPr>
            <w:tcW w:w="896" w:type="pct"/>
            <w:tcBorders>
              <w:top w:val="nil"/>
              <w:left w:val="nil"/>
              <w:bottom w:val="nil"/>
              <w:right w:val="nil"/>
            </w:tcBorders>
            <w:shd w:val="clear" w:color="auto" w:fill="auto"/>
            <w:noWrap/>
            <w:vAlign w:val="center"/>
            <w:hideMark/>
          </w:tcPr>
          <w:p w14:paraId="0316EF27" w14:textId="77777777" w:rsidR="00861681" w:rsidRPr="0097587B" w:rsidRDefault="00861681" w:rsidP="00861681">
            <w:pPr>
              <w:spacing w:before="0" w:after="0" w:line="276" w:lineRule="auto"/>
              <w:jc w:val="left"/>
              <w:rPr>
                <w:rFonts w:ascii="Arial" w:hAnsi="Arial" w:cs="Arial"/>
                <w:color w:val="000000"/>
                <w:sz w:val="18"/>
                <w:szCs w:val="18"/>
              </w:rPr>
            </w:pPr>
            <w:r w:rsidRPr="0097587B">
              <w:rPr>
                <w:rFonts w:ascii="Arial" w:hAnsi="Arial" w:cs="Arial"/>
                <w:color w:val="000000"/>
                <w:sz w:val="18"/>
                <w:szCs w:val="18"/>
              </w:rPr>
              <w:t>Stewart</w:t>
            </w:r>
          </w:p>
        </w:tc>
        <w:tc>
          <w:tcPr>
            <w:tcW w:w="810" w:type="pct"/>
            <w:tcBorders>
              <w:top w:val="nil"/>
              <w:left w:val="nil"/>
              <w:bottom w:val="nil"/>
              <w:right w:val="nil"/>
            </w:tcBorders>
            <w:shd w:val="clear" w:color="auto" w:fill="auto"/>
            <w:noWrap/>
            <w:vAlign w:val="center"/>
            <w:hideMark/>
          </w:tcPr>
          <w:p w14:paraId="21E165FD"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1,185</w:t>
            </w:r>
          </w:p>
        </w:tc>
        <w:tc>
          <w:tcPr>
            <w:tcW w:w="799" w:type="pct"/>
            <w:tcBorders>
              <w:top w:val="nil"/>
              <w:left w:val="nil"/>
              <w:bottom w:val="nil"/>
              <w:right w:val="nil"/>
            </w:tcBorders>
            <w:shd w:val="clear" w:color="auto" w:fill="auto"/>
            <w:noWrap/>
            <w:vAlign w:val="center"/>
            <w:hideMark/>
          </w:tcPr>
          <w:p w14:paraId="5F1264F1"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5,909</w:t>
            </w:r>
          </w:p>
        </w:tc>
        <w:tc>
          <w:tcPr>
            <w:tcW w:w="908" w:type="pct"/>
            <w:tcBorders>
              <w:top w:val="nil"/>
              <w:left w:val="nil"/>
              <w:bottom w:val="nil"/>
              <w:right w:val="nil"/>
            </w:tcBorders>
            <w:shd w:val="clear" w:color="auto" w:fill="auto"/>
            <w:noWrap/>
            <w:vAlign w:val="center"/>
            <w:hideMark/>
          </w:tcPr>
          <w:p w14:paraId="5FB74DB6"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34 (in 173)</w:t>
            </w:r>
          </w:p>
        </w:tc>
        <w:tc>
          <w:tcPr>
            <w:tcW w:w="907" w:type="pct"/>
            <w:tcBorders>
              <w:top w:val="nil"/>
              <w:left w:val="nil"/>
              <w:bottom w:val="nil"/>
              <w:right w:val="nil"/>
            </w:tcBorders>
            <w:shd w:val="clear" w:color="auto" w:fill="auto"/>
            <w:noWrap/>
            <w:vAlign w:val="center"/>
            <w:hideMark/>
          </w:tcPr>
          <w:p w14:paraId="162D28FE"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5 (in 173)</w:t>
            </w:r>
          </w:p>
        </w:tc>
      </w:tr>
      <w:tr w:rsidR="00861681" w:rsidRPr="0097587B" w14:paraId="234B473E" w14:textId="77777777" w:rsidTr="00861681">
        <w:trPr>
          <w:trHeight w:val="20"/>
        </w:trPr>
        <w:tc>
          <w:tcPr>
            <w:tcW w:w="680" w:type="pct"/>
            <w:vMerge/>
            <w:tcBorders>
              <w:top w:val="nil"/>
              <w:left w:val="nil"/>
              <w:bottom w:val="single" w:sz="4" w:space="0" w:color="000000"/>
              <w:right w:val="nil"/>
            </w:tcBorders>
            <w:vAlign w:val="center"/>
            <w:hideMark/>
          </w:tcPr>
          <w:p w14:paraId="21518AD7" w14:textId="77777777" w:rsidR="00861681" w:rsidRPr="0097587B" w:rsidRDefault="00861681" w:rsidP="00861681">
            <w:pPr>
              <w:spacing w:before="0" w:after="0" w:line="276" w:lineRule="auto"/>
              <w:jc w:val="left"/>
              <w:rPr>
                <w:rFonts w:ascii="Arial" w:hAnsi="Arial" w:cs="Arial"/>
                <w:b/>
                <w:bCs/>
                <w:color w:val="000000"/>
                <w:sz w:val="18"/>
                <w:szCs w:val="18"/>
              </w:rPr>
            </w:pPr>
          </w:p>
        </w:tc>
        <w:tc>
          <w:tcPr>
            <w:tcW w:w="896" w:type="pct"/>
            <w:tcBorders>
              <w:top w:val="nil"/>
              <w:left w:val="nil"/>
              <w:bottom w:val="nil"/>
              <w:right w:val="nil"/>
            </w:tcBorders>
            <w:shd w:val="clear" w:color="auto" w:fill="auto"/>
            <w:noWrap/>
            <w:vAlign w:val="center"/>
            <w:hideMark/>
          </w:tcPr>
          <w:p w14:paraId="50482BC7" w14:textId="77777777" w:rsidR="00861681" w:rsidRPr="0097587B" w:rsidRDefault="00861681" w:rsidP="00861681">
            <w:pPr>
              <w:spacing w:before="0" w:after="0" w:line="276" w:lineRule="auto"/>
              <w:jc w:val="left"/>
              <w:rPr>
                <w:rFonts w:ascii="Arial" w:hAnsi="Arial" w:cs="Arial"/>
                <w:color w:val="000000"/>
                <w:sz w:val="18"/>
                <w:szCs w:val="18"/>
              </w:rPr>
            </w:pPr>
            <w:r w:rsidRPr="0097587B">
              <w:rPr>
                <w:rFonts w:ascii="Arial" w:hAnsi="Arial" w:cs="Arial"/>
                <w:color w:val="000000"/>
                <w:sz w:val="18"/>
                <w:szCs w:val="18"/>
              </w:rPr>
              <w:t>Normanby*</w:t>
            </w:r>
          </w:p>
        </w:tc>
        <w:tc>
          <w:tcPr>
            <w:tcW w:w="810" w:type="pct"/>
            <w:tcBorders>
              <w:top w:val="nil"/>
              <w:left w:val="nil"/>
              <w:bottom w:val="nil"/>
              <w:right w:val="nil"/>
            </w:tcBorders>
            <w:shd w:val="clear" w:color="auto" w:fill="auto"/>
            <w:noWrap/>
            <w:vAlign w:val="center"/>
            <w:hideMark/>
          </w:tcPr>
          <w:p w14:paraId="7BC44AAE"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w:t>
            </w:r>
          </w:p>
        </w:tc>
        <w:tc>
          <w:tcPr>
            <w:tcW w:w="799" w:type="pct"/>
            <w:tcBorders>
              <w:top w:val="nil"/>
              <w:left w:val="nil"/>
              <w:bottom w:val="nil"/>
              <w:right w:val="nil"/>
            </w:tcBorders>
            <w:shd w:val="clear" w:color="auto" w:fill="auto"/>
            <w:noWrap/>
            <w:vAlign w:val="center"/>
            <w:hideMark/>
          </w:tcPr>
          <w:p w14:paraId="3471E9CD"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w:t>
            </w:r>
          </w:p>
        </w:tc>
        <w:tc>
          <w:tcPr>
            <w:tcW w:w="908" w:type="pct"/>
            <w:tcBorders>
              <w:top w:val="nil"/>
              <w:left w:val="nil"/>
              <w:bottom w:val="nil"/>
              <w:right w:val="nil"/>
            </w:tcBorders>
            <w:shd w:val="clear" w:color="auto" w:fill="auto"/>
            <w:noWrap/>
            <w:vAlign w:val="center"/>
            <w:hideMark/>
          </w:tcPr>
          <w:p w14:paraId="1123293A"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w:t>
            </w:r>
          </w:p>
        </w:tc>
        <w:tc>
          <w:tcPr>
            <w:tcW w:w="907" w:type="pct"/>
            <w:tcBorders>
              <w:top w:val="nil"/>
              <w:left w:val="nil"/>
              <w:bottom w:val="nil"/>
              <w:right w:val="nil"/>
            </w:tcBorders>
            <w:shd w:val="clear" w:color="auto" w:fill="auto"/>
            <w:noWrap/>
            <w:vAlign w:val="center"/>
            <w:hideMark/>
          </w:tcPr>
          <w:p w14:paraId="0CF1620D"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w:t>
            </w:r>
          </w:p>
        </w:tc>
      </w:tr>
      <w:tr w:rsidR="00861681" w:rsidRPr="0097587B" w14:paraId="52C64DD7" w14:textId="77777777" w:rsidTr="00861681">
        <w:trPr>
          <w:trHeight w:val="20"/>
        </w:trPr>
        <w:tc>
          <w:tcPr>
            <w:tcW w:w="680" w:type="pct"/>
            <w:vMerge/>
            <w:tcBorders>
              <w:top w:val="nil"/>
              <w:left w:val="nil"/>
              <w:bottom w:val="single" w:sz="4" w:space="0" w:color="000000"/>
              <w:right w:val="nil"/>
            </w:tcBorders>
            <w:vAlign w:val="center"/>
            <w:hideMark/>
          </w:tcPr>
          <w:p w14:paraId="19F8EA0C" w14:textId="77777777" w:rsidR="00861681" w:rsidRPr="0097587B" w:rsidRDefault="00861681" w:rsidP="00861681">
            <w:pPr>
              <w:spacing w:before="0" w:after="0" w:line="276" w:lineRule="auto"/>
              <w:jc w:val="left"/>
              <w:rPr>
                <w:rFonts w:ascii="Arial" w:hAnsi="Arial" w:cs="Arial"/>
                <w:b/>
                <w:bCs/>
                <w:color w:val="000000"/>
                <w:sz w:val="18"/>
                <w:szCs w:val="18"/>
              </w:rPr>
            </w:pPr>
          </w:p>
        </w:tc>
        <w:tc>
          <w:tcPr>
            <w:tcW w:w="896" w:type="pct"/>
            <w:tcBorders>
              <w:top w:val="nil"/>
              <w:left w:val="nil"/>
              <w:bottom w:val="single" w:sz="4" w:space="0" w:color="auto"/>
              <w:right w:val="nil"/>
            </w:tcBorders>
            <w:shd w:val="clear" w:color="auto" w:fill="auto"/>
            <w:noWrap/>
            <w:vAlign w:val="center"/>
            <w:hideMark/>
          </w:tcPr>
          <w:p w14:paraId="7D377DA3" w14:textId="77777777" w:rsidR="00861681" w:rsidRPr="0097587B" w:rsidRDefault="00861681" w:rsidP="00861681">
            <w:pPr>
              <w:spacing w:before="0" w:after="0" w:line="276" w:lineRule="auto"/>
              <w:jc w:val="left"/>
              <w:rPr>
                <w:rFonts w:ascii="Arial" w:hAnsi="Arial" w:cs="Arial"/>
                <w:color w:val="000000"/>
                <w:sz w:val="18"/>
                <w:szCs w:val="18"/>
              </w:rPr>
            </w:pPr>
            <w:r w:rsidRPr="0097587B">
              <w:rPr>
                <w:rFonts w:ascii="Arial" w:hAnsi="Arial" w:cs="Arial"/>
                <w:color w:val="000000"/>
                <w:sz w:val="18"/>
                <w:szCs w:val="18"/>
              </w:rPr>
              <w:t>Annan</w:t>
            </w:r>
          </w:p>
        </w:tc>
        <w:tc>
          <w:tcPr>
            <w:tcW w:w="810" w:type="pct"/>
            <w:tcBorders>
              <w:top w:val="nil"/>
              <w:left w:val="nil"/>
              <w:bottom w:val="single" w:sz="4" w:space="0" w:color="auto"/>
              <w:right w:val="nil"/>
            </w:tcBorders>
            <w:shd w:val="clear" w:color="auto" w:fill="auto"/>
            <w:noWrap/>
            <w:vAlign w:val="center"/>
            <w:hideMark/>
          </w:tcPr>
          <w:p w14:paraId="54DBC7A8"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1,298</w:t>
            </w:r>
          </w:p>
        </w:tc>
        <w:tc>
          <w:tcPr>
            <w:tcW w:w="799" w:type="pct"/>
            <w:tcBorders>
              <w:top w:val="nil"/>
              <w:left w:val="nil"/>
              <w:bottom w:val="single" w:sz="4" w:space="0" w:color="auto"/>
              <w:right w:val="nil"/>
            </w:tcBorders>
            <w:shd w:val="clear" w:color="auto" w:fill="auto"/>
            <w:noWrap/>
            <w:vAlign w:val="center"/>
            <w:hideMark/>
          </w:tcPr>
          <w:p w14:paraId="0E87522C"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5,435</w:t>
            </w:r>
          </w:p>
        </w:tc>
        <w:tc>
          <w:tcPr>
            <w:tcW w:w="908" w:type="pct"/>
            <w:tcBorders>
              <w:top w:val="nil"/>
              <w:left w:val="nil"/>
              <w:bottom w:val="single" w:sz="4" w:space="0" w:color="auto"/>
              <w:right w:val="nil"/>
            </w:tcBorders>
            <w:shd w:val="clear" w:color="auto" w:fill="auto"/>
            <w:noWrap/>
            <w:vAlign w:val="center"/>
            <w:hideMark/>
          </w:tcPr>
          <w:p w14:paraId="7868292A"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49 (in 148)</w:t>
            </w:r>
          </w:p>
        </w:tc>
        <w:tc>
          <w:tcPr>
            <w:tcW w:w="907" w:type="pct"/>
            <w:tcBorders>
              <w:top w:val="nil"/>
              <w:left w:val="nil"/>
              <w:bottom w:val="single" w:sz="4" w:space="0" w:color="auto"/>
              <w:right w:val="nil"/>
            </w:tcBorders>
            <w:shd w:val="clear" w:color="auto" w:fill="auto"/>
            <w:noWrap/>
            <w:vAlign w:val="center"/>
            <w:hideMark/>
          </w:tcPr>
          <w:p w14:paraId="4F001F87"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2 (in 148)</w:t>
            </w:r>
          </w:p>
        </w:tc>
      </w:tr>
      <w:tr w:rsidR="00861681" w:rsidRPr="0097587B" w14:paraId="321F9D40" w14:textId="77777777" w:rsidTr="00861681">
        <w:trPr>
          <w:trHeight w:val="20"/>
        </w:trPr>
        <w:tc>
          <w:tcPr>
            <w:tcW w:w="680" w:type="pct"/>
            <w:vMerge w:val="restart"/>
            <w:tcBorders>
              <w:top w:val="nil"/>
              <w:left w:val="nil"/>
              <w:bottom w:val="single" w:sz="4" w:space="0" w:color="000000"/>
              <w:right w:val="nil"/>
            </w:tcBorders>
            <w:shd w:val="clear" w:color="auto" w:fill="auto"/>
            <w:vAlign w:val="center"/>
            <w:hideMark/>
          </w:tcPr>
          <w:p w14:paraId="1CA51C1B" w14:textId="77777777" w:rsidR="00861681" w:rsidRPr="0097587B" w:rsidRDefault="00861681" w:rsidP="00861681">
            <w:pPr>
              <w:spacing w:before="0" w:after="0" w:line="276" w:lineRule="auto"/>
              <w:jc w:val="left"/>
              <w:rPr>
                <w:rFonts w:ascii="Arial" w:hAnsi="Arial" w:cs="Arial"/>
                <w:b/>
                <w:bCs/>
                <w:color w:val="000000"/>
                <w:sz w:val="18"/>
                <w:szCs w:val="18"/>
              </w:rPr>
            </w:pPr>
            <w:r w:rsidRPr="0097587B">
              <w:rPr>
                <w:rFonts w:ascii="Arial" w:hAnsi="Arial" w:cs="Arial"/>
                <w:b/>
                <w:bCs/>
                <w:color w:val="000000"/>
                <w:sz w:val="18"/>
                <w:szCs w:val="18"/>
              </w:rPr>
              <w:t>Wet Tropics</w:t>
            </w:r>
          </w:p>
        </w:tc>
        <w:tc>
          <w:tcPr>
            <w:tcW w:w="896" w:type="pct"/>
            <w:tcBorders>
              <w:top w:val="nil"/>
              <w:left w:val="nil"/>
              <w:bottom w:val="nil"/>
              <w:right w:val="nil"/>
            </w:tcBorders>
            <w:shd w:val="clear" w:color="auto" w:fill="auto"/>
            <w:noWrap/>
            <w:vAlign w:val="center"/>
            <w:hideMark/>
          </w:tcPr>
          <w:p w14:paraId="0533F9F9" w14:textId="77777777" w:rsidR="00861681" w:rsidRPr="0097587B" w:rsidRDefault="00861681" w:rsidP="00861681">
            <w:pPr>
              <w:spacing w:before="0" w:after="0" w:line="276" w:lineRule="auto"/>
              <w:jc w:val="left"/>
              <w:rPr>
                <w:rFonts w:ascii="Arial" w:hAnsi="Arial" w:cs="Arial"/>
                <w:color w:val="000000"/>
                <w:sz w:val="18"/>
                <w:szCs w:val="18"/>
              </w:rPr>
            </w:pPr>
            <w:r w:rsidRPr="0097587B">
              <w:rPr>
                <w:rFonts w:ascii="Arial" w:hAnsi="Arial" w:cs="Arial"/>
                <w:color w:val="000000"/>
                <w:sz w:val="18"/>
                <w:szCs w:val="18"/>
              </w:rPr>
              <w:t>Daintree</w:t>
            </w:r>
          </w:p>
        </w:tc>
        <w:tc>
          <w:tcPr>
            <w:tcW w:w="810" w:type="pct"/>
            <w:tcBorders>
              <w:top w:val="nil"/>
              <w:left w:val="nil"/>
              <w:bottom w:val="nil"/>
              <w:right w:val="nil"/>
            </w:tcBorders>
            <w:shd w:val="clear" w:color="auto" w:fill="auto"/>
            <w:noWrap/>
            <w:vAlign w:val="center"/>
            <w:hideMark/>
          </w:tcPr>
          <w:p w14:paraId="360987D8"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3,855</w:t>
            </w:r>
          </w:p>
        </w:tc>
        <w:tc>
          <w:tcPr>
            <w:tcW w:w="799" w:type="pct"/>
            <w:tcBorders>
              <w:top w:val="nil"/>
              <w:left w:val="nil"/>
              <w:bottom w:val="nil"/>
              <w:right w:val="nil"/>
            </w:tcBorders>
            <w:shd w:val="clear" w:color="auto" w:fill="auto"/>
            <w:noWrap/>
            <w:vAlign w:val="center"/>
            <w:hideMark/>
          </w:tcPr>
          <w:p w14:paraId="26AD40C3"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12,859</w:t>
            </w:r>
          </w:p>
        </w:tc>
        <w:tc>
          <w:tcPr>
            <w:tcW w:w="908" w:type="pct"/>
            <w:tcBorders>
              <w:top w:val="nil"/>
              <w:left w:val="nil"/>
              <w:bottom w:val="nil"/>
              <w:right w:val="nil"/>
            </w:tcBorders>
            <w:shd w:val="clear" w:color="auto" w:fill="auto"/>
            <w:noWrap/>
            <w:vAlign w:val="center"/>
            <w:hideMark/>
          </w:tcPr>
          <w:p w14:paraId="5F9A43C4"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69 (in 178)</w:t>
            </w:r>
          </w:p>
        </w:tc>
        <w:tc>
          <w:tcPr>
            <w:tcW w:w="907" w:type="pct"/>
            <w:tcBorders>
              <w:top w:val="nil"/>
              <w:left w:val="nil"/>
              <w:bottom w:val="nil"/>
              <w:right w:val="nil"/>
            </w:tcBorders>
            <w:shd w:val="clear" w:color="auto" w:fill="auto"/>
            <w:noWrap/>
            <w:vAlign w:val="center"/>
            <w:hideMark/>
          </w:tcPr>
          <w:p w14:paraId="3C26A89F"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27 (in 178)</w:t>
            </w:r>
          </w:p>
        </w:tc>
      </w:tr>
      <w:tr w:rsidR="00861681" w:rsidRPr="0097587B" w14:paraId="60323F47" w14:textId="77777777" w:rsidTr="00861681">
        <w:trPr>
          <w:trHeight w:val="20"/>
        </w:trPr>
        <w:tc>
          <w:tcPr>
            <w:tcW w:w="680" w:type="pct"/>
            <w:vMerge/>
            <w:tcBorders>
              <w:top w:val="nil"/>
              <w:left w:val="nil"/>
              <w:bottom w:val="single" w:sz="4" w:space="0" w:color="000000"/>
              <w:right w:val="nil"/>
            </w:tcBorders>
            <w:vAlign w:val="center"/>
            <w:hideMark/>
          </w:tcPr>
          <w:p w14:paraId="01E070A7" w14:textId="77777777" w:rsidR="00861681" w:rsidRPr="0097587B" w:rsidRDefault="00861681" w:rsidP="00861681">
            <w:pPr>
              <w:spacing w:before="0" w:after="0" w:line="276" w:lineRule="auto"/>
              <w:jc w:val="left"/>
              <w:rPr>
                <w:rFonts w:ascii="Arial" w:hAnsi="Arial" w:cs="Arial"/>
                <w:b/>
                <w:bCs/>
                <w:color w:val="000000"/>
                <w:sz w:val="18"/>
                <w:szCs w:val="18"/>
              </w:rPr>
            </w:pPr>
          </w:p>
        </w:tc>
        <w:tc>
          <w:tcPr>
            <w:tcW w:w="896" w:type="pct"/>
            <w:tcBorders>
              <w:top w:val="nil"/>
              <w:left w:val="nil"/>
              <w:bottom w:val="nil"/>
              <w:right w:val="nil"/>
            </w:tcBorders>
            <w:shd w:val="clear" w:color="auto" w:fill="auto"/>
            <w:noWrap/>
            <w:vAlign w:val="center"/>
            <w:hideMark/>
          </w:tcPr>
          <w:p w14:paraId="1A4E6653" w14:textId="77777777" w:rsidR="00861681" w:rsidRPr="0097587B" w:rsidRDefault="00861681" w:rsidP="00861681">
            <w:pPr>
              <w:spacing w:before="0" w:after="0" w:line="276" w:lineRule="auto"/>
              <w:jc w:val="left"/>
              <w:rPr>
                <w:rFonts w:ascii="Arial" w:hAnsi="Arial" w:cs="Arial"/>
                <w:color w:val="000000"/>
                <w:sz w:val="18"/>
                <w:szCs w:val="18"/>
              </w:rPr>
            </w:pPr>
            <w:r w:rsidRPr="0097587B">
              <w:rPr>
                <w:rFonts w:ascii="Arial" w:hAnsi="Arial" w:cs="Arial"/>
                <w:color w:val="000000"/>
                <w:sz w:val="18"/>
                <w:szCs w:val="18"/>
              </w:rPr>
              <w:t>Barron</w:t>
            </w:r>
          </w:p>
        </w:tc>
        <w:tc>
          <w:tcPr>
            <w:tcW w:w="810" w:type="pct"/>
            <w:tcBorders>
              <w:top w:val="nil"/>
              <w:left w:val="nil"/>
              <w:bottom w:val="nil"/>
              <w:right w:val="nil"/>
            </w:tcBorders>
            <w:shd w:val="clear" w:color="auto" w:fill="auto"/>
            <w:noWrap/>
            <w:vAlign w:val="center"/>
            <w:hideMark/>
          </w:tcPr>
          <w:p w14:paraId="4CB845B6"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2,444</w:t>
            </w:r>
          </w:p>
        </w:tc>
        <w:tc>
          <w:tcPr>
            <w:tcW w:w="799" w:type="pct"/>
            <w:tcBorders>
              <w:top w:val="nil"/>
              <w:left w:val="nil"/>
              <w:bottom w:val="nil"/>
              <w:right w:val="nil"/>
            </w:tcBorders>
            <w:shd w:val="clear" w:color="auto" w:fill="auto"/>
            <w:noWrap/>
            <w:vAlign w:val="center"/>
            <w:hideMark/>
          </w:tcPr>
          <w:p w14:paraId="54573381"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15,311</w:t>
            </w:r>
          </w:p>
        </w:tc>
        <w:tc>
          <w:tcPr>
            <w:tcW w:w="908" w:type="pct"/>
            <w:tcBorders>
              <w:top w:val="nil"/>
              <w:left w:val="nil"/>
              <w:bottom w:val="nil"/>
              <w:right w:val="nil"/>
            </w:tcBorders>
            <w:shd w:val="clear" w:color="auto" w:fill="auto"/>
            <w:noWrap/>
            <w:vAlign w:val="center"/>
            <w:hideMark/>
          </w:tcPr>
          <w:p w14:paraId="305FB448"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22 (in 181)</w:t>
            </w:r>
          </w:p>
        </w:tc>
        <w:tc>
          <w:tcPr>
            <w:tcW w:w="907" w:type="pct"/>
            <w:tcBorders>
              <w:top w:val="nil"/>
              <w:left w:val="nil"/>
              <w:bottom w:val="nil"/>
              <w:right w:val="nil"/>
            </w:tcBorders>
            <w:shd w:val="clear" w:color="auto" w:fill="auto"/>
            <w:noWrap/>
            <w:vAlign w:val="center"/>
            <w:hideMark/>
          </w:tcPr>
          <w:p w14:paraId="6293EE85"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4 (in 181)</w:t>
            </w:r>
          </w:p>
        </w:tc>
      </w:tr>
      <w:tr w:rsidR="00861681" w:rsidRPr="0097587B" w14:paraId="15ACEEDC" w14:textId="77777777" w:rsidTr="00861681">
        <w:trPr>
          <w:trHeight w:val="20"/>
        </w:trPr>
        <w:tc>
          <w:tcPr>
            <w:tcW w:w="680" w:type="pct"/>
            <w:vMerge/>
            <w:tcBorders>
              <w:top w:val="nil"/>
              <w:left w:val="nil"/>
              <w:bottom w:val="single" w:sz="4" w:space="0" w:color="000000"/>
              <w:right w:val="nil"/>
            </w:tcBorders>
            <w:vAlign w:val="center"/>
            <w:hideMark/>
          </w:tcPr>
          <w:p w14:paraId="02B27444" w14:textId="77777777" w:rsidR="00861681" w:rsidRPr="0097587B" w:rsidRDefault="00861681" w:rsidP="00861681">
            <w:pPr>
              <w:spacing w:before="0" w:after="0" w:line="276" w:lineRule="auto"/>
              <w:jc w:val="left"/>
              <w:rPr>
                <w:rFonts w:ascii="Arial" w:hAnsi="Arial" w:cs="Arial"/>
                <w:b/>
                <w:bCs/>
                <w:color w:val="000000"/>
                <w:sz w:val="18"/>
                <w:szCs w:val="18"/>
              </w:rPr>
            </w:pPr>
          </w:p>
        </w:tc>
        <w:tc>
          <w:tcPr>
            <w:tcW w:w="896" w:type="pct"/>
            <w:tcBorders>
              <w:top w:val="nil"/>
              <w:left w:val="nil"/>
              <w:bottom w:val="nil"/>
              <w:right w:val="nil"/>
            </w:tcBorders>
            <w:shd w:val="clear" w:color="auto" w:fill="auto"/>
            <w:noWrap/>
            <w:vAlign w:val="center"/>
            <w:hideMark/>
          </w:tcPr>
          <w:p w14:paraId="132316A5" w14:textId="77777777" w:rsidR="00861681" w:rsidRPr="0097587B" w:rsidRDefault="00861681" w:rsidP="00861681">
            <w:pPr>
              <w:spacing w:before="0" w:after="0" w:line="276" w:lineRule="auto"/>
              <w:jc w:val="left"/>
              <w:rPr>
                <w:rFonts w:ascii="Arial" w:hAnsi="Arial" w:cs="Arial"/>
                <w:color w:val="000000"/>
                <w:sz w:val="18"/>
                <w:szCs w:val="18"/>
              </w:rPr>
            </w:pPr>
            <w:r w:rsidRPr="0097587B">
              <w:rPr>
                <w:rFonts w:ascii="Arial" w:hAnsi="Arial" w:cs="Arial"/>
                <w:color w:val="000000"/>
                <w:sz w:val="18"/>
                <w:szCs w:val="18"/>
              </w:rPr>
              <w:t>Mulgrave</w:t>
            </w:r>
          </w:p>
        </w:tc>
        <w:tc>
          <w:tcPr>
            <w:tcW w:w="810" w:type="pct"/>
            <w:tcBorders>
              <w:top w:val="nil"/>
              <w:left w:val="nil"/>
              <w:bottom w:val="nil"/>
              <w:right w:val="nil"/>
            </w:tcBorders>
            <w:shd w:val="clear" w:color="auto" w:fill="auto"/>
            <w:noWrap/>
            <w:vAlign w:val="center"/>
            <w:hideMark/>
          </w:tcPr>
          <w:p w14:paraId="4428656D"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3,070</w:t>
            </w:r>
          </w:p>
        </w:tc>
        <w:tc>
          <w:tcPr>
            <w:tcW w:w="799" w:type="pct"/>
            <w:tcBorders>
              <w:top w:val="nil"/>
              <w:left w:val="nil"/>
              <w:bottom w:val="nil"/>
              <w:right w:val="nil"/>
            </w:tcBorders>
            <w:shd w:val="clear" w:color="auto" w:fill="auto"/>
            <w:noWrap/>
            <w:vAlign w:val="center"/>
            <w:hideMark/>
          </w:tcPr>
          <w:p w14:paraId="5CC7DAE4"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10,512</w:t>
            </w:r>
          </w:p>
        </w:tc>
        <w:tc>
          <w:tcPr>
            <w:tcW w:w="908" w:type="pct"/>
            <w:tcBorders>
              <w:top w:val="nil"/>
              <w:left w:val="nil"/>
              <w:bottom w:val="nil"/>
              <w:right w:val="nil"/>
            </w:tcBorders>
            <w:shd w:val="clear" w:color="auto" w:fill="auto"/>
            <w:noWrap/>
            <w:vAlign w:val="center"/>
            <w:hideMark/>
          </w:tcPr>
          <w:p w14:paraId="7A2543ED"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64 (in 181)</w:t>
            </w:r>
          </w:p>
        </w:tc>
        <w:tc>
          <w:tcPr>
            <w:tcW w:w="907" w:type="pct"/>
            <w:tcBorders>
              <w:top w:val="nil"/>
              <w:left w:val="nil"/>
              <w:bottom w:val="nil"/>
              <w:right w:val="nil"/>
            </w:tcBorders>
            <w:shd w:val="clear" w:color="auto" w:fill="auto"/>
            <w:noWrap/>
            <w:vAlign w:val="center"/>
            <w:hideMark/>
          </w:tcPr>
          <w:p w14:paraId="02ABD8E8"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9 (in 181)</w:t>
            </w:r>
          </w:p>
        </w:tc>
      </w:tr>
      <w:tr w:rsidR="00861681" w:rsidRPr="0097587B" w14:paraId="1C8FAB4E" w14:textId="77777777" w:rsidTr="00861681">
        <w:trPr>
          <w:trHeight w:val="20"/>
        </w:trPr>
        <w:tc>
          <w:tcPr>
            <w:tcW w:w="680" w:type="pct"/>
            <w:vMerge/>
            <w:tcBorders>
              <w:top w:val="nil"/>
              <w:left w:val="nil"/>
              <w:bottom w:val="single" w:sz="4" w:space="0" w:color="000000"/>
              <w:right w:val="nil"/>
            </w:tcBorders>
            <w:vAlign w:val="center"/>
            <w:hideMark/>
          </w:tcPr>
          <w:p w14:paraId="265438B4" w14:textId="77777777" w:rsidR="00861681" w:rsidRPr="0097587B" w:rsidRDefault="00861681" w:rsidP="00861681">
            <w:pPr>
              <w:spacing w:before="0" w:after="0" w:line="276" w:lineRule="auto"/>
              <w:jc w:val="left"/>
              <w:rPr>
                <w:rFonts w:ascii="Arial" w:hAnsi="Arial" w:cs="Arial"/>
                <w:b/>
                <w:bCs/>
                <w:color w:val="000000"/>
                <w:sz w:val="18"/>
                <w:szCs w:val="18"/>
              </w:rPr>
            </w:pPr>
          </w:p>
        </w:tc>
        <w:tc>
          <w:tcPr>
            <w:tcW w:w="896" w:type="pct"/>
            <w:tcBorders>
              <w:top w:val="nil"/>
              <w:left w:val="nil"/>
              <w:bottom w:val="nil"/>
              <w:right w:val="nil"/>
            </w:tcBorders>
            <w:shd w:val="clear" w:color="auto" w:fill="auto"/>
            <w:noWrap/>
            <w:vAlign w:val="center"/>
            <w:hideMark/>
          </w:tcPr>
          <w:p w14:paraId="08102683" w14:textId="77777777" w:rsidR="00861681" w:rsidRPr="0097587B" w:rsidRDefault="00861681" w:rsidP="00861681">
            <w:pPr>
              <w:spacing w:before="0" w:after="0" w:line="276" w:lineRule="auto"/>
              <w:jc w:val="left"/>
              <w:rPr>
                <w:rFonts w:ascii="Arial" w:hAnsi="Arial" w:cs="Arial"/>
                <w:color w:val="000000"/>
                <w:sz w:val="18"/>
                <w:szCs w:val="18"/>
              </w:rPr>
            </w:pPr>
            <w:r w:rsidRPr="0097587B">
              <w:rPr>
                <w:rFonts w:ascii="Arial" w:hAnsi="Arial" w:cs="Arial"/>
                <w:color w:val="000000"/>
                <w:sz w:val="18"/>
                <w:szCs w:val="18"/>
              </w:rPr>
              <w:t>Russell</w:t>
            </w:r>
          </w:p>
        </w:tc>
        <w:tc>
          <w:tcPr>
            <w:tcW w:w="810" w:type="pct"/>
            <w:tcBorders>
              <w:top w:val="nil"/>
              <w:left w:val="nil"/>
              <w:bottom w:val="nil"/>
              <w:right w:val="nil"/>
            </w:tcBorders>
            <w:shd w:val="clear" w:color="auto" w:fill="auto"/>
            <w:noWrap/>
            <w:vAlign w:val="center"/>
            <w:hideMark/>
          </w:tcPr>
          <w:p w14:paraId="6EA23040"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4,242</w:t>
            </w:r>
          </w:p>
        </w:tc>
        <w:tc>
          <w:tcPr>
            <w:tcW w:w="799" w:type="pct"/>
            <w:tcBorders>
              <w:top w:val="nil"/>
              <w:left w:val="nil"/>
              <w:bottom w:val="nil"/>
              <w:right w:val="nil"/>
            </w:tcBorders>
            <w:shd w:val="clear" w:color="auto" w:fill="auto"/>
            <w:noWrap/>
            <w:vAlign w:val="center"/>
            <w:hideMark/>
          </w:tcPr>
          <w:p w14:paraId="5F21FE16"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17,238</w:t>
            </w:r>
          </w:p>
        </w:tc>
        <w:tc>
          <w:tcPr>
            <w:tcW w:w="908" w:type="pct"/>
            <w:tcBorders>
              <w:top w:val="nil"/>
              <w:left w:val="nil"/>
              <w:bottom w:val="nil"/>
              <w:right w:val="nil"/>
            </w:tcBorders>
            <w:shd w:val="clear" w:color="auto" w:fill="auto"/>
            <w:noWrap/>
            <w:vAlign w:val="center"/>
            <w:hideMark/>
          </w:tcPr>
          <w:p w14:paraId="361D6F21"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65 (in 181)</w:t>
            </w:r>
          </w:p>
        </w:tc>
        <w:tc>
          <w:tcPr>
            <w:tcW w:w="907" w:type="pct"/>
            <w:tcBorders>
              <w:top w:val="nil"/>
              <w:left w:val="nil"/>
              <w:bottom w:val="nil"/>
              <w:right w:val="nil"/>
            </w:tcBorders>
            <w:shd w:val="clear" w:color="auto" w:fill="auto"/>
            <w:noWrap/>
            <w:vAlign w:val="center"/>
            <w:hideMark/>
          </w:tcPr>
          <w:p w14:paraId="223D165D"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9 (in 181)</w:t>
            </w:r>
          </w:p>
        </w:tc>
      </w:tr>
      <w:tr w:rsidR="00861681" w:rsidRPr="0097587B" w14:paraId="2B309899" w14:textId="77777777" w:rsidTr="00861681">
        <w:trPr>
          <w:trHeight w:val="20"/>
        </w:trPr>
        <w:tc>
          <w:tcPr>
            <w:tcW w:w="680" w:type="pct"/>
            <w:vMerge/>
            <w:tcBorders>
              <w:top w:val="nil"/>
              <w:left w:val="nil"/>
              <w:bottom w:val="single" w:sz="4" w:space="0" w:color="000000"/>
              <w:right w:val="nil"/>
            </w:tcBorders>
            <w:vAlign w:val="center"/>
            <w:hideMark/>
          </w:tcPr>
          <w:p w14:paraId="4EAB87AE" w14:textId="77777777" w:rsidR="00861681" w:rsidRPr="0097587B" w:rsidRDefault="00861681" w:rsidP="00861681">
            <w:pPr>
              <w:spacing w:before="0" w:after="0" w:line="276" w:lineRule="auto"/>
              <w:jc w:val="left"/>
              <w:rPr>
                <w:rFonts w:ascii="Arial" w:hAnsi="Arial" w:cs="Arial"/>
                <w:b/>
                <w:bCs/>
                <w:color w:val="000000"/>
                <w:sz w:val="18"/>
                <w:szCs w:val="18"/>
              </w:rPr>
            </w:pPr>
          </w:p>
        </w:tc>
        <w:tc>
          <w:tcPr>
            <w:tcW w:w="896" w:type="pct"/>
            <w:tcBorders>
              <w:top w:val="nil"/>
              <w:left w:val="nil"/>
              <w:bottom w:val="nil"/>
              <w:right w:val="nil"/>
            </w:tcBorders>
            <w:shd w:val="clear" w:color="auto" w:fill="auto"/>
            <w:noWrap/>
            <w:vAlign w:val="center"/>
            <w:hideMark/>
          </w:tcPr>
          <w:p w14:paraId="25810ED5" w14:textId="77777777" w:rsidR="00861681" w:rsidRPr="0097587B" w:rsidRDefault="00861681" w:rsidP="00861681">
            <w:pPr>
              <w:spacing w:before="0" w:after="0" w:line="276" w:lineRule="auto"/>
              <w:jc w:val="left"/>
              <w:rPr>
                <w:rFonts w:ascii="Arial" w:hAnsi="Arial" w:cs="Arial"/>
                <w:color w:val="000000"/>
                <w:sz w:val="18"/>
                <w:szCs w:val="18"/>
              </w:rPr>
            </w:pPr>
            <w:r>
              <w:rPr>
                <w:rFonts w:ascii="Arial" w:hAnsi="Arial" w:cs="Arial"/>
                <w:color w:val="000000"/>
                <w:sz w:val="18"/>
                <w:szCs w:val="18"/>
              </w:rPr>
              <w:t>N</w:t>
            </w:r>
            <w:r w:rsidRPr="0097587B">
              <w:rPr>
                <w:rFonts w:ascii="Arial" w:hAnsi="Arial" w:cs="Arial"/>
                <w:color w:val="000000"/>
                <w:sz w:val="18"/>
                <w:szCs w:val="18"/>
              </w:rPr>
              <w:t xml:space="preserve"> Johnstone</w:t>
            </w:r>
          </w:p>
        </w:tc>
        <w:tc>
          <w:tcPr>
            <w:tcW w:w="810" w:type="pct"/>
            <w:tcBorders>
              <w:top w:val="nil"/>
              <w:left w:val="nil"/>
              <w:bottom w:val="nil"/>
              <w:right w:val="nil"/>
            </w:tcBorders>
            <w:shd w:val="clear" w:color="auto" w:fill="auto"/>
            <w:noWrap/>
            <w:vAlign w:val="center"/>
            <w:hideMark/>
          </w:tcPr>
          <w:p w14:paraId="6322B514"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7,906</w:t>
            </w:r>
          </w:p>
        </w:tc>
        <w:tc>
          <w:tcPr>
            <w:tcW w:w="799" w:type="pct"/>
            <w:tcBorders>
              <w:top w:val="nil"/>
              <w:left w:val="nil"/>
              <w:bottom w:val="nil"/>
              <w:right w:val="nil"/>
            </w:tcBorders>
            <w:shd w:val="clear" w:color="auto" w:fill="auto"/>
            <w:noWrap/>
            <w:vAlign w:val="center"/>
            <w:hideMark/>
          </w:tcPr>
          <w:p w14:paraId="4589A6D8"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23,945</w:t>
            </w:r>
          </w:p>
        </w:tc>
        <w:tc>
          <w:tcPr>
            <w:tcW w:w="908" w:type="pct"/>
            <w:tcBorders>
              <w:top w:val="nil"/>
              <w:left w:val="nil"/>
              <w:bottom w:val="nil"/>
              <w:right w:val="nil"/>
            </w:tcBorders>
            <w:shd w:val="clear" w:color="auto" w:fill="auto"/>
            <w:noWrap/>
            <w:vAlign w:val="center"/>
            <w:hideMark/>
          </w:tcPr>
          <w:p w14:paraId="4CD2797F"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54 (in 181)</w:t>
            </w:r>
          </w:p>
        </w:tc>
        <w:tc>
          <w:tcPr>
            <w:tcW w:w="907" w:type="pct"/>
            <w:tcBorders>
              <w:top w:val="nil"/>
              <w:left w:val="nil"/>
              <w:bottom w:val="nil"/>
              <w:right w:val="nil"/>
            </w:tcBorders>
            <w:shd w:val="clear" w:color="auto" w:fill="auto"/>
            <w:noWrap/>
            <w:vAlign w:val="center"/>
            <w:hideMark/>
          </w:tcPr>
          <w:p w14:paraId="418BCC7C"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11 (in 181)</w:t>
            </w:r>
          </w:p>
        </w:tc>
      </w:tr>
      <w:tr w:rsidR="00861681" w:rsidRPr="0097587B" w14:paraId="49006A34" w14:textId="77777777" w:rsidTr="00861681">
        <w:trPr>
          <w:trHeight w:val="20"/>
        </w:trPr>
        <w:tc>
          <w:tcPr>
            <w:tcW w:w="680" w:type="pct"/>
            <w:vMerge/>
            <w:tcBorders>
              <w:top w:val="nil"/>
              <w:left w:val="nil"/>
              <w:bottom w:val="single" w:sz="4" w:space="0" w:color="000000"/>
              <w:right w:val="nil"/>
            </w:tcBorders>
            <w:vAlign w:val="center"/>
            <w:hideMark/>
          </w:tcPr>
          <w:p w14:paraId="025B0079" w14:textId="77777777" w:rsidR="00861681" w:rsidRPr="0097587B" w:rsidRDefault="00861681" w:rsidP="00861681">
            <w:pPr>
              <w:spacing w:before="0" w:after="0" w:line="276" w:lineRule="auto"/>
              <w:jc w:val="left"/>
              <w:rPr>
                <w:rFonts w:ascii="Arial" w:hAnsi="Arial" w:cs="Arial"/>
                <w:b/>
                <w:bCs/>
                <w:color w:val="000000"/>
                <w:sz w:val="18"/>
                <w:szCs w:val="18"/>
              </w:rPr>
            </w:pPr>
          </w:p>
        </w:tc>
        <w:tc>
          <w:tcPr>
            <w:tcW w:w="896" w:type="pct"/>
            <w:tcBorders>
              <w:top w:val="nil"/>
              <w:left w:val="nil"/>
              <w:bottom w:val="nil"/>
              <w:right w:val="nil"/>
            </w:tcBorders>
            <w:shd w:val="clear" w:color="auto" w:fill="auto"/>
            <w:noWrap/>
            <w:vAlign w:val="center"/>
            <w:hideMark/>
          </w:tcPr>
          <w:p w14:paraId="782DE218" w14:textId="77777777" w:rsidR="00861681" w:rsidRPr="0097587B" w:rsidRDefault="00861681" w:rsidP="00861681">
            <w:pPr>
              <w:spacing w:before="0" w:after="0" w:line="276" w:lineRule="auto"/>
              <w:jc w:val="left"/>
              <w:rPr>
                <w:rFonts w:ascii="Arial" w:hAnsi="Arial" w:cs="Arial"/>
                <w:color w:val="000000"/>
                <w:sz w:val="18"/>
                <w:szCs w:val="18"/>
              </w:rPr>
            </w:pPr>
            <w:r>
              <w:rPr>
                <w:rFonts w:ascii="Arial" w:hAnsi="Arial" w:cs="Arial"/>
                <w:color w:val="000000"/>
                <w:sz w:val="18"/>
                <w:szCs w:val="18"/>
              </w:rPr>
              <w:t>S</w:t>
            </w:r>
            <w:r w:rsidRPr="0097587B">
              <w:rPr>
                <w:rFonts w:ascii="Arial" w:hAnsi="Arial" w:cs="Arial"/>
                <w:color w:val="000000"/>
                <w:sz w:val="18"/>
                <w:szCs w:val="18"/>
              </w:rPr>
              <w:t xml:space="preserve"> Johnstone</w:t>
            </w:r>
          </w:p>
        </w:tc>
        <w:tc>
          <w:tcPr>
            <w:tcW w:w="810" w:type="pct"/>
            <w:tcBorders>
              <w:top w:val="nil"/>
              <w:left w:val="nil"/>
              <w:bottom w:val="nil"/>
              <w:right w:val="nil"/>
            </w:tcBorders>
            <w:shd w:val="clear" w:color="auto" w:fill="auto"/>
            <w:noWrap/>
            <w:vAlign w:val="center"/>
            <w:hideMark/>
          </w:tcPr>
          <w:p w14:paraId="13479F25"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3,534</w:t>
            </w:r>
          </w:p>
        </w:tc>
        <w:tc>
          <w:tcPr>
            <w:tcW w:w="799" w:type="pct"/>
            <w:tcBorders>
              <w:top w:val="nil"/>
              <w:left w:val="nil"/>
              <w:bottom w:val="nil"/>
              <w:right w:val="nil"/>
            </w:tcBorders>
            <w:shd w:val="clear" w:color="auto" w:fill="auto"/>
            <w:noWrap/>
            <w:vAlign w:val="center"/>
            <w:hideMark/>
          </w:tcPr>
          <w:p w14:paraId="3DB1128D"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10,589</w:t>
            </w:r>
          </w:p>
        </w:tc>
        <w:tc>
          <w:tcPr>
            <w:tcW w:w="908" w:type="pct"/>
            <w:tcBorders>
              <w:top w:val="nil"/>
              <w:left w:val="nil"/>
              <w:bottom w:val="nil"/>
              <w:right w:val="nil"/>
            </w:tcBorders>
            <w:shd w:val="clear" w:color="auto" w:fill="auto"/>
            <w:noWrap/>
            <w:vAlign w:val="center"/>
            <w:hideMark/>
          </w:tcPr>
          <w:p w14:paraId="4D218955"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45 (in 180)</w:t>
            </w:r>
          </w:p>
        </w:tc>
        <w:tc>
          <w:tcPr>
            <w:tcW w:w="907" w:type="pct"/>
            <w:tcBorders>
              <w:top w:val="nil"/>
              <w:left w:val="nil"/>
              <w:bottom w:val="nil"/>
              <w:right w:val="nil"/>
            </w:tcBorders>
            <w:shd w:val="clear" w:color="auto" w:fill="auto"/>
            <w:noWrap/>
            <w:vAlign w:val="center"/>
            <w:hideMark/>
          </w:tcPr>
          <w:p w14:paraId="1A9E611E"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6 (in 180)</w:t>
            </w:r>
          </w:p>
        </w:tc>
      </w:tr>
      <w:tr w:rsidR="00861681" w:rsidRPr="0097587B" w14:paraId="5190CCE2" w14:textId="77777777" w:rsidTr="00861681">
        <w:trPr>
          <w:trHeight w:val="20"/>
        </w:trPr>
        <w:tc>
          <w:tcPr>
            <w:tcW w:w="680" w:type="pct"/>
            <w:vMerge/>
            <w:tcBorders>
              <w:top w:val="nil"/>
              <w:left w:val="nil"/>
              <w:bottom w:val="single" w:sz="4" w:space="0" w:color="000000"/>
              <w:right w:val="nil"/>
            </w:tcBorders>
            <w:vAlign w:val="center"/>
            <w:hideMark/>
          </w:tcPr>
          <w:p w14:paraId="2FF73079" w14:textId="77777777" w:rsidR="00861681" w:rsidRPr="0097587B" w:rsidRDefault="00861681" w:rsidP="00861681">
            <w:pPr>
              <w:spacing w:before="0" w:after="0" w:line="276" w:lineRule="auto"/>
              <w:jc w:val="left"/>
              <w:rPr>
                <w:rFonts w:ascii="Arial" w:hAnsi="Arial" w:cs="Arial"/>
                <w:b/>
                <w:bCs/>
                <w:color w:val="000000"/>
                <w:sz w:val="18"/>
                <w:szCs w:val="18"/>
              </w:rPr>
            </w:pPr>
          </w:p>
        </w:tc>
        <w:tc>
          <w:tcPr>
            <w:tcW w:w="896" w:type="pct"/>
            <w:tcBorders>
              <w:top w:val="nil"/>
              <w:left w:val="nil"/>
              <w:bottom w:val="nil"/>
              <w:right w:val="nil"/>
            </w:tcBorders>
            <w:shd w:val="clear" w:color="auto" w:fill="auto"/>
            <w:noWrap/>
            <w:vAlign w:val="center"/>
            <w:hideMark/>
          </w:tcPr>
          <w:p w14:paraId="390B54CB" w14:textId="77777777" w:rsidR="00861681" w:rsidRPr="0097587B" w:rsidRDefault="00861681" w:rsidP="00861681">
            <w:pPr>
              <w:spacing w:before="0" w:after="0" w:line="276" w:lineRule="auto"/>
              <w:jc w:val="left"/>
              <w:rPr>
                <w:rFonts w:ascii="Arial" w:hAnsi="Arial" w:cs="Arial"/>
                <w:color w:val="000000"/>
                <w:sz w:val="18"/>
                <w:szCs w:val="18"/>
              </w:rPr>
            </w:pPr>
            <w:r w:rsidRPr="0097587B">
              <w:rPr>
                <w:rFonts w:ascii="Arial" w:hAnsi="Arial" w:cs="Arial"/>
                <w:color w:val="000000"/>
                <w:sz w:val="18"/>
                <w:szCs w:val="18"/>
              </w:rPr>
              <w:t>Tully</w:t>
            </w:r>
          </w:p>
        </w:tc>
        <w:tc>
          <w:tcPr>
            <w:tcW w:w="810" w:type="pct"/>
            <w:tcBorders>
              <w:top w:val="nil"/>
              <w:left w:val="nil"/>
              <w:bottom w:val="nil"/>
              <w:right w:val="nil"/>
            </w:tcBorders>
            <w:shd w:val="clear" w:color="auto" w:fill="auto"/>
            <w:noWrap/>
            <w:vAlign w:val="center"/>
            <w:hideMark/>
          </w:tcPr>
          <w:p w14:paraId="02C0CA7D"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13,560</w:t>
            </w:r>
          </w:p>
        </w:tc>
        <w:tc>
          <w:tcPr>
            <w:tcW w:w="799" w:type="pct"/>
            <w:tcBorders>
              <w:top w:val="nil"/>
              <w:left w:val="nil"/>
              <w:bottom w:val="nil"/>
              <w:right w:val="nil"/>
            </w:tcBorders>
            <w:shd w:val="clear" w:color="auto" w:fill="auto"/>
            <w:noWrap/>
            <w:vAlign w:val="center"/>
            <w:hideMark/>
          </w:tcPr>
          <w:p w14:paraId="3924CF9D"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44,087</w:t>
            </w:r>
          </w:p>
        </w:tc>
        <w:tc>
          <w:tcPr>
            <w:tcW w:w="908" w:type="pct"/>
            <w:tcBorders>
              <w:top w:val="nil"/>
              <w:left w:val="nil"/>
              <w:bottom w:val="nil"/>
              <w:right w:val="nil"/>
            </w:tcBorders>
            <w:shd w:val="clear" w:color="auto" w:fill="auto"/>
            <w:noWrap/>
            <w:vAlign w:val="center"/>
            <w:hideMark/>
          </w:tcPr>
          <w:p w14:paraId="543D8856"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57 (in 180)</w:t>
            </w:r>
          </w:p>
        </w:tc>
        <w:tc>
          <w:tcPr>
            <w:tcW w:w="907" w:type="pct"/>
            <w:tcBorders>
              <w:top w:val="nil"/>
              <w:left w:val="nil"/>
              <w:bottom w:val="nil"/>
              <w:right w:val="nil"/>
            </w:tcBorders>
            <w:shd w:val="clear" w:color="auto" w:fill="auto"/>
            <w:noWrap/>
            <w:vAlign w:val="center"/>
            <w:hideMark/>
          </w:tcPr>
          <w:p w14:paraId="57A434F7"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13 (in 180)</w:t>
            </w:r>
          </w:p>
        </w:tc>
      </w:tr>
      <w:tr w:rsidR="00861681" w:rsidRPr="0097587B" w14:paraId="27CB1BC6" w14:textId="77777777" w:rsidTr="00861681">
        <w:trPr>
          <w:trHeight w:val="20"/>
        </w:trPr>
        <w:tc>
          <w:tcPr>
            <w:tcW w:w="680" w:type="pct"/>
            <w:vMerge/>
            <w:tcBorders>
              <w:top w:val="nil"/>
              <w:left w:val="nil"/>
              <w:bottom w:val="single" w:sz="4" w:space="0" w:color="000000"/>
              <w:right w:val="nil"/>
            </w:tcBorders>
            <w:vAlign w:val="center"/>
            <w:hideMark/>
          </w:tcPr>
          <w:p w14:paraId="3B10DC2F" w14:textId="77777777" w:rsidR="00861681" w:rsidRPr="0097587B" w:rsidRDefault="00861681" w:rsidP="00861681">
            <w:pPr>
              <w:spacing w:before="0" w:after="0" w:line="276" w:lineRule="auto"/>
              <w:jc w:val="left"/>
              <w:rPr>
                <w:rFonts w:ascii="Arial" w:hAnsi="Arial" w:cs="Arial"/>
                <w:b/>
                <w:bCs/>
                <w:color w:val="000000"/>
                <w:sz w:val="18"/>
                <w:szCs w:val="18"/>
              </w:rPr>
            </w:pPr>
          </w:p>
        </w:tc>
        <w:tc>
          <w:tcPr>
            <w:tcW w:w="896" w:type="pct"/>
            <w:tcBorders>
              <w:top w:val="nil"/>
              <w:left w:val="nil"/>
              <w:bottom w:val="single" w:sz="4" w:space="0" w:color="auto"/>
              <w:right w:val="nil"/>
            </w:tcBorders>
            <w:shd w:val="clear" w:color="auto" w:fill="auto"/>
            <w:noWrap/>
            <w:vAlign w:val="center"/>
            <w:hideMark/>
          </w:tcPr>
          <w:p w14:paraId="10DBC800" w14:textId="77777777" w:rsidR="00861681" w:rsidRPr="0097587B" w:rsidRDefault="00861681" w:rsidP="00861681">
            <w:pPr>
              <w:spacing w:before="0" w:after="0" w:line="276" w:lineRule="auto"/>
              <w:jc w:val="left"/>
              <w:rPr>
                <w:rFonts w:ascii="Arial" w:hAnsi="Arial" w:cs="Arial"/>
                <w:color w:val="000000"/>
                <w:sz w:val="18"/>
                <w:szCs w:val="18"/>
              </w:rPr>
            </w:pPr>
            <w:r w:rsidRPr="0097587B">
              <w:rPr>
                <w:rFonts w:ascii="Arial" w:hAnsi="Arial" w:cs="Arial"/>
                <w:color w:val="000000"/>
                <w:sz w:val="18"/>
                <w:szCs w:val="18"/>
              </w:rPr>
              <w:t>Herbert</w:t>
            </w:r>
          </w:p>
        </w:tc>
        <w:tc>
          <w:tcPr>
            <w:tcW w:w="810" w:type="pct"/>
            <w:tcBorders>
              <w:top w:val="nil"/>
              <w:left w:val="nil"/>
              <w:bottom w:val="single" w:sz="4" w:space="0" w:color="auto"/>
              <w:right w:val="nil"/>
            </w:tcBorders>
            <w:shd w:val="clear" w:color="auto" w:fill="auto"/>
            <w:noWrap/>
            <w:vAlign w:val="center"/>
            <w:hideMark/>
          </w:tcPr>
          <w:p w14:paraId="5A946211"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14,620</w:t>
            </w:r>
          </w:p>
        </w:tc>
        <w:tc>
          <w:tcPr>
            <w:tcW w:w="799" w:type="pct"/>
            <w:tcBorders>
              <w:top w:val="nil"/>
              <w:left w:val="nil"/>
              <w:bottom w:val="single" w:sz="4" w:space="0" w:color="auto"/>
              <w:right w:val="nil"/>
            </w:tcBorders>
            <w:shd w:val="clear" w:color="auto" w:fill="auto"/>
            <w:noWrap/>
            <w:vAlign w:val="center"/>
            <w:hideMark/>
          </w:tcPr>
          <w:p w14:paraId="09831D9D"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81,910</w:t>
            </w:r>
          </w:p>
        </w:tc>
        <w:tc>
          <w:tcPr>
            <w:tcW w:w="908" w:type="pct"/>
            <w:tcBorders>
              <w:top w:val="nil"/>
              <w:left w:val="nil"/>
              <w:bottom w:val="single" w:sz="4" w:space="0" w:color="auto"/>
              <w:right w:val="nil"/>
            </w:tcBorders>
            <w:shd w:val="clear" w:color="auto" w:fill="auto"/>
            <w:noWrap/>
            <w:vAlign w:val="center"/>
            <w:hideMark/>
          </w:tcPr>
          <w:p w14:paraId="0613D80C"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38 (in 181)</w:t>
            </w:r>
          </w:p>
        </w:tc>
        <w:tc>
          <w:tcPr>
            <w:tcW w:w="907" w:type="pct"/>
            <w:tcBorders>
              <w:top w:val="nil"/>
              <w:left w:val="nil"/>
              <w:bottom w:val="single" w:sz="4" w:space="0" w:color="auto"/>
              <w:right w:val="nil"/>
            </w:tcBorders>
            <w:shd w:val="clear" w:color="auto" w:fill="auto"/>
            <w:noWrap/>
            <w:vAlign w:val="center"/>
            <w:hideMark/>
          </w:tcPr>
          <w:p w14:paraId="4253E6D4"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7 (in 181)</w:t>
            </w:r>
          </w:p>
        </w:tc>
      </w:tr>
      <w:tr w:rsidR="00861681" w:rsidRPr="0097587B" w14:paraId="76FC6DE6" w14:textId="77777777" w:rsidTr="00861681">
        <w:trPr>
          <w:trHeight w:val="20"/>
        </w:trPr>
        <w:tc>
          <w:tcPr>
            <w:tcW w:w="680" w:type="pct"/>
            <w:vMerge w:val="restart"/>
            <w:tcBorders>
              <w:top w:val="nil"/>
              <w:left w:val="nil"/>
              <w:bottom w:val="single" w:sz="4" w:space="0" w:color="000000"/>
              <w:right w:val="nil"/>
            </w:tcBorders>
            <w:shd w:val="clear" w:color="auto" w:fill="auto"/>
            <w:vAlign w:val="center"/>
            <w:hideMark/>
          </w:tcPr>
          <w:p w14:paraId="35F53CB8" w14:textId="77777777" w:rsidR="00861681" w:rsidRPr="0097587B" w:rsidRDefault="00861681" w:rsidP="00861681">
            <w:pPr>
              <w:spacing w:before="0" w:after="0" w:line="276" w:lineRule="auto"/>
              <w:jc w:val="left"/>
              <w:rPr>
                <w:rFonts w:ascii="Arial" w:hAnsi="Arial" w:cs="Arial"/>
                <w:b/>
                <w:bCs/>
                <w:color w:val="000000"/>
                <w:sz w:val="18"/>
                <w:szCs w:val="18"/>
              </w:rPr>
            </w:pPr>
            <w:r w:rsidRPr="0097587B">
              <w:rPr>
                <w:rFonts w:ascii="Arial" w:hAnsi="Arial" w:cs="Arial"/>
                <w:b/>
                <w:bCs/>
                <w:color w:val="000000"/>
                <w:sz w:val="18"/>
                <w:szCs w:val="18"/>
              </w:rPr>
              <w:t>Burdekin</w:t>
            </w:r>
          </w:p>
        </w:tc>
        <w:tc>
          <w:tcPr>
            <w:tcW w:w="896" w:type="pct"/>
            <w:tcBorders>
              <w:top w:val="nil"/>
              <w:left w:val="nil"/>
              <w:bottom w:val="nil"/>
              <w:right w:val="nil"/>
            </w:tcBorders>
            <w:shd w:val="clear" w:color="auto" w:fill="auto"/>
            <w:noWrap/>
            <w:vAlign w:val="center"/>
            <w:hideMark/>
          </w:tcPr>
          <w:p w14:paraId="1C2724C1" w14:textId="77777777" w:rsidR="00861681" w:rsidRPr="0097587B" w:rsidRDefault="00861681" w:rsidP="00861681">
            <w:pPr>
              <w:spacing w:before="0" w:after="0" w:line="276" w:lineRule="auto"/>
              <w:jc w:val="left"/>
              <w:rPr>
                <w:rFonts w:ascii="Arial" w:hAnsi="Arial" w:cs="Arial"/>
                <w:color w:val="000000"/>
                <w:sz w:val="18"/>
                <w:szCs w:val="18"/>
              </w:rPr>
            </w:pPr>
            <w:r w:rsidRPr="0097587B">
              <w:rPr>
                <w:rFonts w:ascii="Arial" w:hAnsi="Arial" w:cs="Arial"/>
                <w:color w:val="000000"/>
                <w:sz w:val="18"/>
                <w:szCs w:val="18"/>
              </w:rPr>
              <w:t>Burdekin</w:t>
            </w:r>
          </w:p>
        </w:tc>
        <w:tc>
          <w:tcPr>
            <w:tcW w:w="810" w:type="pct"/>
            <w:tcBorders>
              <w:top w:val="nil"/>
              <w:left w:val="nil"/>
              <w:bottom w:val="nil"/>
              <w:right w:val="nil"/>
            </w:tcBorders>
            <w:shd w:val="clear" w:color="auto" w:fill="auto"/>
            <w:noWrap/>
            <w:vAlign w:val="center"/>
            <w:hideMark/>
          </w:tcPr>
          <w:p w14:paraId="24B9C5A6"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17,789</w:t>
            </w:r>
          </w:p>
        </w:tc>
        <w:tc>
          <w:tcPr>
            <w:tcW w:w="799" w:type="pct"/>
            <w:tcBorders>
              <w:top w:val="nil"/>
              <w:left w:val="nil"/>
              <w:bottom w:val="nil"/>
              <w:right w:val="nil"/>
            </w:tcBorders>
            <w:shd w:val="clear" w:color="auto" w:fill="auto"/>
            <w:noWrap/>
            <w:vAlign w:val="center"/>
            <w:hideMark/>
          </w:tcPr>
          <w:p w14:paraId="05E03A5D"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190,403</w:t>
            </w:r>
          </w:p>
        </w:tc>
        <w:tc>
          <w:tcPr>
            <w:tcW w:w="908" w:type="pct"/>
            <w:tcBorders>
              <w:top w:val="nil"/>
              <w:left w:val="nil"/>
              <w:bottom w:val="nil"/>
              <w:right w:val="nil"/>
            </w:tcBorders>
            <w:shd w:val="clear" w:color="auto" w:fill="auto"/>
            <w:noWrap/>
            <w:vAlign w:val="center"/>
            <w:hideMark/>
          </w:tcPr>
          <w:p w14:paraId="062BB916"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13 (in 181)</w:t>
            </w:r>
          </w:p>
        </w:tc>
        <w:tc>
          <w:tcPr>
            <w:tcW w:w="907" w:type="pct"/>
            <w:tcBorders>
              <w:top w:val="nil"/>
              <w:left w:val="nil"/>
              <w:bottom w:val="nil"/>
              <w:right w:val="nil"/>
            </w:tcBorders>
            <w:shd w:val="clear" w:color="auto" w:fill="auto"/>
            <w:noWrap/>
            <w:vAlign w:val="center"/>
            <w:hideMark/>
          </w:tcPr>
          <w:p w14:paraId="5668366A"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0 (in 181)</w:t>
            </w:r>
          </w:p>
        </w:tc>
      </w:tr>
      <w:tr w:rsidR="00861681" w:rsidRPr="0097587B" w14:paraId="39669D8B" w14:textId="77777777" w:rsidTr="00861681">
        <w:trPr>
          <w:trHeight w:val="20"/>
        </w:trPr>
        <w:tc>
          <w:tcPr>
            <w:tcW w:w="680" w:type="pct"/>
            <w:vMerge/>
            <w:tcBorders>
              <w:top w:val="nil"/>
              <w:left w:val="nil"/>
              <w:bottom w:val="single" w:sz="4" w:space="0" w:color="000000"/>
              <w:right w:val="nil"/>
            </w:tcBorders>
            <w:vAlign w:val="center"/>
            <w:hideMark/>
          </w:tcPr>
          <w:p w14:paraId="4D111840" w14:textId="77777777" w:rsidR="00861681" w:rsidRPr="0097587B" w:rsidRDefault="00861681" w:rsidP="00861681">
            <w:pPr>
              <w:spacing w:before="0" w:after="0" w:line="276" w:lineRule="auto"/>
              <w:jc w:val="left"/>
              <w:rPr>
                <w:rFonts w:ascii="Arial" w:hAnsi="Arial" w:cs="Arial"/>
                <w:b/>
                <w:bCs/>
                <w:color w:val="000000"/>
                <w:sz w:val="18"/>
                <w:szCs w:val="18"/>
              </w:rPr>
            </w:pPr>
          </w:p>
        </w:tc>
        <w:tc>
          <w:tcPr>
            <w:tcW w:w="896" w:type="pct"/>
            <w:tcBorders>
              <w:top w:val="nil"/>
              <w:left w:val="nil"/>
              <w:bottom w:val="single" w:sz="4" w:space="0" w:color="auto"/>
              <w:right w:val="nil"/>
            </w:tcBorders>
            <w:shd w:val="clear" w:color="auto" w:fill="auto"/>
            <w:noWrap/>
            <w:vAlign w:val="center"/>
            <w:hideMark/>
          </w:tcPr>
          <w:p w14:paraId="23DC274B" w14:textId="77777777" w:rsidR="00861681" w:rsidRPr="0097587B" w:rsidRDefault="00861681" w:rsidP="00861681">
            <w:pPr>
              <w:spacing w:before="0" w:after="0" w:line="276" w:lineRule="auto"/>
              <w:jc w:val="left"/>
              <w:rPr>
                <w:rFonts w:ascii="Arial" w:hAnsi="Arial" w:cs="Arial"/>
                <w:color w:val="000000"/>
                <w:sz w:val="18"/>
                <w:szCs w:val="18"/>
              </w:rPr>
            </w:pPr>
            <w:r w:rsidRPr="0097587B">
              <w:rPr>
                <w:rFonts w:ascii="Arial" w:hAnsi="Arial" w:cs="Arial"/>
                <w:color w:val="000000"/>
                <w:sz w:val="18"/>
                <w:szCs w:val="18"/>
              </w:rPr>
              <w:t>Don</w:t>
            </w:r>
          </w:p>
        </w:tc>
        <w:tc>
          <w:tcPr>
            <w:tcW w:w="810" w:type="pct"/>
            <w:tcBorders>
              <w:top w:val="nil"/>
              <w:left w:val="nil"/>
              <w:bottom w:val="single" w:sz="4" w:space="0" w:color="auto"/>
              <w:right w:val="nil"/>
            </w:tcBorders>
            <w:shd w:val="clear" w:color="auto" w:fill="auto"/>
            <w:noWrap/>
            <w:vAlign w:val="center"/>
            <w:hideMark/>
          </w:tcPr>
          <w:p w14:paraId="4FDC2C21"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101</w:t>
            </w:r>
          </w:p>
        </w:tc>
        <w:tc>
          <w:tcPr>
            <w:tcW w:w="799" w:type="pct"/>
            <w:tcBorders>
              <w:top w:val="nil"/>
              <w:left w:val="nil"/>
              <w:bottom w:val="single" w:sz="4" w:space="0" w:color="auto"/>
              <w:right w:val="nil"/>
            </w:tcBorders>
            <w:shd w:val="clear" w:color="auto" w:fill="auto"/>
            <w:noWrap/>
            <w:vAlign w:val="center"/>
            <w:hideMark/>
          </w:tcPr>
          <w:p w14:paraId="4C95DD8E"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2,992</w:t>
            </w:r>
          </w:p>
        </w:tc>
        <w:tc>
          <w:tcPr>
            <w:tcW w:w="908" w:type="pct"/>
            <w:tcBorders>
              <w:top w:val="nil"/>
              <w:left w:val="nil"/>
              <w:bottom w:val="single" w:sz="4" w:space="0" w:color="auto"/>
              <w:right w:val="nil"/>
            </w:tcBorders>
            <w:shd w:val="clear" w:color="auto" w:fill="auto"/>
            <w:noWrap/>
            <w:vAlign w:val="center"/>
            <w:hideMark/>
          </w:tcPr>
          <w:p w14:paraId="2C617C2F"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33 (in 181)</w:t>
            </w:r>
          </w:p>
        </w:tc>
        <w:tc>
          <w:tcPr>
            <w:tcW w:w="907" w:type="pct"/>
            <w:tcBorders>
              <w:top w:val="nil"/>
              <w:left w:val="nil"/>
              <w:bottom w:val="single" w:sz="4" w:space="0" w:color="auto"/>
              <w:right w:val="nil"/>
            </w:tcBorders>
            <w:shd w:val="clear" w:color="auto" w:fill="auto"/>
            <w:noWrap/>
            <w:vAlign w:val="center"/>
            <w:hideMark/>
          </w:tcPr>
          <w:p w14:paraId="32E5EA9F"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4 (in 181)</w:t>
            </w:r>
          </w:p>
        </w:tc>
      </w:tr>
      <w:tr w:rsidR="00861681" w:rsidRPr="0097587B" w14:paraId="1017A0C7" w14:textId="77777777" w:rsidTr="00861681">
        <w:trPr>
          <w:trHeight w:val="20"/>
        </w:trPr>
        <w:tc>
          <w:tcPr>
            <w:tcW w:w="680" w:type="pct"/>
            <w:vMerge w:val="restart"/>
            <w:tcBorders>
              <w:top w:val="nil"/>
              <w:left w:val="nil"/>
              <w:bottom w:val="single" w:sz="4" w:space="0" w:color="000000"/>
              <w:right w:val="nil"/>
            </w:tcBorders>
            <w:shd w:val="clear" w:color="auto" w:fill="auto"/>
            <w:vAlign w:val="center"/>
            <w:hideMark/>
          </w:tcPr>
          <w:p w14:paraId="30B6B7C9" w14:textId="77777777" w:rsidR="00861681" w:rsidRPr="0097587B" w:rsidRDefault="00861681" w:rsidP="00861681">
            <w:pPr>
              <w:spacing w:before="0" w:after="0" w:line="276" w:lineRule="auto"/>
              <w:jc w:val="left"/>
              <w:rPr>
                <w:rFonts w:ascii="Arial" w:hAnsi="Arial" w:cs="Arial"/>
                <w:b/>
                <w:bCs/>
                <w:color w:val="000000"/>
                <w:sz w:val="18"/>
                <w:szCs w:val="18"/>
              </w:rPr>
            </w:pPr>
            <w:r w:rsidRPr="0097587B">
              <w:rPr>
                <w:rFonts w:ascii="Arial" w:hAnsi="Arial" w:cs="Arial"/>
                <w:b/>
                <w:bCs/>
                <w:color w:val="000000"/>
                <w:sz w:val="18"/>
                <w:szCs w:val="18"/>
              </w:rPr>
              <w:t>Mackay-Whitsunday</w:t>
            </w:r>
          </w:p>
        </w:tc>
        <w:tc>
          <w:tcPr>
            <w:tcW w:w="896" w:type="pct"/>
            <w:tcBorders>
              <w:top w:val="nil"/>
              <w:left w:val="nil"/>
              <w:bottom w:val="nil"/>
              <w:right w:val="nil"/>
            </w:tcBorders>
            <w:shd w:val="clear" w:color="auto" w:fill="auto"/>
            <w:noWrap/>
            <w:vAlign w:val="center"/>
            <w:hideMark/>
          </w:tcPr>
          <w:p w14:paraId="6CB56F23" w14:textId="77777777" w:rsidR="00861681" w:rsidRPr="0097587B" w:rsidRDefault="00861681" w:rsidP="00861681">
            <w:pPr>
              <w:spacing w:before="0" w:after="0" w:line="276" w:lineRule="auto"/>
              <w:jc w:val="left"/>
              <w:rPr>
                <w:rFonts w:ascii="Arial" w:hAnsi="Arial" w:cs="Arial"/>
                <w:color w:val="000000"/>
                <w:sz w:val="18"/>
                <w:szCs w:val="18"/>
              </w:rPr>
            </w:pPr>
            <w:r w:rsidRPr="0097587B">
              <w:rPr>
                <w:rFonts w:ascii="Arial" w:hAnsi="Arial" w:cs="Arial"/>
                <w:color w:val="000000"/>
                <w:sz w:val="18"/>
                <w:szCs w:val="18"/>
              </w:rPr>
              <w:t>Proserpine</w:t>
            </w:r>
          </w:p>
        </w:tc>
        <w:tc>
          <w:tcPr>
            <w:tcW w:w="810" w:type="pct"/>
            <w:tcBorders>
              <w:top w:val="nil"/>
              <w:left w:val="nil"/>
              <w:bottom w:val="nil"/>
              <w:right w:val="nil"/>
            </w:tcBorders>
            <w:shd w:val="clear" w:color="auto" w:fill="auto"/>
            <w:noWrap/>
            <w:vAlign w:val="center"/>
            <w:hideMark/>
          </w:tcPr>
          <w:p w14:paraId="077578BF"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54</w:t>
            </w:r>
          </w:p>
        </w:tc>
        <w:tc>
          <w:tcPr>
            <w:tcW w:w="799" w:type="pct"/>
            <w:tcBorders>
              <w:top w:val="nil"/>
              <w:left w:val="nil"/>
              <w:bottom w:val="nil"/>
              <w:right w:val="nil"/>
            </w:tcBorders>
            <w:shd w:val="clear" w:color="auto" w:fill="auto"/>
            <w:noWrap/>
            <w:vAlign w:val="center"/>
            <w:hideMark/>
          </w:tcPr>
          <w:p w14:paraId="40A5E192"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437</w:t>
            </w:r>
          </w:p>
        </w:tc>
        <w:tc>
          <w:tcPr>
            <w:tcW w:w="908" w:type="pct"/>
            <w:tcBorders>
              <w:top w:val="nil"/>
              <w:left w:val="nil"/>
              <w:bottom w:val="nil"/>
              <w:right w:val="nil"/>
            </w:tcBorders>
            <w:shd w:val="clear" w:color="auto" w:fill="auto"/>
            <w:noWrap/>
            <w:vAlign w:val="center"/>
            <w:hideMark/>
          </w:tcPr>
          <w:p w14:paraId="36CB81FF"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41 (in 181)</w:t>
            </w:r>
          </w:p>
        </w:tc>
        <w:tc>
          <w:tcPr>
            <w:tcW w:w="907" w:type="pct"/>
            <w:tcBorders>
              <w:top w:val="nil"/>
              <w:left w:val="nil"/>
              <w:bottom w:val="nil"/>
              <w:right w:val="nil"/>
            </w:tcBorders>
            <w:shd w:val="clear" w:color="auto" w:fill="auto"/>
            <w:noWrap/>
            <w:vAlign w:val="center"/>
            <w:hideMark/>
          </w:tcPr>
          <w:p w14:paraId="3846D2F4"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6 (in 181)</w:t>
            </w:r>
          </w:p>
        </w:tc>
      </w:tr>
      <w:tr w:rsidR="00861681" w:rsidRPr="0097587B" w14:paraId="5D3AF875" w14:textId="77777777" w:rsidTr="00861681">
        <w:trPr>
          <w:trHeight w:val="20"/>
        </w:trPr>
        <w:tc>
          <w:tcPr>
            <w:tcW w:w="680" w:type="pct"/>
            <w:vMerge/>
            <w:tcBorders>
              <w:top w:val="nil"/>
              <w:left w:val="nil"/>
              <w:bottom w:val="single" w:sz="4" w:space="0" w:color="000000"/>
              <w:right w:val="nil"/>
            </w:tcBorders>
            <w:vAlign w:val="center"/>
            <w:hideMark/>
          </w:tcPr>
          <w:p w14:paraId="757FA65D" w14:textId="77777777" w:rsidR="00861681" w:rsidRPr="0097587B" w:rsidRDefault="00861681" w:rsidP="00861681">
            <w:pPr>
              <w:spacing w:before="0" w:after="0" w:line="276" w:lineRule="auto"/>
              <w:jc w:val="left"/>
              <w:rPr>
                <w:rFonts w:ascii="Arial" w:hAnsi="Arial" w:cs="Arial"/>
                <w:b/>
                <w:bCs/>
                <w:color w:val="000000"/>
                <w:sz w:val="18"/>
                <w:szCs w:val="18"/>
              </w:rPr>
            </w:pPr>
          </w:p>
        </w:tc>
        <w:tc>
          <w:tcPr>
            <w:tcW w:w="896" w:type="pct"/>
            <w:tcBorders>
              <w:top w:val="nil"/>
              <w:left w:val="nil"/>
              <w:bottom w:val="nil"/>
              <w:right w:val="nil"/>
            </w:tcBorders>
            <w:shd w:val="clear" w:color="auto" w:fill="auto"/>
            <w:noWrap/>
            <w:vAlign w:val="center"/>
            <w:hideMark/>
          </w:tcPr>
          <w:p w14:paraId="3D1E4734" w14:textId="77777777" w:rsidR="00861681" w:rsidRPr="0097587B" w:rsidRDefault="00861681" w:rsidP="00861681">
            <w:pPr>
              <w:spacing w:before="0" w:after="0" w:line="276" w:lineRule="auto"/>
              <w:jc w:val="left"/>
              <w:rPr>
                <w:rFonts w:ascii="Arial" w:hAnsi="Arial" w:cs="Arial"/>
                <w:color w:val="000000"/>
                <w:sz w:val="18"/>
                <w:szCs w:val="18"/>
              </w:rPr>
            </w:pPr>
            <w:r w:rsidRPr="0097587B">
              <w:rPr>
                <w:rFonts w:ascii="Arial" w:hAnsi="Arial" w:cs="Arial"/>
                <w:color w:val="000000"/>
                <w:sz w:val="18"/>
                <w:szCs w:val="18"/>
              </w:rPr>
              <w:t>Oconnell</w:t>
            </w:r>
          </w:p>
        </w:tc>
        <w:tc>
          <w:tcPr>
            <w:tcW w:w="810" w:type="pct"/>
            <w:tcBorders>
              <w:top w:val="nil"/>
              <w:left w:val="nil"/>
              <w:bottom w:val="nil"/>
              <w:right w:val="nil"/>
            </w:tcBorders>
            <w:shd w:val="clear" w:color="auto" w:fill="auto"/>
            <w:noWrap/>
            <w:vAlign w:val="center"/>
            <w:hideMark/>
          </w:tcPr>
          <w:p w14:paraId="4D9E74D3"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417</w:t>
            </w:r>
          </w:p>
        </w:tc>
        <w:tc>
          <w:tcPr>
            <w:tcW w:w="799" w:type="pct"/>
            <w:tcBorders>
              <w:top w:val="nil"/>
              <w:left w:val="nil"/>
              <w:bottom w:val="nil"/>
              <w:right w:val="nil"/>
            </w:tcBorders>
            <w:shd w:val="clear" w:color="auto" w:fill="auto"/>
            <w:noWrap/>
            <w:vAlign w:val="center"/>
            <w:hideMark/>
          </w:tcPr>
          <w:p w14:paraId="52F4A1CF"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3,842</w:t>
            </w:r>
          </w:p>
        </w:tc>
        <w:tc>
          <w:tcPr>
            <w:tcW w:w="908" w:type="pct"/>
            <w:tcBorders>
              <w:top w:val="nil"/>
              <w:left w:val="nil"/>
              <w:bottom w:val="nil"/>
              <w:right w:val="nil"/>
            </w:tcBorders>
            <w:shd w:val="clear" w:color="auto" w:fill="auto"/>
            <w:noWrap/>
            <w:vAlign w:val="center"/>
            <w:hideMark/>
          </w:tcPr>
          <w:p w14:paraId="0DF07644"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32 (in 181)</w:t>
            </w:r>
          </w:p>
        </w:tc>
        <w:tc>
          <w:tcPr>
            <w:tcW w:w="907" w:type="pct"/>
            <w:tcBorders>
              <w:top w:val="nil"/>
              <w:left w:val="nil"/>
              <w:bottom w:val="nil"/>
              <w:right w:val="nil"/>
            </w:tcBorders>
            <w:shd w:val="clear" w:color="auto" w:fill="auto"/>
            <w:noWrap/>
            <w:vAlign w:val="center"/>
            <w:hideMark/>
          </w:tcPr>
          <w:p w14:paraId="5CF5D00A"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6 (in 181)</w:t>
            </w:r>
          </w:p>
        </w:tc>
      </w:tr>
      <w:tr w:rsidR="00861681" w:rsidRPr="0097587B" w14:paraId="6F90C3F3" w14:textId="77777777" w:rsidTr="00861681">
        <w:trPr>
          <w:trHeight w:val="20"/>
        </w:trPr>
        <w:tc>
          <w:tcPr>
            <w:tcW w:w="680" w:type="pct"/>
            <w:vMerge/>
            <w:tcBorders>
              <w:top w:val="nil"/>
              <w:left w:val="nil"/>
              <w:bottom w:val="single" w:sz="4" w:space="0" w:color="000000"/>
              <w:right w:val="nil"/>
            </w:tcBorders>
            <w:vAlign w:val="center"/>
            <w:hideMark/>
          </w:tcPr>
          <w:p w14:paraId="3A5A7EC4" w14:textId="77777777" w:rsidR="00861681" w:rsidRPr="0097587B" w:rsidRDefault="00861681" w:rsidP="00861681">
            <w:pPr>
              <w:spacing w:before="0" w:after="0" w:line="276" w:lineRule="auto"/>
              <w:jc w:val="left"/>
              <w:rPr>
                <w:rFonts w:ascii="Arial" w:hAnsi="Arial" w:cs="Arial"/>
                <w:b/>
                <w:bCs/>
                <w:color w:val="000000"/>
                <w:sz w:val="18"/>
                <w:szCs w:val="18"/>
              </w:rPr>
            </w:pPr>
          </w:p>
        </w:tc>
        <w:tc>
          <w:tcPr>
            <w:tcW w:w="896" w:type="pct"/>
            <w:tcBorders>
              <w:top w:val="nil"/>
              <w:left w:val="nil"/>
              <w:bottom w:val="nil"/>
              <w:right w:val="nil"/>
            </w:tcBorders>
            <w:shd w:val="clear" w:color="auto" w:fill="auto"/>
            <w:noWrap/>
            <w:vAlign w:val="center"/>
            <w:hideMark/>
          </w:tcPr>
          <w:p w14:paraId="3CBDEC03" w14:textId="77777777" w:rsidR="00861681" w:rsidRPr="0097587B" w:rsidRDefault="00861681" w:rsidP="00861681">
            <w:pPr>
              <w:spacing w:before="0" w:after="0" w:line="276" w:lineRule="auto"/>
              <w:jc w:val="left"/>
              <w:rPr>
                <w:rFonts w:ascii="Arial" w:hAnsi="Arial" w:cs="Arial"/>
                <w:color w:val="000000"/>
                <w:sz w:val="18"/>
                <w:szCs w:val="18"/>
              </w:rPr>
            </w:pPr>
            <w:r w:rsidRPr="0097587B">
              <w:rPr>
                <w:rFonts w:ascii="Arial" w:hAnsi="Arial" w:cs="Arial"/>
                <w:color w:val="000000"/>
                <w:sz w:val="18"/>
                <w:szCs w:val="18"/>
              </w:rPr>
              <w:t>Pioneer</w:t>
            </w:r>
          </w:p>
        </w:tc>
        <w:tc>
          <w:tcPr>
            <w:tcW w:w="810" w:type="pct"/>
            <w:tcBorders>
              <w:top w:val="nil"/>
              <w:left w:val="nil"/>
              <w:bottom w:val="nil"/>
              <w:right w:val="nil"/>
            </w:tcBorders>
            <w:shd w:val="clear" w:color="auto" w:fill="auto"/>
            <w:noWrap/>
            <w:vAlign w:val="center"/>
            <w:hideMark/>
          </w:tcPr>
          <w:p w14:paraId="5D13FB84"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1,138</w:t>
            </w:r>
          </w:p>
        </w:tc>
        <w:tc>
          <w:tcPr>
            <w:tcW w:w="799" w:type="pct"/>
            <w:tcBorders>
              <w:top w:val="nil"/>
              <w:left w:val="nil"/>
              <w:bottom w:val="nil"/>
              <w:right w:val="nil"/>
            </w:tcBorders>
            <w:shd w:val="clear" w:color="auto" w:fill="auto"/>
            <w:noWrap/>
            <w:vAlign w:val="center"/>
            <w:hideMark/>
          </w:tcPr>
          <w:p w14:paraId="62A4DB48"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10,634</w:t>
            </w:r>
          </w:p>
        </w:tc>
        <w:tc>
          <w:tcPr>
            <w:tcW w:w="908" w:type="pct"/>
            <w:tcBorders>
              <w:top w:val="nil"/>
              <w:left w:val="nil"/>
              <w:bottom w:val="nil"/>
              <w:right w:val="nil"/>
            </w:tcBorders>
            <w:shd w:val="clear" w:color="auto" w:fill="auto"/>
            <w:noWrap/>
            <w:vAlign w:val="center"/>
            <w:hideMark/>
          </w:tcPr>
          <w:p w14:paraId="697D3B4F"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86 (in 181)</w:t>
            </w:r>
          </w:p>
        </w:tc>
        <w:tc>
          <w:tcPr>
            <w:tcW w:w="907" w:type="pct"/>
            <w:tcBorders>
              <w:top w:val="nil"/>
              <w:left w:val="nil"/>
              <w:bottom w:val="nil"/>
              <w:right w:val="nil"/>
            </w:tcBorders>
            <w:shd w:val="clear" w:color="auto" w:fill="auto"/>
            <w:noWrap/>
            <w:vAlign w:val="center"/>
            <w:hideMark/>
          </w:tcPr>
          <w:p w14:paraId="045943F5"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7 (in 181)</w:t>
            </w:r>
          </w:p>
        </w:tc>
      </w:tr>
      <w:tr w:rsidR="00861681" w:rsidRPr="0097587B" w14:paraId="12708EDE" w14:textId="77777777" w:rsidTr="00861681">
        <w:trPr>
          <w:trHeight w:val="20"/>
        </w:trPr>
        <w:tc>
          <w:tcPr>
            <w:tcW w:w="680" w:type="pct"/>
            <w:vMerge/>
            <w:tcBorders>
              <w:top w:val="nil"/>
              <w:left w:val="nil"/>
              <w:bottom w:val="single" w:sz="4" w:space="0" w:color="000000"/>
              <w:right w:val="nil"/>
            </w:tcBorders>
            <w:vAlign w:val="center"/>
            <w:hideMark/>
          </w:tcPr>
          <w:p w14:paraId="1FBA3917" w14:textId="77777777" w:rsidR="00861681" w:rsidRPr="0097587B" w:rsidRDefault="00861681" w:rsidP="00861681">
            <w:pPr>
              <w:spacing w:before="0" w:after="0" w:line="276" w:lineRule="auto"/>
              <w:jc w:val="left"/>
              <w:rPr>
                <w:rFonts w:ascii="Arial" w:hAnsi="Arial" w:cs="Arial"/>
                <w:b/>
                <w:bCs/>
                <w:color w:val="000000"/>
                <w:sz w:val="18"/>
                <w:szCs w:val="18"/>
              </w:rPr>
            </w:pPr>
          </w:p>
        </w:tc>
        <w:tc>
          <w:tcPr>
            <w:tcW w:w="896" w:type="pct"/>
            <w:tcBorders>
              <w:top w:val="nil"/>
              <w:left w:val="nil"/>
              <w:bottom w:val="nil"/>
              <w:right w:val="nil"/>
            </w:tcBorders>
            <w:shd w:val="clear" w:color="auto" w:fill="auto"/>
            <w:noWrap/>
            <w:vAlign w:val="center"/>
            <w:hideMark/>
          </w:tcPr>
          <w:p w14:paraId="462CEBEA" w14:textId="77777777" w:rsidR="00861681" w:rsidRPr="0097587B" w:rsidRDefault="00861681" w:rsidP="00861681">
            <w:pPr>
              <w:spacing w:before="0" w:after="0" w:line="276" w:lineRule="auto"/>
              <w:jc w:val="left"/>
              <w:rPr>
                <w:rFonts w:ascii="Arial" w:hAnsi="Arial" w:cs="Arial"/>
                <w:color w:val="000000"/>
                <w:sz w:val="18"/>
                <w:szCs w:val="18"/>
              </w:rPr>
            </w:pPr>
            <w:r w:rsidRPr="0097587B">
              <w:rPr>
                <w:rFonts w:ascii="Arial" w:hAnsi="Arial" w:cs="Arial"/>
                <w:color w:val="000000"/>
                <w:sz w:val="18"/>
                <w:szCs w:val="18"/>
              </w:rPr>
              <w:t>Sandy</w:t>
            </w:r>
          </w:p>
        </w:tc>
        <w:tc>
          <w:tcPr>
            <w:tcW w:w="810" w:type="pct"/>
            <w:tcBorders>
              <w:top w:val="nil"/>
              <w:left w:val="nil"/>
              <w:bottom w:val="nil"/>
              <w:right w:val="nil"/>
            </w:tcBorders>
            <w:shd w:val="clear" w:color="auto" w:fill="auto"/>
            <w:noWrap/>
            <w:vAlign w:val="center"/>
            <w:hideMark/>
          </w:tcPr>
          <w:p w14:paraId="44635191"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150</w:t>
            </w:r>
          </w:p>
        </w:tc>
        <w:tc>
          <w:tcPr>
            <w:tcW w:w="799" w:type="pct"/>
            <w:tcBorders>
              <w:top w:val="nil"/>
              <w:left w:val="nil"/>
              <w:bottom w:val="nil"/>
              <w:right w:val="nil"/>
            </w:tcBorders>
            <w:shd w:val="clear" w:color="auto" w:fill="auto"/>
            <w:noWrap/>
            <w:vAlign w:val="center"/>
            <w:hideMark/>
          </w:tcPr>
          <w:p w14:paraId="313CEE2F"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3,370</w:t>
            </w:r>
          </w:p>
        </w:tc>
        <w:tc>
          <w:tcPr>
            <w:tcW w:w="908" w:type="pct"/>
            <w:tcBorders>
              <w:top w:val="nil"/>
              <w:left w:val="nil"/>
              <w:bottom w:val="nil"/>
              <w:right w:val="nil"/>
            </w:tcBorders>
            <w:shd w:val="clear" w:color="auto" w:fill="auto"/>
            <w:noWrap/>
            <w:vAlign w:val="center"/>
            <w:hideMark/>
          </w:tcPr>
          <w:p w14:paraId="098A57FF"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57 (in 181)</w:t>
            </w:r>
          </w:p>
        </w:tc>
        <w:tc>
          <w:tcPr>
            <w:tcW w:w="907" w:type="pct"/>
            <w:tcBorders>
              <w:top w:val="nil"/>
              <w:left w:val="nil"/>
              <w:bottom w:val="nil"/>
              <w:right w:val="nil"/>
            </w:tcBorders>
            <w:shd w:val="clear" w:color="auto" w:fill="auto"/>
            <w:noWrap/>
            <w:vAlign w:val="center"/>
            <w:hideMark/>
          </w:tcPr>
          <w:p w14:paraId="1B5E79BA"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7 (in 181)</w:t>
            </w:r>
          </w:p>
        </w:tc>
      </w:tr>
      <w:tr w:rsidR="00861681" w:rsidRPr="0097587B" w14:paraId="1A86FA68" w14:textId="77777777" w:rsidTr="00861681">
        <w:trPr>
          <w:trHeight w:val="20"/>
        </w:trPr>
        <w:tc>
          <w:tcPr>
            <w:tcW w:w="680" w:type="pct"/>
            <w:vMerge/>
            <w:tcBorders>
              <w:top w:val="nil"/>
              <w:left w:val="nil"/>
              <w:bottom w:val="single" w:sz="4" w:space="0" w:color="000000"/>
              <w:right w:val="nil"/>
            </w:tcBorders>
            <w:vAlign w:val="center"/>
            <w:hideMark/>
          </w:tcPr>
          <w:p w14:paraId="03259A44" w14:textId="77777777" w:rsidR="00861681" w:rsidRPr="0097587B" w:rsidRDefault="00861681" w:rsidP="00861681">
            <w:pPr>
              <w:spacing w:before="0" w:after="0" w:line="276" w:lineRule="auto"/>
              <w:jc w:val="left"/>
              <w:rPr>
                <w:rFonts w:ascii="Arial" w:hAnsi="Arial" w:cs="Arial"/>
                <w:b/>
                <w:bCs/>
                <w:color w:val="000000"/>
                <w:sz w:val="18"/>
                <w:szCs w:val="18"/>
              </w:rPr>
            </w:pPr>
          </w:p>
        </w:tc>
        <w:tc>
          <w:tcPr>
            <w:tcW w:w="896" w:type="pct"/>
            <w:tcBorders>
              <w:top w:val="nil"/>
              <w:left w:val="nil"/>
              <w:bottom w:val="single" w:sz="4" w:space="0" w:color="auto"/>
              <w:right w:val="nil"/>
            </w:tcBorders>
            <w:shd w:val="clear" w:color="auto" w:fill="auto"/>
            <w:noWrap/>
            <w:vAlign w:val="center"/>
            <w:hideMark/>
          </w:tcPr>
          <w:p w14:paraId="549BDE58" w14:textId="77777777" w:rsidR="00861681" w:rsidRPr="0097587B" w:rsidRDefault="00861681" w:rsidP="00861681">
            <w:pPr>
              <w:spacing w:before="0" w:after="0" w:line="276" w:lineRule="auto"/>
              <w:jc w:val="left"/>
              <w:rPr>
                <w:rFonts w:ascii="Arial" w:hAnsi="Arial" w:cs="Arial"/>
                <w:color w:val="000000"/>
                <w:sz w:val="18"/>
                <w:szCs w:val="18"/>
              </w:rPr>
            </w:pPr>
            <w:r w:rsidRPr="0097587B">
              <w:rPr>
                <w:rFonts w:ascii="Arial" w:hAnsi="Arial" w:cs="Arial"/>
                <w:color w:val="000000"/>
                <w:sz w:val="18"/>
                <w:szCs w:val="18"/>
              </w:rPr>
              <w:t>Carmila</w:t>
            </w:r>
          </w:p>
        </w:tc>
        <w:tc>
          <w:tcPr>
            <w:tcW w:w="810" w:type="pct"/>
            <w:tcBorders>
              <w:top w:val="nil"/>
              <w:left w:val="nil"/>
              <w:bottom w:val="single" w:sz="4" w:space="0" w:color="auto"/>
              <w:right w:val="nil"/>
            </w:tcBorders>
            <w:shd w:val="clear" w:color="auto" w:fill="auto"/>
            <w:noWrap/>
            <w:vAlign w:val="center"/>
            <w:hideMark/>
          </w:tcPr>
          <w:p w14:paraId="7AADC649"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84</w:t>
            </w:r>
          </w:p>
        </w:tc>
        <w:tc>
          <w:tcPr>
            <w:tcW w:w="799" w:type="pct"/>
            <w:tcBorders>
              <w:top w:val="nil"/>
              <w:left w:val="nil"/>
              <w:bottom w:val="single" w:sz="4" w:space="0" w:color="auto"/>
              <w:right w:val="nil"/>
            </w:tcBorders>
            <w:shd w:val="clear" w:color="auto" w:fill="auto"/>
            <w:noWrap/>
            <w:vAlign w:val="center"/>
            <w:hideMark/>
          </w:tcPr>
          <w:p w14:paraId="779CDA13"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857</w:t>
            </w:r>
          </w:p>
        </w:tc>
        <w:tc>
          <w:tcPr>
            <w:tcW w:w="908" w:type="pct"/>
            <w:tcBorders>
              <w:top w:val="nil"/>
              <w:left w:val="nil"/>
              <w:bottom w:val="single" w:sz="4" w:space="0" w:color="auto"/>
              <w:right w:val="nil"/>
            </w:tcBorders>
            <w:shd w:val="clear" w:color="auto" w:fill="auto"/>
            <w:noWrap/>
            <w:vAlign w:val="center"/>
            <w:hideMark/>
          </w:tcPr>
          <w:p w14:paraId="5766F8F9"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31 (in 181)</w:t>
            </w:r>
          </w:p>
        </w:tc>
        <w:tc>
          <w:tcPr>
            <w:tcW w:w="907" w:type="pct"/>
            <w:tcBorders>
              <w:top w:val="nil"/>
              <w:left w:val="nil"/>
              <w:bottom w:val="single" w:sz="4" w:space="0" w:color="auto"/>
              <w:right w:val="nil"/>
            </w:tcBorders>
            <w:shd w:val="clear" w:color="auto" w:fill="auto"/>
            <w:noWrap/>
            <w:vAlign w:val="center"/>
            <w:hideMark/>
          </w:tcPr>
          <w:p w14:paraId="246A3BDB"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4 (in 181)</w:t>
            </w:r>
          </w:p>
        </w:tc>
      </w:tr>
      <w:tr w:rsidR="00861681" w:rsidRPr="0097587B" w14:paraId="0E05639C" w14:textId="77777777" w:rsidTr="00861681">
        <w:trPr>
          <w:trHeight w:val="20"/>
        </w:trPr>
        <w:tc>
          <w:tcPr>
            <w:tcW w:w="680" w:type="pct"/>
            <w:tcBorders>
              <w:top w:val="nil"/>
              <w:left w:val="nil"/>
              <w:bottom w:val="single" w:sz="4" w:space="0" w:color="auto"/>
              <w:right w:val="nil"/>
            </w:tcBorders>
            <w:shd w:val="clear" w:color="auto" w:fill="auto"/>
            <w:vAlign w:val="center"/>
            <w:hideMark/>
          </w:tcPr>
          <w:p w14:paraId="474123F3" w14:textId="77777777" w:rsidR="00861681" w:rsidRPr="0097587B" w:rsidRDefault="00861681" w:rsidP="00861681">
            <w:pPr>
              <w:spacing w:before="0" w:after="0" w:line="276" w:lineRule="auto"/>
              <w:jc w:val="left"/>
              <w:rPr>
                <w:rFonts w:ascii="Arial" w:hAnsi="Arial" w:cs="Arial"/>
                <w:b/>
                <w:bCs/>
                <w:color w:val="000000"/>
                <w:sz w:val="18"/>
                <w:szCs w:val="18"/>
              </w:rPr>
            </w:pPr>
            <w:r w:rsidRPr="0097587B">
              <w:rPr>
                <w:rFonts w:ascii="Arial" w:hAnsi="Arial" w:cs="Arial"/>
                <w:b/>
                <w:bCs/>
                <w:color w:val="000000"/>
                <w:sz w:val="18"/>
                <w:szCs w:val="18"/>
              </w:rPr>
              <w:t>Fitzroy</w:t>
            </w:r>
          </w:p>
        </w:tc>
        <w:tc>
          <w:tcPr>
            <w:tcW w:w="896" w:type="pct"/>
            <w:tcBorders>
              <w:top w:val="nil"/>
              <w:left w:val="nil"/>
              <w:bottom w:val="single" w:sz="4" w:space="0" w:color="auto"/>
              <w:right w:val="nil"/>
            </w:tcBorders>
            <w:shd w:val="clear" w:color="auto" w:fill="auto"/>
            <w:noWrap/>
            <w:vAlign w:val="center"/>
            <w:hideMark/>
          </w:tcPr>
          <w:p w14:paraId="290CF5A6" w14:textId="77777777" w:rsidR="00861681" w:rsidRPr="0097587B" w:rsidRDefault="00861681" w:rsidP="00861681">
            <w:pPr>
              <w:spacing w:before="0" w:after="0" w:line="276" w:lineRule="auto"/>
              <w:jc w:val="left"/>
              <w:rPr>
                <w:rFonts w:ascii="Arial" w:hAnsi="Arial" w:cs="Arial"/>
                <w:color w:val="000000"/>
                <w:sz w:val="18"/>
                <w:szCs w:val="18"/>
              </w:rPr>
            </w:pPr>
            <w:r w:rsidRPr="0097587B">
              <w:rPr>
                <w:rFonts w:ascii="Arial" w:hAnsi="Arial" w:cs="Arial"/>
                <w:color w:val="000000"/>
                <w:sz w:val="18"/>
                <w:szCs w:val="18"/>
              </w:rPr>
              <w:t>Fitzroy</w:t>
            </w:r>
          </w:p>
        </w:tc>
        <w:tc>
          <w:tcPr>
            <w:tcW w:w="810" w:type="pct"/>
            <w:tcBorders>
              <w:top w:val="nil"/>
              <w:left w:val="nil"/>
              <w:bottom w:val="single" w:sz="4" w:space="0" w:color="auto"/>
              <w:right w:val="nil"/>
            </w:tcBorders>
            <w:shd w:val="clear" w:color="auto" w:fill="auto"/>
            <w:noWrap/>
            <w:vAlign w:val="center"/>
            <w:hideMark/>
          </w:tcPr>
          <w:p w14:paraId="7138A902"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8,434</w:t>
            </w:r>
          </w:p>
        </w:tc>
        <w:tc>
          <w:tcPr>
            <w:tcW w:w="799" w:type="pct"/>
            <w:tcBorders>
              <w:top w:val="nil"/>
              <w:left w:val="nil"/>
              <w:bottom w:val="single" w:sz="4" w:space="0" w:color="auto"/>
              <w:right w:val="nil"/>
            </w:tcBorders>
            <w:shd w:val="clear" w:color="auto" w:fill="auto"/>
            <w:noWrap/>
            <w:vAlign w:val="center"/>
            <w:hideMark/>
          </w:tcPr>
          <w:p w14:paraId="25B8AB69"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120,756</w:t>
            </w:r>
          </w:p>
        </w:tc>
        <w:tc>
          <w:tcPr>
            <w:tcW w:w="908" w:type="pct"/>
            <w:tcBorders>
              <w:top w:val="nil"/>
              <w:left w:val="nil"/>
              <w:bottom w:val="single" w:sz="4" w:space="0" w:color="auto"/>
              <w:right w:val="nil"/>
            </w:tcBorders>
            <w:shd w:val="clear" w:color="auto" w:fill="auto"/>
            <w:noWrap/>
            <w:vAlign w:val="center"/>
            <w:hideMark/>
          </w:tcPr>
          <w:p w14:paraId="3894B463"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42 (in 181)</w:t>
            </w:r>
          </w:p>
        </w:tc>
        <w:tc>
          <w:tcPr>
            <w:tcW w:w="907" w:type="pct"/>
            <w:tcBorders>
              <w:top w:val="nil"/>
              <w:left w:val="nil"/>
              <w:bottom w:val="single" w:sz="4" w:space="0" w:color="auto"/>
              <w:right w:val="nil"/>
            </w:tcBorders>
            <w:shd w:val="clear" w:color="auto" w:fill="auto"/>
            <w:noWrap/>
            <w:vAlign w:val="center"/>
            <w:hideMark/>
          </w:tcPr>
          <w:p w14:paraId="3BD8FA41"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0 (in 181)</w:t>
            </w:r>
          </w:p>
        </w:tc>
      </w:tr>
      <w:tr w:rsidR="00861681" w:rsidRPr="0097587B" w14:paraId="21C6C74A" w14:textId="77777777" w:rsidTr="00861681">
        <w:trPr>
          <w:trHeight w:val="20"/>
        </w:trPr>
        <w:tc>
          <w:tcPr>
            <w:tcW w:w="680" w:type="pct"/>
            <w:vMerge w:val="restart"/>
            <w:tcBorders>
              <w:top w:val="nil"/>
              <w:left w:val="nil"/>
              <w:bottom w:val="single" w:sz="4" w:space="0" w:color="000000"/>
              <w:right w:val="nil"/>
            </w:tcBorders>
            <w:shd w:val="clear" w:color="auto" w:fill="auto"/>
            <w:vAlign w:val="center"/>
            <w:hideMark/>
          </w:tcPr>
          <w:p w14:paraId="7FCB22E5" w14:textId="77777777" w:rsidR="00861681" w:rsidRPr="0097587B" w:rsidRDefault="00861681" w:rsidP="00861681">
            <w:pPr>
              <w:spacing w:before="0" w:after="0" w:line="276" w:lineRule="auto"/>
              <w:jc w:val="left"/>
              <w:rPr>
                <w:rFonts w:ascii="Arial" w:hAnsi="Arial" w:cs="Arial"/>
                <w:b/>
                <w:bCs/>
                <w:color w:val="000000"/>
                <w:sz w:val="18"/>
                <w:szCs w:val="18"/>
              </w:rPr>
            </w:pPr>
            <w:r w:rsidRPr="0097587B">
              <w:rPr>
                <w:rFonts w:ascii="Arial" w:hAnsi="Arial" w:cs="Arial"/>
                <w:b/>
                <w:bCs/>
                <w:color w:val="000000"/>
                <w:sz w:val="18"/>
                <w:szCs w:val="18"/>
              </w:rPr>
              <w:t>Burnett-Mary</w:t>
            </w:r>
          </w:p>
        </w:tc>
        <w:tc>
          <w:tcPr>
            <w:tcW w:w="896" w:type="pct"/>
            <w:tcBorders>
              <w:top w:val="nil"/>
              <w:left w:val="nil"/>
              <w:bottom w:val="nil"/>
              <w:right w:val="nil"/>
            </w:tcBorders>
            <w:shd w:val="clear" w:color="auto" w:fill="auto"/>
            <w:noWrap/>
            <w:vAlign w:val="center"/>
            <w:hideMark/>
          </w:tcPr>
          <w:p w14:paraId="2F06B97B" w14:textId="77777777" w:rsidR="00861681" w:rsidRPr="0097587B" w:rsidRDefault="00861681" w:rsidP="00861681">
            <w:pPr>
              <w:spacing w:before="0" w:after="0" w:line="276" w:lineRule="auto"/>
              <w:jc w:val="left"/>
              <w:rPr>
                <w:rFonts w:ascii="Arial" w:hAnsi="Arial" w:cs="Arial"/>
                <w:color w:val="000000"/>
                <w:sz w:val="18"/>
                <w:szCs w:val="18"/>
              </w:rPr>
            </w:pPr>
            <w:r w:rsidRPr="0097587B">
              <w:rPr>
                <w:rFonts w:ascii="Arial" w:hAnsi="Arial" w:cs="Arial"/>
                <w:color w:val="000000"/>
                <w:sz w:val="18"/>
                <w:szCs w:val="18"/>
              </w:rPr>
              <w:t>Burnett</w:t>
            </w:r>
          </w:p>
        </w:tc>
        <w:tc>
          <w:tcPr>
            <w:tcW w:w="810" w:type="pct"/>
            <w:tcBorders>
              <w:top w:val="nil"/>
              <w:left w:val="nil"/>
              <w:bottom w:val="nil"/>
              <w:right w:val="nil"/>
            </w:tcBorders>
            <w:shd w:val="clear" w:color="auto" w:fill="auto"/>
            <w:noWrap/>
            <w:vAlign w:val="center"/>
            <w:hideMark/>
          </w:tcPr>
          <w:p w14:paraId="30067B20"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786</w:t>
            </w:r>
          </w:p>
        </w:tc>
        <w:tc>
          <w:tcPr>
            <w:tcW w:w="799" w:type="pct"/>
            <w:tcBorders>
              <w:top w:val="nil"/>
              <w:left w:val="nil"/>
              <w:bottom w:val="nil"/>
              <w:right w:val="nil"/>
            </w:tcBorders>
            <w:shd w:val="clear" w:color="auto" w:fill="auto"/>
            <w:noWrap/>
            <w:vAlign w:val="center"/>
            <w:hideMark/>
          </w:tcPr>
          <w:p w14:paraId="03AE537E"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5,326</w:t>
            </w:r>
          </w:p>
        </w:tc>
        <w:tc>
          <w:tcPr>
            <w:tcW w:w="908" w:type="pct"/>
            <w:tcBorders>
              <w:top w:val="nil"/>
              <w:left w:val="nil"/>
              <w:bottom w:val="nil"/>
              <w:right w:val="nil"/>
            </w:tcBorders>
            <w:shd w:val="clear" w:color="auto" w:fill="auto"/>
            <w:noWrap/>
            <w:vAlign w:val="center"/>
            <w:hideMark/>
          </w:tcPr>
          <w:p w14:paraId="51C5CC95"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79 (in 181)</w:t>
            </w:r>
          </w:p>
        </w:tc>
        <w:tc>
          <w:tcPr>
            <w:tcW w:w="907" w:type="pct"/>
            <w:tcBorders>
              <w:top w:val="nil"/>
              <w:left w:val="nil"/>
              <w:bottom w:val="nil"/>
              <w:right w:val="nil"/>
            </w:tcBorders>
            <w:shd w:val="clear" w:color="auto" w:fill="auto"/>
            <w:noWrap/>
            <w:vAlign w:val="center"/>
            <w:hideMark/>
          </w:tcPr>
          <w:p w14:paraId="2C4658BB"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0 (in 181)</w:t>
            </w:r>
          </w:p>
        </w:tc>
      </w:tr>
      <w:tr w:rsidR="00861681" w:rsidRPr="0097587B" w14:paraId="13631F4F" w14:textId="77777777" w:rsidTr="00861681">
        <w:trPr>
          <w:trHeight w:val="20"/>
        </w:trPr>
        <w:tc>
          <w:tcPr>
            <w:tcW w:w="680" w:type="pct"/>
            <w:vMerge/>
            <w:tcBorders>
              <w:top w:val="nil"/>
              <w:left w:val="nil"/>
              <w:bottom w:val="single" w:sz="4" w:space="0" w:color="000000"/>
              <w:right w:val="nil"/>
            </w:tcBorders>
            <w:vAlign w:val="center"/>
            <w:hideMark/>
          </w:tcPr>
          <w:p w14:paraId="61D8350D" w14:textId="77777777" w:rsidR="00861681" w:rsidRPr="0097587B" w:rsidRDefault="00861681" w:rsidP="00861681">
            <w:pPr>
              <w:spacing w:before="0" w:after="0" w:line="276" w:lineRule="auto"/>
              <w:jc w:val="left"/>
              <w:rPr>
                <w:rFonts w:ascii="Arial" w:hAnsi="Arial" w:cs="Arial"/>
                <w:b/>
                <w:bCs/>
                <w:color w:val="000000"/>
                <w:sz w:val="18"/>
                <w:szCs w:val="18"/>
              </w:rPr>
            </w:pPr>
          </w:p>
        </w:tc>
        <w:tc>
          <w:tcPr>
            <w:tcW w:w="896" w:type="pct"/>
            <w:tcBorders>
              <w:top w:val="nil"/>
              <w:left w:val="nil"/>
              <w:bottom w:val="single" w:sz="4" w:space="0" w:color="auto"/>
              <w:right w:val="nil"/>
            </w:tcBorders>
            <w:shd w:val="clear" w:color="auto" w:fill="auto"/>
            <w:noWrap/>
            <w:vAlign w:val="center"/>
            <w:hideMark/>
          </w:tcPr>
          <w:p w14:paraId="3E782564" w14:textId="77777777" w:rsidR="00861681" w:rsidRPr="0097587B" w:rsidRDefault="00861681" w:rsidP="00861681">
            <w:pPr>
              <w:spacing w:before="0" w:after="0" w:line="276" w:lineRule="auto"/>
              <w:jc w:val="left"/>
              <w:rPr>
                <w:rFonts w:ascii="Arial" w:hAnsi="Arial" w:cs="Arial"/>
                <w:color w:val="000000"/>
                <w:sz w:val="18"/>
                <w:szCs w:val="18"/>
              </w:rPr>
            </w:pPr>
            <w:r w:rsidRPr="0097587B">
              <w:rPr>
                <w:rFonts w:ascii="Arial" w:hAnsi="Arial" w:cs="Arial"/>
                <w:color w:val="000000"/>
                <w:sz w:val="18"/>
                <w:szCs w:val="18"/>
              </w:rPr>
              <w:t>Mary</w:t>
            </w:r>
          </w:p>
        </w:tc>
        <w:tc>
          <w:tcPr>
            <w:tcW w:w="810" w:type="pct"/>
            <w:tcBorders>
              <w:top w:val="nil"/>
              <w:left w:val="nil"/>
              <w:bottom w:val="single" w:sz="4" w:space="0" w:color="auto"/>
              <w:right w:val="nil"/>
            </w:tcBorders>
            <w:shd w:val="clear" w:color="auto" w:fill="auto"/>
            <w:noWrap/>
            <w:vAlign w:val="center"/>
            <w:hideMark/>
          </w:tcPr>
          <w:p w14:paraId="223F35DC"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1,746</w:t>
            </w:r>
          </w:p>
        </w:tc>
        <w:tc>
          <w:tcPr>
            <w:tcW w:w="799" w:type="pct"/>
            <w:tcBorders>
              <w:top w:val="nil"/>
              <w:left w:val="nil"/>
              <w:bottom w:val="single" w:sz="4" w:space="0" w:color="auto"/>
              <w:right w:val="nil"/>
            </w:tcBorders>
            <w:shd w:val="clear" w:color="auto" w:fill="auto"/>
            <w:noWrap/>
            <w:vAlign w:val="center"/>
            <w:hideMark/>
          </w:tcPr>
          <w:p w14:paraId="6E020C2A"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14,284</w:t>
            </w:r>
          </w:p>
        </w:tc>
        <w:tc>
          <w:tcPr>
            <w:tcW w:w="908" w:type="pct"/>
            <w:tcBorders>
              <w:top w:val="nil"/>
              <w:left w:val="nil"/>
              <w:bottom w:val="single" w:sz="4" w:space="0" w:color="auto"/>
              <w:right w:val="nil"/>
            </w:tcBorders>
            <w:shd w:val="clear" w:color="auto" w:fill="auto"/>
            <w:noWrap/>
            <w:vAlign w:val="center"/>
            <w:hideMark/>
          </w:tcPr>
          <w:p w14:paraId="5F999FE4"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25 (in 181)</w:t>
            </w:r>
          </w:p>
        </w:tc>
        <w:tc>
          <w:tcPr>
            <w:tcW w:w="907" w:type="pct"/>
            <w:tcBorders>
              <w:top w:val="nil"/>
              <w:left w:val="nil"/>
              <w:bottom w:val="single" w:sz="4" w:space="0" w:color="auto"/>
              <w:right w:val="nil"/>
            </w:tcBorders>
            <w:shd w:val="clear" w:color="auto" w:fill="auto"/>
            <w:noWrap/>
            <w:vAlign w:val="center"/>
            <w:hideMark/>
          </w:tcPr>
          <w:p w14:paraId="2397D8C1" w14:textId="77777777" w:rsidR="00861681" w:rsidRPr="0097587B" w:rsidRDefault="00861681" w:rsidP="00861681">
            <w:pPr>
              <w:spacing w:before="0" w:after="0" w:line="276" w:lineRule="auto"/>
              <w:jc w:val="center"/>
              <w:rPr>
                <w:rFonts w:ascii="Arial" w:hAnsi="Arial" w:cs="Arial"/>
                <w:color w:val="000000"/>
                <w:sz w:val="18"/>
                <w:szCs w:val="18"/>
              </w:rPr>
            </w:pPr>
            <w:r w:rsidRPr="0097587B">
              <w:rPr>
                <w:rFonts w:ascii="Arial" w:hAnsi="Arial" w:cs="Arial"/>
                <w:color w:val="000000"/>
                <w:sz w:val="18"/>
                <w:szCs w:val="18"/>
              </w:rPr>
              <w:t>7 (in 181)</w:t>
            </w:r>
          </w:p>
        </w:tc>
      </w:tr>
    </w:tbl>
    <w:p w14:paraId="5CB4E035" w14:textId="77777777" w:rsidR="00482CB4" w:rsidRDefault="00482CB4" w:rsidP="00482CB4">
      <w:pPr>
        <w:rPr>
          <w:sz w:val="18"/>
        </w:rPr>
      </w:pPr>
    </w:p>
    <w:p w14:paraId="7AB3EE6E" w14:textId="77777777" w:rsidR="00482CB4" w:rsidRDefault="00482CB4" w:rsidP="00B46AF9">
      <w:pPr>
        <w:pStyle w:val="Heading2"/>
        <w:numPr>
          <w:ilvl w:val="1"/>
          <w:numId w:val="3"/>
        </w:numPr>
      </w:pPr>
      <w:bookmarkStart w:id="85" w:name="_Toc443299469"/>
      <w:bookmarkStart w:id="86" w:name="_Toc443299682"/>
      <w:bookmarkStart w:id="87" w:name="_Toc454304702"/>
      <w:bookmarkStart w:id="88" w:name="_Toc428851328"/>
      <w:r>
        <w:t>Extent of river plumes</w:t>
      </w:r>
      <w:r w:rsidR="000A0C70">
        <w:t xml:space="preserve">, </w:t>
      </w:r>
      <w:r w:rsidR="00054B7A">
        <w:t>2013</w:t>
      </w:r>
      <w:r w:rsidR="000A0C70">
        <w:t>-</w:t>
      </w:r>
      <w:r w:rsidR="00054B7A">
        <w:t xml:space="preserve">2014 </w:t>
      </w:r>
      <w:r>
        <w:t>wet season</w:t>
      </w:r>
      <w:bookmarkEnd w:id="85"/>
      <w:bookmarkEnd w:id="86"/>
      <w:bookmarkEnd w:id="87"/>
    </w:p>
    <w:bookmarkEnd w:id="88"/>
    <w:p w14:paraId="63CEF8FB" w14:textId="6413523C" w:rsidR="00036408" w:rsidRPr="00211E84" w:rsidRDefault="00054B7A" w:rsidP="00054B7A">
      <w:pPr>
        <w:spacing w:after="120"/>
      </w:pPr>
      <w:r w:rsidRPr="008F4A6E">
        <w:t>The wet season 201</w:t>
      </w:r>
      <w:r>
        <w:t>4</w:t>
      </w:r>
      <w:r w:rsidRPr="008F4A6E">
        <w:t xml:space="preserve"> was characterised by neutral</w:t>
      </w:r>
      <w:r>
        <w:t xml:space="preserve"> (neither El Niño nor La Niña)</w:t>
      </w:r>
      <w:r w:rsidRPr="008F4A6E">
        <w:t xml:space="preserve"> climatic conditions and tropical cyclone activity for the 2012-</w:t>
      </w:r>
      <w:r w:rsidR="000A0C70">
        <w:t>2013</w:t>
      </w:r>
      <w:r w:rsidRPr="008F4A6E">
        <w:t xml:space="preserve"> wet season was </w:t>
      </w:r>
      <w:r>
        <w:t>n</w:t>
      </w:r>
      <w:r w:rsidRPr="00257F57">
        <w:t xml:space="preserve">ear average </w:t>
      </w:r>
      <w:r w:rsidRPr="008F4A6E">
        <w:t xml:space="preserve">the typical cyclone season activity of Queensland. </w:t>
      </w:r>
      <w:r w:rsidRPr="0047047E">
        <w:t>After a late start to the wet season</w:t>
      </w:r>
      <w:r>
        <w:t>,</w:t>
      </w:r>
      <w:r w:rsidRPr="0047047E">
        <w:t xml:space="preserve"> </w:t>
      </w:r>
      <w:r w:rsidR="00162238">
        <w:t xml:space="preserve">there were </w:t>
      </w:r>
      <w:r>
        <w:t>two minor</w:t>
      </w:r>
      <w:r w:rsidRPr="00FC7B20">
        <w:t xml:space="preserve"> flood </w:t>
      </w:r>
      <w:r>
        <w:t>events</w:t>
      </w:r>
      <w:r w:rsidRPr="00FC7B20">
        <w:t xml:space="preserve"> around </w:t>
      </w:r>
      <w:r>
        <w:t xml:space="preserve">26 January to 17 February </w:t>
      </w:r>
      <w:r w:rsidR="00162238">
        <w:t xml:space="preserve">2014 </w:t>
      </w:r>
      <w:r>
        <w:t xml:space="preserve">and </w:t>
      </w:r>
      <w:r w:rsidRPr="00FC7B20">
        <w:t>around</w:t>
      </w:r>
      <w:r>
        <w:t xml:space="preserve"> 19 March to 6 April </w:t>
      </w:r>
      <w:r w:rsidR="00162238">
        <w:t xml:space="preserve">2014, </w:t>
      </w:r>
      <w:r>
        <w:t>as well as</w:t>
      </w:r>
      <w:r w:rsidRPr="00FC7B20">
        <w:t xml:space="preserve"> </w:t>
      </w:r>
      <w:r>
        <w:t xml:space="preserve">a </w:t>
      </w:r>
      <w:r>
        <w:lastRenderedPageBreak/>
        <w:t xml:space="preserve">more important </w:t>
      </w:r>
      <w:r w:rsidRPr="00FC7B20">
        <w:t>under</w:t>
      </w:r>
      <w:r w:rsidRPr="00FC1D6B">
        <w:t xml:space="preserve"> flood event</w:t>
      </w:r>
      <w:r>
        <w:t xml:space="preserve"> under</w:t>
      </w:r>
      <w:r w:rsidRPr="00FC7B20">
        <w:t xml:space="preserve"> the influence of Tropical Cyclone </w:t>
      </w:r>
      <w:r>
        <w:t xml:space="preserve">Ita which </w:t>
      </w:r>
      <w:r w:rsidR="00162238">
        <w:t>crossed the northern GBR coast on</w:t>
      </w:r>
      <w:r w:rsidRPr="00FC7B20">
        <w:t xml:space="preserve"> </w:t>
      </w:r>
      <w:r>
        <w:t>11</w:t>
      </w:r>
      <w:r w:rsidR="00BE1A79">
        <w:t xml:space="preserve"> April 2014</w:t>
      </w:r>
      <w:r>
        <w:t xml:space="preserve">. </w:t>
      </w:r>
    </w:p>
    <w:p w14:paraId="16329B50" w14:textId="77777777" w:rsidR="00036408" w:rsidRDefault="00036408" w:rsidP="00B46AF9">
      <w:pPr>
        <w:pStyle w:val="Heading2"/>
        <w:rPr>
          <w:lang w:val="en-US"/>
        </w:rPr>
      </w:pPr>
      <w:bookmarkStart w:id="89" w:name="_Toc443299470"/>
      <w:bookmarkStart w:id="90" w:name="_Toc443299683"/>
      <w:bookmarkStart w:id="91" w:name="_Toc454304703"/>
      <w:r>
        <w:rPr>
          <w:lang w:val="en-US"/>
        </w:rPr>
        <w:t>Tropical cyclone Ita</w:t>
      </w:r>
      <w:bookmarkEnd w:id="89"/>
      <w:bookmarkEnd w:id="90"/>
      <w:bookmarkEnd w:id="91"/>
    </w:p>
    <w:p w14:paraId="2E7D15A5" w14:textId="4C5AF604" w:rsidR="00054B7A" w:rsidRDefault="00211E84" w:rsidP="00054B7A">
      <w:pPr>
        <w:spacing w:after="120"/>
        <w:rPr>
          <w:lang w:val="en-US"/>
        </w:rPr>
      </w:pPr>
      <w:r>
        <w:t xml:space="preserve">The MODIS true </w:t>
      </w:r>
      <w:r w:rsidR="00460824">
        <w:t>colour</w:t>
      </w:r>
      <w:r>
        <w:t xml:space="preserve"> images below illustrates river plumes associated with </w:t>
      </w:r>
      <w:r>
        <w:rPr>
          <w:lang w:val="en-US"/>
        </w:rPr>
        <w:t>Ex-t</w:t>
      </w:r>
      <w:r w:rsidRPr="00A97E1F">
        <w:rPr>
          <w:lang w:val="en-US"/>
        </w:rPr>
        <w:t xml:space="preserve">ropical </w:t>
      </w:r>
      <w:r>
        <w:rPr>
          <w:lang w:val="en-US"/>
        </w:rPr>
        <w:t>c</w:t>
      </w:r>
      <w:r w:rsidRPr="00A97E1F">
        <w:rPr>
          <w:lang w:val="en-US"/>
        </w:rPr>
        <w:t xml:space="preserve">yclone </w:t>
      </w:r>
      <w:r>
        <w:t xml:space="preserve">Ita, which </w:t>
      </w:r>
      <w:r>
        <w:rPr>
          <w:lang w:val="en-US"/>
        </w:rPr>
        <w:t xml:space="preserve">came </w:t>
      </w:r>
      <w:r w:rsidRPr="00A97E1F">
        <w:rPr>
          <w:lang w:val="en-US"/>
        </w:rPr>
        <w:t xml:space="preserve">ashore in northeastern Queensland on </w:t>
      </w:r>
      <w:r w:rsidR="000A0C70">
        <w:rPr>
          <w:lang w:val="en-US"/>
        </w:rPr>
        <w:t xml:space="preserve">11 </w:t>
      </w:r>
      <w:r w:rsidRPr="00A97E1F">
        <w:rPr>
          <w:lang w:val="en-US"/>
        </w:rPr>
        <w:t xml:space="preserve">April </w:t>
      </w:r>
      <w:r>
        <w:rPr>
          <w:lang w:val="en-US"/>
        </w:rPr>
        <w:t xml:space="preserve">2014 </w:t>
      </w:r>
      <w:r w:rsidRPr="00A97E1F">
        <w:rPr>
          <w:lang w:val="en-US"/>
        </w:rPr>
        <w:t>as a powerful</w:t>
      </w:r>
      <w:r>
        <w:rPr>
          <w:lang w:val="en-US"/>
        </w:rPr>
        <w:t xml:space="preserve"> </w:t>
      </w:r>
      <w:r w:rsidRPr="00A97E1F">
        <w:rPr>
          <w:lang w:val="en-US"/>
        </w:rPr>
        <w:t xml:space="preserve">Category 4 </w:t>
      </w:r>
      <w:r w:rsidR="00BE1A79">
        <w:rPr>
          <w:lang w:val="en-US"/>
        </w:rPr>
        <w:t>cyclone</w:t>
      </w:r>
      <w:r>
        <w:rPr>
          <w:lang w:val="en-US"/>
        </w:rPr>
        <w:t xml:space="preserve"> and</w:t>
      </w:r>
      <w:r w:rsidRPr="00B34186">
        <w:rPr>
          <w:lang w:val="en-US"/>
        </w:rPr>
        <w:t xml:space="preserve"> re-emerged in the Coral Sea on </w:t>
      </w:r>
      <w:r w:rsidR="000A0C70">
        <w:rPr>
          <w:lang w:val="en-US"/>
        </w:rPr>
        <w:t xml:space="preserve">14 </w:t>
      </w:r>
      <w:r w:rsidRPr="00B34186">
        <w:rPr>
          <w:lang w:val="en-US"/>
        </w:rPr>
        <w:t xml:space="preserve">April </w:t>
      </w:r>
      <w:r w:rsidR="000A0C70">
        <w:rPr>
          <w:lang w:val="en-US"/>
        </w:rPr>
        <w:t>20</w:t>
      </w:r>
      <w:r w:rsidRPr="00B34186">
        <w:rPr>
          <w:lang w:val="en-US"/>
        </w:rPr>
        <w:t>14</w:t>
      </w:r>
      <w:r>
        <w:rPr>
          <w:lang w:val="en-US"/>
        </w:rPr>
        <w:t xml:space="preserve"> </w:t>
      </w:r>
      <w:r w:rsidR="00054B7A">
        <w:rPr>
          <w:lang w:val="en-US"/>
        </w:rPr>
        <w:t>(</w:t>
      </w:r>
      <w:r w:rsidR="00434EFC">
        <w:fldChar w:fldCharType="begin"/>
      </w:r>
      <w:r w:rsidR="00434EFC">
        <w:instrText xml:space="preserve"> REF _Ref390872153 \h  \* MERGEFORMAT </w:instrText>
      </w:r>
      <w:r w:rsidR="00434EFC">
        <w:fldChar w:fldCharType="separate"/>
      </w:r>
      <w:r w:rsidR="000E22F3" w:rsidRPr="00F14165">
        <w:t xml:space="preserve">Figure </w:t>
      </w:r>
      <w:r w:rsidR="000E22F3">
        <w:rPr>
          <w:noProof/>
        </w:rPr>
        <w:t>3</w:t>
      </w:r>
      <w:r w:rsidR="000E22F3">
        <w:rPr>
          <w:noProof/>
        </w:rPr>
        <w:noBreakHyphen/>
        <w:t>2</w:t>
      </w:r>
      <w:r w:rsidR="00434EFC">
        <w:fldChar w:fldCharType="end"/>
      </w:r>
      <w:r w:rsidR="00054B7A">
        <w:rPr>
          <w:lang w:val="en-US"/>
        </w:rPr>
        <w:t>)</w:t>
      </w:r>
      <w:r w:rsidR="00054B7A" w:rsidRPr="00B34186">
        <w:rPr>
          <w:lang w:val="en-US"/>
        </w:rPr>
        <w:t>.</w:t>
      </w:r>
    </w:p>
    <w:p w14:paraId="0FB41CA8" w14:textId="77777777" w:rsidR="00054B7A" w:rsidRDefault="00054B7A" w:rsidP="00054B7A">
      <w:pPr>
        <w:keepNext/>
        <w:spacing w:after="120"/>
      </w:pPr>
      <w:r>
        <w:rPr>
          <w:noProof/>
        </w:rPr>
        <w:drawing>
          <wp:inline distT="0" distB="0" distL="0" distR="0" wp14:anchorId="008DC62D" wp14:editId="6638A174">
            <wp:extent cx="5724000" cy="3404402"/>
            <wp:effectExtent l="0" t="0" r="0" b="5715"/>
            <wp:docPr id="37" name="Picture 37" descr="a) NASA’s Aqua true color satellite images of Tropical Cyclone Ita (April 11, 2014). NASA image courtesy Jeff Schmaltz, LANCE/EOSDIS MODIS Rapid Response Team at NASA GSFC.  b) Tropical Rainfall Measuring Mission satellite (TRMM) satellite rainfall map covers Tropical Cyclone Ita's life from April 1-14. Highest isolated rainfall was estimated around 400 mm/15.7 inches west of both Ingham and Townsville, Queensland. Ita's locations at 0600 UTC are shown overlaid in white. Image Credit: SSAI/NASA/JAXA, Hal Pierce" title="Ex-tropical Cyclone It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4" cstate="screen">
                      <a:extLst>
                        <a:ext uri="{28A0092B-C50C-407E-A947-70E740481C1C}">
                          <a14:useLocalDpi xmlns:a14="http://schemas.microsoft.com/office/drawing/2010/main"/>
                        </a:ext>
                      </a:extLst>
                    </a:blip>
                    <a:srcRect/>
                    <a:stretch>
                      <a:fillRect/>
                    </a:stretch>
                  </pic:blipFill>
                  <pic:spPr bwMode="auto">
                    <a:xfrm>
                      <a:off x="0" y="0"/>
                      <a:ext cx="5724000" cy="3404402"/>
                    </a:xfrm>
                    <a:prstGeom prst="rect">
                      <a:avLst/>
                    </a:prstGeom>
                    <a:noFill/>
                  </pic:spPr>
                </pic:pic>
              </a:graphicData>
            </a:graphic>
          </wp:inline>
        </w:drawing>
      </w:r>
    </w:p>
    <w:p w14:paraId="0BBC17F9" w14:textId="713CC1D3" w:rsidR="00054B7A" w:rsidRPr="00036408" w:rsidRDefault="00054B7A" w:rsidP="00036408">
      <w:pPr>
        <w:pStyle w:val="Caption"/>
      </w:pPr>
      <w:bookmarkStart w:id="92" w:name="_Ref390872153"/>
      <w:bookmarkStart w:id="93" w:name="_Toc428274741"/>
      <w:bookmarkStart w:id="94" w:name="_Toc454303901"/>
      <w:r w:rsidRPr="00F14165">
        <w:t xml:space="preserve">Figure </w:t>
      </w:r>
      <w:r w:rsidR="009F4CB0">
        <w:fldChar w:fldCharType="begin"/>
      </w:r>
      <w:r w:rsidR="009F4CB0">
        <w:instrText xml:space="preserve"> STYLEREF 1 \s </w:instrText>
      </w:r>
      <w:r w:rsidR="009F4CB0">
        <w:fldChar w:fldCharType="separate"/>
      </w:r>
      <w:r w:rsidR="000E22F3">
        <w:rPr>
          <w:noProof/>
        </w:rPr>
        <w:t>3</w:t>
      </w:r>
      <w:r w:rsidR="009F4CB0">
        <w:fldChar w:fldCharType="end"/>
      </w:r>
      <w:r w:rsidR="009F4CB0">
        <w:noBreakHyphen/>
      </w:r>
      <w:r w:rsidR="009F4CB0">
        <w:fldChar w:fldCharType="begin"/>
      </w:r>
      <w:r w:rsidR="009F4CB0">
        <w:instrText xml:space="preserve"> SEQ Figure \* ARABIC \s 1 </w:instrText>
      </w:r>
      <w:r w:rsidR="009F4CB0">
        <w:fldChar w:fldCharType="separate"/>
      </w:r>
      <w:r w:rsidR="000E22F3">
        <w:rPr>
          <w:noProof/>
        </w:rPr>
        <w:t>2</w:t>
      </w:r>
      <w:r w:rsidR="009F4CB0">
        <w:fldChar w:fldCharType="end"/>
      </w:r>
      <w:bookmarkEnd w:id="92"/>
      <w:r>
        <w:t xml:space="preserve">: a) </w:t>
      </w:r>
      <w:r w:rsidRPr="00A97E1F">
        <w:t xml:space="preserve">NASA’s Aqua </w:t>
      </w:r>
      <w:r>
        <w:t xml:space="preserve">true </w:t>
      </w:r>
      <w:r w:rsidR="00460824">
        <w:t>colour</w:t>
      </w:r>
      <w:r>
        <w:t xml:space="preserve"> </w:t>
      </w:r>
      <w:r w:rsidRPr="00A97E1F">
        <w:t xml:space="preserve">satellite </w:t>
      </w:r>
      <w:r>
        <w:t>images</w:t>
      </w:r>
      <w:r w:rsidRPr="00A97E1F">
        <w:t xml:space="preserve"> of </w:t>
      </w:r>
      <w:r w:rsidR="00211E84">
        <w:t>Ex-t</w:t>
      </w:r>
      <w:r w:rsidRPr="00A97E1F">
        <w:t>ropical Cyclone Ita</w:t>
      </w:r>
      <w:r>
        <w:t xml:space="preserve"> (</w:t>
      </w:r>
      <w:r w:rsidR="005006CE">
        <w:t xml:space="preserve">11 </w:t>
      </w:r>
      <w:r w:rsidRPr="00A97E1F">
        <w:t>April 2014</w:t>
      </w:r>
      <w:r>
        <w:t>).</w:t>
      </w:r>
      <w:r w:rsidRPr="00A97E1F">
        <w:t xml:space="preserve"> NASA image courtesy Jeff Schmaltz, LANCE/EOSDIS MODIS Rapid Response Team at NASA GSFC.  b) </w:t>
      </w:r>
      <w:r w:rsidRPr="00036408">
        <w:t xml:space="preserve">Tropical Rainfall Measuring Mission satellite (TRMM) satellite rainfall map covers Tropical Cyclone Ita's </w:t>
      </w:r>
      <w:r w:rsidR="00BE1A79">
        <w:t>track</w:t>
      </w:r>
      <w:r w:rsidRPr="00036408">
        <w:t xml:space="preserve"> from </w:t>
      </w:r>
      <w:r w:rsidR="00BE1A79">
        <w:t xml:space="preserve">1 to </w:t>
      </w:r>
      <w:r w:rsidR="005006CE" w:rsidRPr="00036408">
        <w:t>14</w:t>
      </w:r>
      <w:r w:rsidR="005006CE">
        <w:t xml:space="preserve"> </w:t>
      </w:r>
      <w:r w:rsidRPr="00036408">
        <w:t xml:space="preserve">April </w:t>
      </w:r>
      <w:r w:rsidR="005006CE">
        <w:t>2014</w:t>
      </w:r>
      <w:r w:rsidRPr="00036408">
        <w:t>. Highest isolated rainfall was estimated around 400 mm/15.7 inches west of both Ingham and Townsville, Queensland. Ita's locations at 0600 UTC are shown overlaid in white. Image Credit: SSAI/NASA/JAXA, Hal Pierce</w:t>
      </w:r>
      <w:bookmarkEnd w:id="93"/>
      <w:r w:rsidR="002259B1">
        <w:t>.</w:t>
      </w:r>
      <w:bookmarkEnd w:id="94"/>
    </w:p>
    <w:p w14:paraId="49F0751C" w14:textId="77D17289" w:rsidR="00054B7A" w:rsidRDefault="000A0C70" w:rsidP="000A0C70">
      <w:pPr>
        <w:rPr>
          <w:lang w:val="en-US"/>
        </w:rPr>
      </w:pPr>
      <w:r w:rsidRPr="0076321D">
        <w:rPr>
          <w:lang w:val="en-US"/>
        </w:rPr>
        <w:t>Tropical Cyclone Ita dropped heavy rainfall as it moved southward between 11</w:t>
      </w:r>
      <w:r>
        <w:rPr>
          <w:lang w:val="en-US"/>
        </w:rPr>
        <w:t xml:space="preserve"> </w:t>
      </w:r>
      <w:r w:rsidRPr="0076321D">
        <w:rPr>
          <w:lang w:val="en-US"/>
        </w:rPr>
        <w:t>and 14 April</w:t>
      </w:r>
      <w:r>
        <w:rPr>
          <w:lang w:val="en-US"/>
        </w:rPr>
        <w:t xml:space="preserve"> 2014</w:t>
      </w:r>
      <w:r w:rsidRPr="0076321D">
        <w:rPr>
          <w:lang w:val="en-US"/>
        </w:rPr>
        <w:t>, and caused flooding in many ar</w:t>
      </w:r>
      <w:r>
        <w:rPr>
          <w:lang w:val="en-US"/>
        </w:rPr>
        <w:t>eas of northeastern Queensland</w:t>
      </w:r>
      <w:r w:rsidRPr="0076321D">
        <w:rPr>
          <w:lang w:val="en-US"/>
        </w:rPr>
        <w:t xml:space="preserve">. </w:t>
      </w:r>
      <w:r>
        <w:rPr>
          <w:lang w:val="en-US"/>
        </w:rPr>
        <w:t>On</w:t>
      </w:r>
      <w:r w:rsidRPr="0076321D">
        <w:rPr>
          <w:lang w:val="en-US"/>
        </w:rPr>
        <w:t xml:space="preserve"> 14 April</w:t>
      </w:r>
      <w:r>
        <w:rPr>
          <w:lang w:val="en-US"/>
        </w:rPr>
        <w:t xml:space="preserve"> 2014</w:t>
      </w:r>
      <w:r w:rsidRPr="0076321D">
        <w:rPr>
          <w:lang w:val="en-US"/>
        </w:rPr>
        <w:t xml:space="preserve">, river plumes were large (up to 70 km wide in </w:t>
      </w:r>
      <w:r>
        <w:rPr>
          <w:lang w:val="en-US"/>
        </w:rPr>
        <w:t>f</w:t>
      </w:r>
      <w:r w:rsidRPr="0076321D">
        <w:rPr>
          <w:lang w:val="en-US"/>
        </w:rPr>
        <w:t>ront of the Mossman River) and int</w:t>
      </w:r>
      <w:r>
        <w:rPr>
          <w:lang w:val="en-US"/>
        </w:rPr>
        <w:t xml:space="preserve">erconnected with Wet Tropics rivers </w:t>
      </w:r>
      <w:r w:rsidRPr="009A129D">
        <w:rPr>
          <w:lang w:val="en-US"/>
        </w:rPr>
        <w:t>(</w:t>
      </w:r>
      <w:r>
        <w:fldChar w:fldCharType="begin"/>
      </w:r>
      <w:r>
        <w:instrText xml:space="preserve"> REF _Ref392509489 \h  \* MERGEFORMAT </w:instrText>
      </w:r>
      <w:r>
        <w:fldChar w:fldCharType="separate"/>
      </w:r>
      <w:r w:rsidR="000E22F3" w:rsidRPr="000E22F3">
        <w:rPr>
          <w:lang w:val="en-US"/>
        </w:rPr>
        <w:t>Figure 3</w:t>
      </w:r>
      <w:r w:rsidR="000E22F3" w:rsidRPr="000E22F3">
        <w:rPr>
          <w:lang w:val="en-US"/>
        </w:rPr>
        <w:noBreakHyphen/>
        <w:t>4</w:t>
      </w:r>
      <w:r>
        <w:fldChar w:fldCharType="end"/>
      </w:r>
      <w:r w:rsidRPr="009A129D">
        <w:rPr>
          <w:lang w:val="en-US"/>
        </w:rPr>
        <w:t>)</w:t>
      </w:r>
      <w:r>
        <w:rPr>
          <w:lang w:val="en-US"/>
        </w:rPr>
        <w:t xml:space="preserve">. The </w:t>
      </w:r>
      <w:r w:rsidRPr="0076321D">
        <w:rPr>
          <w:lang w:val="en-US"/>
        </w:rPr>
        <w:t xml:space="preserve">spatial </w:t>
      </w:r>
      <w:r>
        <w:rPr>
          <w:lang w:val="en-US"/>
        </w:rPr>
        <w:t>extent of the plumes</w:t>
      </w:r>
      <w:r w:rsidRPr="0076321D">
        <w:rPr>
          <w:lang w:val="en-US"/>
        </w:rPr>
        <w:t xml:space="preserve"> </w:t>
      </w:r>
      <w:r>
        <w:rPr>
          <w:lang w:val="en-US"/>
        </w:rPr>
        <w:t>show secondary and t</w:t>
      </w:r>
      <w:r w:rsidRPr="0076321D">
        <w:rPr>
          <w:lang w:val="en-US"/>
        </w:rPr>
        <w:t xml:space="preserve">ertiary plume water types reached the reef in the wet tropics, north of the Tully River. The satellite image of Tully and Herbert coastal waters acquired on 15 April </w:t>
      </w:r>
      <w:r>
        <w:rPr>
          <w:lang w:val="en-US"/>
        </w:rPr>
        <w:t xml:space="preserve">2014 </w:t>
      </w:r>
      <w:r w:rsidRPr="0076321D">
        <w:rPr>
          <w:lang w:val="en-US"/>
        </w:rPr>
        <w:t xml:space="preserve">suggests that sediments settled rapidly and turbidity levels dropped after the passage of the cyclonic system. </w:t>
      </w:r>
      <w:r>
        <w:rPr>
          <w:lang w:val="en-US"/>
        </w:rPr>
        <w:t>On</w:t>
      </w:r>
      <w:r w:rsidRPr="0076321D">
        <w:rPr>
          <w:lang w:val="en-US"/>
        </w:rPr>
        <w:t xml:space="preserve"> 20</w:t>
      </w:r>
      <w:r>
        <w:rPr>
          <w:lang w:val="en-US"/>
        </w:rPr>
        <w:t xml:space="preserve"> April 2014,</w:t>
      </w:r>
      <w:r w:rsidRPr="0076321D">
        <w:rPr>
          <w:lang w:val="en-US"/>
        </w:rPr>
        <w:t xml:space="preserve"> turbidity levels were reduced at the river estuary mouths though green (secondary/productive) waters were still visible, particularl</w:t>
      </w:r>
      <w:r>
        <w:rPr>
          <w:lang w:val="en-US"/>
        </w:rPr>
        <w:t xml:space="preserve">y along the Burdekin region coastline </w:t>
      </w:r>
      <w:r w:rsidR="00054B7A">
        <w:rPr>
          <w:lang w:val="en-US"/>
        </w:rPr>
        <w:t>(</w:t>
      </w:r>
      <w:r w:rsidR="00434EFC">
        <w:fldChar w:fldCharType="begin"/>
      </w:r>
      <w:r w:rsidR="00434EFC">
        <w:instrText xml:space="preserve"> REF _Ref390872223 \h  \* MERGEFORMAT </w:instrText>
      </w:r>
      <w:r w:rsidR="00434EFC">
        <w:fldChar w:fldCharType="separate"/>
      </w:r>
      <w:r w:rsidR="000E22F3" w:rsidRPr="000E22F3">
        <w:rPr>
          <w:lang w:val="en-US"/>
        </w:rPr>
        <w:t>Figure 3</w:t>
      </w:r>
      <w:r w:rsidR="000E22F3" w:rsidRPr="000E22F3">
        <w:rPr>
          <w:lang w:val="en-US"/>
        </w:rPr>
        <w:noBreakHyphen/>
        <w:t>6</w:t>
      </w:r>
      <w:r w:rsidR="00434EFC">
        <w:fldChar w:fldCharType="end"/>
      </w:r>
      <w:r w:rsidR="00054B7A">
        <w:rPr>
          <w:lang w:val="en-US"/>
        </w:rPr>
        <w:t xml:space="preserve">).  </w:t>
      </w:r>
    </w:p>
    <w:p w14:paraId="28C9A238" w14:textId="77777777" w:rsidR="00054B7A" w:rsidRDefault="00054B7A" w:rsidP="00054B7A">
      <w:pPr>
        <w:keepNext/>
        <w:spacing w:after="120"/>
        <w:jc w:val="center"/>
      </w:pPr>
      <w:r>
        <w:rPr>
          <w:noProof/>
        </w:rPr>
        <w:lastRenderedPageBreak/>
        <w:drawing>
          <wp:inline distT="0" distB="0" distL="0" distR="0" wp14:anchorId="290AED1F" wp14:editId="79826E46">
            <wp:extent cx="4680000" cy="7970400"/>
            <wp:effectExtent l="0" t="0" r="6350" b="0"/>
            <wp:docPr id="64" name="Picture 64" descr="NASA’s Aqua true colour satellite images of flooded coastal waters following Tropical Cyclone Ita (April 14th, 2014)." title="Flooded coastal waters following Tropical Cyclone I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5" cstate="screen">
                      <a:extLst>
                        <a:ext uri="{28A0092B-C50C-407E-A947-70E740481C1C}">
                          <a14:useLocalDpi xmlns:a14="http://schemas.microsoft.com/office/drawing/2010/main"/>
                        </a:ext>
                      </a:extLst>
                    </a:blip>
                    <a:srcRect/>
                    <a:stretch>
                      <a:fillRect/>
                    </a:stretch>
                  </pic:blipFill>
                  <pic:spPr bwMode="auto">
                    <a:xfrm>
                      <a:off x="0" y="0"/>
                      <a:ext cx="4680000" cy="7970400"/>
                    </a:xfrm>
                    <a:prstGeom prst="rect">
                      <a:avLst/>
                    </a:prstGeom>
                    <a:noFill/>
                  </pic:spPr>
                </pic:pic>
              </a:graphicData>
            </a:graphic>
          </wp:inline>
        </w:drawing>
      </w:r>
    </w:p>
    <w:p w14:paraId="5A60F929" w14:textId="0D55C6C1" w:rsidR="00054B7A" w:rsidRPr="00036408" w:rsidRDefault="00054B7A" w:rsidP="00036408">
      <w:pPr>
        <w:pStyle w:val="Caption"/>
      </w:pPr>
      <w:bookmarkStart w:id="95" w:name="_Ref390872170"/>
      <w:bookmarkStart w:id="96" w:name="_Toc428274742"/>
      <w:bookmarkStart w:id="97" w:name="_Toc454303902"/>
      <w:r w:rsidRPr="00036408">
        <w:t xml:space="preserve">Figure </w:t>
      </w:r>
      <w:r w:rsidR="009F4CB0">
        <w:fldChar w:fldCharType="begin"/>
      </w:r>
      <w:r w:rsidR="009F4CB0">
        <w:instrText xml:space="preserve"> STYLEREF 1 \s </w:instrText>
      </w:r>
      <w:r w:rsidR="009F4CB0">
        <w:fldChar w:fldCharType="separate"/>
      </w:r>
      <w:r w:rsidR="000E22F3">
        <w:rPr>
          <w:noProof/>
        </w:rPr>
        <w:t>3</w:t>
      </w:r>
      <w:r w:rsidR="009F4CB0">
        <w:fldChar w:fldCharType="end"/>
      </w:r>
      <w:r w:rsidR="009F4CB0">
        <w:noBreakHyphen/>
      </w:r>
      <w:r w:rsidR="009F4CB0">
        <w:fldChar w:fldCharType="begin"/>
      </w:r>
      <w:r w:rsidR="009F4CB0">
        <w:instrText xml:space="preserve"> SEQ Figure \* ARABIC \s 1 </w:instrText>
      </w:r>
      <w:r w:rsidR="009F4CB0">
        <w:fldChar w:fldCharType="separate"/>
      </w:r>
      <w:r w:rsidR="000E22F3">
        <w:rPr>
          <w:noProof/>
        </w:rPr>
        <w:t>3</w:t>
      </w:r>
      <w:r w:rsidR="009F4CB0">
        <w:fldChar w:fldCharType="end"/>
      </w:r>
      <w:bookmarkEnd w:id="95"/>
      <w:r w:rsidRPr="00036408">
        <w:t xml:space="preserve">: NASA’s Aqua true </w:t>
      </w:r>
      <w:r w:rsidR="008029CF" w:rsidRPr="00036408">
        <w:t>colour</w:t>
      </w:r>
      <w:r w:rsidRPr="00036408">
        <w:t xml:space="preserve"> satellite images of flooded coastal waters following </w:t>
      </w:r>
      <w:r w:rsidR="00211E84">
        <w:t>Ex-t</w:t>
      </w:r>
      <w:r w:rsidRPr="00036408">
        <w:t>ropical Cyclone Ita (</w:t>
      </w:r>
      <w:r w:rsidR="00BE1A79">
        <w:t xml:space="preserve">14 </w:t>
      </w:r>
      <w:r w:rsidRPr="00036408">
        <w:t>April 2014).</w:t>
      </w:r>
      <w:bookmarkEnd w:id="96"/>
      <w:bookmarkEnd w:id="97"/>
    </w:p>
    <w:p w14:paraId="55438A49" w14:textId="77777777" w:rsidR="00054B7A" w:rsidRDefault="00054B7A" w:rsidP="00054B7A">
      <w:pPr>
        <w:pStyle w:val="Caption"/>
        <w:keepNext/>
        <w:jc w:val="both"/>
      </w:pPr>
      <w:r>
        <w:rPr>
          <w:b/>
          <w:bCs/>
          <w:noProof/>
          <w:color w:val="auto"/>
          <w:szCs w:val="22"/>
          <w:lang w:val="en-AU" w:eastAsia="en-AU"/>
        </w:rPr>
        <w:lastRenderedPageBreak/>
        <w:drawing>
          <wp:inline distT="0" distB="0" distL="0" distR="0" wp14:anchorId="21D3C8AB" wp14:editId="642A3386">
            <wp:extent cx="5256000" cy="3204000"/>
            <wp:effectExtent l="0" t="0" r="1905" b="0"/>
            <wp:docPr id="38" name="Picture 38" descr="Digitized River plumes along the Wet Tropic coastline (Daintree River to Herbert River) in April 14th, 2014. Primary (sediment-dominated waters), Secondary (productive waters) and Tertiary (offshore) plume waters are indicated in orange, green and yellow, respectively.   " title="River plumes along the Wet Tropic coastlin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66" cstate="screen">
                      <a:extLst>
                        <a:ext uri="{28A0092B-C50C-407E-A947-70E740481C1C}">
                          <a14:useLocalDpi xmlns:a14="http://schemas.microsoft.com/office/drawing/2010/main"/>
                        </a:ext>
                      </a:extLst>
                    </a:blip>
                    <a:srcRect/>
                    <a:stretch/>
                  </pic:blipFill>
                  <pic:spPr bwMode="auto">
                    <a:xfrm>
                      <a:off x="0" y="0"/>
                      <a:ext cx="5256000" cy="3204000"/>
                    </a:xfrm>
                    <a:prstGeom prst="rect">
                      <a:avLst/>
                    </a:prstGeom>
                    <a:noFill/>
                    <a:ln>
                      <a:noFill/>
                    </a:ln>
                    <a:extLst>
                      <a:ext uri="{53640926-AAD7-44D8-BBD7-CCE9431645EC}">
                        <a14:shadowObscured xmlns:a14="http://schemas.microsoft.com/office/drawing/2010/main"/>
                      </a:ext>
                    </a:extLst>
                  </pic:spPr>
                </pic:pic>
              </a:graphicData>
            </a:graphic>
          </wp:inline>
        </w:drawing>
      </w:r>
    </w:p>
    <w:p w14:paraId="1B1CFE0B" w14:textId="3D1C890F" w:rsidR="00054B7A" w:rsidRDefault="00054B7A" w:rsidP="00054B7A">
      <w:pPr>
        <w:pStyle w:val="Caption"/>
        <w:jc w:val="both"/>
        <w:rPr>
          <w:b/>
          <w:bCs/>
          <w:color w:val="auto"/>
          <w:szCs w:val="22"/>
        </w:rPr>
      </w:pPr>
      <w:bookmarkStart w:id="98" w:name="_Ref392509489"/>
      <w:bookmarkStart w:id="99" w:name="_Toc428274743"/>
      <w:bookmarkStart w:id="100" w:name="_Toc454303903"/>
      <w:r w:rsidRPr="00FE1D37">
        <w:rPr>
          <w:color w:val="auto"/>
          <w:szCs w:val="22"/>
        </w:rPr>
        <w:t xml:space="preserve">Figure </w:t>
      </w:r>
      <w:r w:rsidR="009F4CB0">
        <w:rPr>
          <w:color w:val="auto"/>
          <w:szCs w:val="22"/>
        </w:rPr>
        <w:fldChar w:fldCharType="begin"/>
      </w:r>
      <w:r w:rsidR="009F4CB0">
        <w:rPr>
          <w:color w:val="auto"/>
          <w:szCs w:val="22"/>
        </w:rPr>
        <w:instrText xml:space="preserve"> STYLEREF 1 \s </w:instrText>
      </w:r>
      <w:r w:rsidR="009F4CB0">
        <w:rPr>
          <w:color w:val="auto"/>
          <w:szCs w:val="22"/>
        </w:rPr>
        <w:fldChar w:fldCharType="separate"/>
      </w:r>
      <w:r w:rsidR="000E22F3">
        <w:rPr>
          <w:noProof/>
          <w:color w:val="auto"/>
          <w:szCs w:val="22"/>
        </w:rPr>
        <w:t>3</w:t>
      </w:r>
      <w:r w:rsidR="009F4CB0">
        <w:rPr>
          <w:color w:val="auto"/>
          <w:szCs w:val="22"/>
        </w:rPr>
        <w:fldChar w:fldCharType="end"/>
      </w:r>
      <w:r w:rsidR="009F4CB0">
        <w:rPr>
          <w:color w:val="auto"/>
          <w:szCs w:val="22"/>
        </w:rPr>
        <w:noBreakHyphen/>
      </w:r>
      <w:r w:rsidR="009F4CB0">
        <w:rPr>
          <w:color w:val="auto"/>
          <w:szCs w:val="22"/>
        </w:rPr>
        <w:fldChar w:fldCharType="begin"/>
      </w:r>
      <w:r w:rsidR="009F4CB0">
        <w:rPr>
          <w:color w:val="auto"/>
          <w:szCs w:val="22"/>
        </w:rPr>
        <w:instrText xml:space="preserve"> SEQ Figure \* ARABIC \s 1 </w:instrText>
      </w:r>
      <w:r w:rsidR="009F4CB0">
        <w:rPr>
          <w:color w:val="auto"/>
          <w:szCs w:val="22"/>
        </w:rPr>
        <w:fldChar w:fldCharType="separate"/>
      </w:r>
      <w:r w:rsidR="000E22F3">
        <w:rPr>
          <w:noProof/>
          <w:color w:val="auto"/>
          <w:szCs w:val="22"/>
        </w:rPr>
        <w:t>4</w:t>
      </w:r>
      <w:r w:rsidR="009F4CB0">
        <w:rPr>
          <w:color w:val="auto"/>
          <w:szCs w:val="22"/>
        </w:rPr>
        <w:fldChar w:fldCharType="end"/>
      </w:r>
      <w:bookmarkEnd w:id="98"/>
      <w:r w:rsidR="00554012">
        <w:rPr>
          <w:color w:val="auto"/>
          <w:szCs w:val="22"/>
        </w:rPr>
        <w:t>: Digitis</w:t>
      </w:r>
      <w:r w:rsidRPr="00FA1F71">
        <w:rPr>
          <w:color w:val="auto"/>
          <w:szCs w:val="22"/>
        </w:rPr>
        <w:t xml:space="preserve">ed River plumes along the </w:t>
      </w:r>
      <w:r>
        <w:rPr>
          <w:color w:val="auto"/>
          <w:szCs w:val="22"/>
        </w:rPr>
        <w:t xml:space="preserve">Wet Tropic </w:t>
      </w:r>
      <w:r w:rsidRPr="00FA1F71">
        <w:rPr>
          <w:color w:val="auto"/>
          <w:szCs w:val="22"/>
        </w:rPr>
        <w:t xml:space="preserve">coastline </w:t>
      </w:r>
      <w:r>
        <w:rPr>
          <w:color w:val="auto"/>
          <w:szCs w:val="22"/>
        </w:rPr>
        <w:t>(</w:t>
      </w:r>
      <w:r w:rsidRPr="00FA1F71">
        <w:rPr>
          <w:color w:val="auto"/>
          <w:szCs w:val="22"/>
        </w:rPr>
        <w:t>Daintree River to Herbert River</w:t>
      </w:r>
      <w:r>
        <w:rPr>
          <w:color w:val="auto"/>
          <w:szCs w:val="22"/>
        </w:rPr>
        <w:t xml:space="preserve">) in </w:t>
      </w:r>
      <w:r w:rsidR="00BE1A79">
        <w:rPr>
          <w:color w:val="auto"/>
          <w:szCs w:val="22"/>
        </w:rPr>
        <w:t xml:space="preserve">14 </w:t>
      </w:r>
      <w:r w:rsidRPr="00FA1F71">
        <w:rPr>
          <w:color w:val="auto"/>
          <w:szCs w:val="22"/>
        </w:rPr>
        <w:t>April 2014</w:t>
      </w:r>
      <w:r>
        <w:rPr>
          <w:color w:val="auto"/>
          <w:szCs w:val="22"/>
        </w:rPr>
        <w:t>. Primary (sediment-dominated waters), Secondary (productive waters) and Tertiary (offshore) plume waters are indicated in orange, green and yellow, respectively.</w:t>
      </w:r>
      <w:bookmarkEnd w:id="99"/>
      <w:bookmarkEnd w:id="100"/>
      <w:r>
        <w:rPr>
          <w:color w:val="auto"/>
          <w:szCs w:val="22"/>
        </w:rPr>
        <w:t xml:space="preserve">   </w:t>
      </w:r>
    </w:p>
    <w:p w14:paraId="424AB893" w14:textId="77777777" w:rsidR="00054B7A" w:rsidRDefault="00054B7A" w:rsidP="00054B7A">
      <w:pPr>
        <w:spacing w:after="120"/>
      </w:pPr>
      <w:r>
        <w:rPr>
          <w:noProof/>
        </w:rPr>
        <w:drawing>
          <wp:inline distT="0" distB="0" distL="0" distR="0" wp14:anchorId="4EDE19E0" wp14:editId="392B0213">
            <wp:extent cx="5545776" cy="3502742"/>
            <wp:effectExtent l="0" t="0" r="0" b="2540"/>
            <wp:docPr id="46" name="Picture 46" descr="NASA’s Aqua true colour satellite images of flooded coastal waters in the Tully-Herbert region following Tropical Cyclone Ita (April 14th and 15th, 2014)." title="flooded coastal waters in the Tully-Herbert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67" cstate="screen">
                      <a:extLst>
                        <a:ext uri="{28A0092B-C50C-407E-A947-70E740481C1C}">
                          <a14:useLocalDpi xmlns:a14="http://schemas.microsoft.com/office/drawing/2010/main"/>
                        </a:ext>
                      </a:extLst>
                    </a:blip>
                    <a:srcRect/>
                    <a:stretch/>
                  </pic:blipFill>
                  <pic:spPr bwMode="auto">
                    <a:xfrm>
                      <a:off x="0" y="0"/>
                      <a:ext cx="5545867" cy="3502800"/>
                    </a:xfrm>
                    <a:prstGeom prst="rect">
                      <a:avLst/>
                    </a:prstGeom>
                    <a:noFill/>
                    <a:ln>
                      <a:noFill/>
                    </a:ln>
                    <a:extLst>
                      <a:ext uri="{53640926-AAD7-44D8-BBD7-CCE9431645EC}">
                        <a14:shadowObscured xmlns:a14="http://schemas.microsoft.com/office/drawing/2010/main"/>
                      </a:ext>
                    </a:extLst>
                  </pic:spPr>
                </pic:pic>
              </a:graphicData>
            </a:graphic>
          </wp:inline>
        </w:drawing>
      </w:r>
    </w:p>
    <w:p w14:paraId="4797AB4E" w14:textId="12C8882B" w:rsidR="00054B7A" w:rsidRPr="008C235D" w:rsidRDefault="00054B7A" w:rsidP="00036408">
      <w:pPr>
        <w:pStyle w:val="Caption"/>
      </w:pPr>
      <w:bookmarkStart w:id="101" w:name="_Ref390872254"/>
      <w:bookmarkStart w:id="102" w:name="_Toc428274744"/>
      <w:bookmarkStart w:id="103" w:name="_Toc454303904"/>
      <w:r w:rsidRPr="00FE1D37">
        <w:t xml:space="preserve">Figure </w:t>
      </w:r>
      <w:r w:rsidR="009F4CB0">
        <w:fldChar w:fldCharType="begin"/>
      </w:r>
      <w:r w:rsidR="009F4CB0">
        <w:instrText xml:space="preserve"> STYLEREF 1 \s </w:instrText>
      </w:r>
      <w:r w:rsidR="009F4CB0">
        <w:fldChar w:fldCharType="separate"/>
      </w:r>
      <w:r w:rsidR="000E22F3">
        <w:rPr>
          <w:noProof/>
        </w:rPr>
        <w:t>3</w:t>
      </w:r>
      <w:r w:rsidR="009F4CB0">
        <w:fldChar w:fldCharType="end"/>
      </w:r>
      <w:r w:rsidR="009F4CB0">
        <w:noBreakHyphen/>
      </w:r>
      <w:r w:rsidR="009F4CB0">
        <w:fldChar w:fldCharType="begin"/>
      </w:r>
      <w:r w:rsidR="009F4CB0">
        <w:instrText xml:space="preserve"> SEQ Figure \* ARABIC \s 1 </w:instrText>
      </w:r>
      <w:r w:rsidR="009F4CB0">
        <w:fldChar w:fldCharType="separate"/>
      </w:r>
      <w:r w:rsidR="000E22F3">
        <w:rPr>
          <w:noProof/>
        </w:rPr>
        <w:t>5</w:t>
      </w:r>
      <w:r w:rsidR="009F4CB0">
        <w:fldChar w:fldCharType="end"/>
      </w:r>
      <w:bookmarkEnd w:id="101"/>
      <w:r w:rsidRPr="00FE1D37">
        <w:t>:</w:t>
      </w:r>
      <w:r w:rsidRPr="006A0AC0">
        <w:t xml:space="preserve"> </w:t>
      </w:r>
      <w:r w:rsidRPr="00DF4F62">
        <w:t xml:space="preserve">NASA’s Aqua true </w:t>
      </w:r>
      <w:r w:rsidR="008029CF" w:rsidRPr="00DF4F62">
        <w:t>colour</w:t>
      </w:r>
      <w:r w:rsidRPr="00DF4F62">
        <w:t xml:space="preserve"> satellite images of</w:t>
      </w:r>
      <w:r>
        <w:t xml:space="preserve"> flooded coastal waters in the Tully-Herbert region following</w:t>
      </w:r>
      <w:r w:rsidRPr="00DF4F62">
        <w:t xml:space="preserve"> Tropical Cyclone Ita</w:t>
      </w:r>
      <w:r>
        <w:t xml:space="preserve"> (</w:t>
      </w:r>
      <w:r w:rsidR="000A0C70">
        <w:t>14 and 15</w:t>
      </w:r>
      <w:r w:rsidR="000A0C70" w:rsidRPr="000A0C70">
        <w:t xml:space="preserve"> </w:t>
      </w:r>
      <w:r w:rsidR="000A0C70">
        <w:t>April</w:t>
      </w:r>
      <w:r w:rsidRPr="00DF4F62">
        <w:t xml:space="preserve"> 2014</w:t>
      </w:r>
      <w:r>
        <w:t>).</w:t>
      </w:r>
      <w:bookmarkEnd w:id="102"/>
      <w:bookmarkEnd w:id="103"/>
    </w:p>
    <w:p w14:paraId="2093A941" w14:textId="77777777" w:rsidR="00054B7A" w:rsidRDefault="00054B7A" w:rsidP="00054B7A">
      <w:pPr>
        <w:spacing w:after="120"/>
      </w:pPr>
    </w:p>
    <w:p w14:paraId="5BD0D4E4" w14:textId="77777777" w:rsidR="00054B7A" w:rsidRDefault="00054B7A" w:rsidP="00054B7A">
      <w:pPr>
        <w:spacing w:after="120"/>
      </w:pPr>
    </w:p>
    <w:p w14:paraId="649E01AE" w14:textId="77777777" w:rsidR="00054B7A" w:rsidRDefault="00054B7A" w:rsidP="00054B7A">
      <w:pPr>
        <w:spacing w:after="120"/>
        <w:rPr>
          <w:b/>
          <w:u w:val="single"/>
        </w:rPr>
      </w:pPr>
      <w:r>
        <w:rPr>
          <w:b/>
          <w:noProof/>
          <w:sz w:val="24"/>
          <w:szCs w:val="24"/>
        </w:rPr>
        <w:lastRenderedPageBreak/>
        <w:drawing>
          <wp:inline distT="0" distB="0" distL="0" distR="0" wp14:anchorId="6D708FB5" wp14:editId="66453E28">
            <wp:extent cx="5040000" cy="7516800"/>
            <wp:effectExtent l="0" t="0" r="8255" b="8255"/>
            <wp:docPr id="65" name="Picture 65" descr="NASA’s Aqua true color satellite images of Queensland coastal waters on April 20th, 2014." title="NASA’s Aqua true colour satellite images of Queensland coastal waters on 20 April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8" cstate="screen">
                      <a:extLst>
                        <a:ext uri="{28A0092B-C50C-407E-A947-70E740481C1C}">
                          <a14:useLocalDpi xmlns:a14="http://schemas.microsoft.com/office/drawing/2010/main"/>
                        </a:ext>
                      </a:extLst>
                    </a:blip>
                    <a:srcRect/>
                    <a:stretch>
                      <a:fillRect/>
                    </a:stretch>
                  </pic:blipFill>
                  <pic:spPr bwMode="auto">
                    <a:xfrm>
                      <a:off x="0" y="0"/>
                      <a:ext cx="5040000" cy="7516800"/>
                    </a:xfrm>
                    <a:prstGeom prst="rect">
                      <a:avLst/>
                    </a:prstGeom>
                    <a:noFill/>
                  </pic:spPr>
                </pic:pic>
              </a:graphicData>
            </a:graphic>
          </wp:inline>
        </w:drawing>
      </w:r>
    </w:p>
    <w:p w14:paraId="1CB35EE2" w14:textId="22A8FBE7" w:rsidR="00054B7A" w:rsidRPr="00036408" w:rsidRDefault="00054B7A" w:rsidP="00036408">
      <w:pPr>
        <w:pStyle w:val="Caption"/>
      </w:pPr>
      <w:bookmarkStart w:id="104" w:name="_Ref390872223"/>
      <w:bookmarkStart w:id="105" w:name="_Toc428274745"/>
      <w:bookmarkStart w:id="106" w:name="_Toc454303905"/>
      <w:r w:rsidRPr="00036408">
        <w:t xml:space="preserve">Figure </w:t>
      </w:r>
      <w:r w:rsidR="009F4CB0">
        <w:fldChar w:fldCharType="begin"/>
      </w:r>
      <w:r w:rsidR="009F4CB0">
        <w:instrText xml:space="preserve"> STYLEREF 1 \s </w:instrText>
      </w:r>
      <w:r w:rsidR="009F4CB0">
        <w:fldChar w:fldCharType="separate"/>
      </w:r>
      <w:r w:rsidR="000E22F3">
        <w:rPr>
          <w:noProof/>
        </w:rPr>
        <w:t>3</w:t>
      </w:r>
      <w:r w:rsidR="009F4CB0">
        <w:fldChar w:fldCharType="end"/>
      </w:r>
      <w:r w:rsidR="009F4CB0">
        <w:noBreakHyphen/>
      </w:r>
      <w:r w:rsidR="009F4CB0">
        <w:fldChar w:fldCharType="begin"/>
      </w:r>
      <w:r w:rsidR="009F4CB0">
        <w:instrText xml:space="preserve"> SEQ Figure \* ARABIC \s 1 </w:instrText>
      </w:r>
      <w:r w:rsidR="009F4CB0">
        <w:fldChar w:fldCharType="separate"/>
      </w:r>
      <w:r w:rsidR="000E22F3">
        <w:rPr>
          <w:noProof/>
        </w:rPr>
        <w:t>6</w:t>
      </w:r>
      <w:r w:rsidR="009F4CB0">
        <w:fldChar w:fldCharType="end"/>
      </w:r>
      <w:bookmarkEnd w:id="104"/>
      <w:r w:rsidRPr="00036408">
        <w:t>: NASA’s Aqua true colo</w:t>
      </w:r>
      <w:r w:rsidR="000A0C70">
        <w:t>u</w:t>
      </w:r>
      <w:r w:rsidRPr="00036408">
        <w:t xml:space="preserve">r satellite images of Queensland coastal waters on </w:t>
      </w:r>
      <w:r w:rsidR="000A0C70">
        <w:t xml:space="preserve">20 </w:t>
      </w:r>
      <w:r w:rsidRPr="00036408">
        <w:t>April 2014.</w:t>
      </w:r>
      <w:bookmarkEnd w:id="105"/>
      <w:bookmarkEnd w:id="106"/>
    </w:p>
    <w:p w14:paraId="284BC272" w14:textId="77777777" w:rsidR="00054B7A" w:rsidRPr="00036408" w:rsidRDefault="00054B7A" w:rsidP="00054B7A">
      <w:pPr>
        <w:spacing w:after="120"/>
        <w:rPr>
          <w:lang w:val="en-GB"/>
        </w:rPr>
      </w:pPr>
    </w:p>
    <w:p w14:paraId="7D6F47AF" w14:textId="77777777" w:rsidR="005E0A0B" w:rsidRPr="00FB5AAA" w:rsidRDefault="00FB5AAA" w:rsidP="00FB5AAA">
      <w:pPr>
        <w:pStyle w:val="Heading1"/>
        <w:numPr>
          <w:ilvl w:val="0"/>
          <w:numId w:val="3"/>
        </w:numPr>
        <w:spacing w:after="240" w:line="80" w:lineRule="atLeast"/>
        <w:rPr>
          <w:caps w:val="0"/>
        </w:rPr>
      </w:pPr>
      <w:bookmarkStart w:id="107" w:name="_Toc428793338"/>
      <w:bookmarkStart w:id="108" w:name="_Toc443299471"/>
      <w:bookmarkStart w:id="109" w:name="_Toc443299684"/>
      <w:bookmarkStart w:id="110" w:name="_Toc454304704"/>
      <w:bookmarkEnd w:id="80"/>
      <w:bookmarkEnd w:id="107"/>
      <w:r w:rsidRPr="0015270F">
        <w:rPr>
          <w:i/>
          <w:caps w:val="0"/>
        </w:rPr>
        <w:lastRenderedPageBreak/>
        <w:t>In-situ</w:t>
      </w:r>
      <w:r w:rsidRPr="00FB5AAA">
        <w:rPr>
          <w:caps w:val="0"/>
        </w:rPr>
        <w:t xml:space="preserve"> Water Quality</w:t>
      </w:r>
      <w:bookmarkEnd w:id="108"/>
      <w:bookmarkEnd w:id="109"/>
      <w:bookmarkEnd w:id="110"/>
    </w:p>
    <w:p w14:paraId="311DEE39" w14:textId="77777777" w:rsidR="0015270F" w:rsidRPr="003A69C4" w:rsidRDefault="0015270F" w:rsidP="00B46AF9">
      <w:pPr>
        <w:pStyle w:val="Heading2"/>
        <w:numPr>
          <w:ilvl w:val="1"/>
          <w:numId w:val="3"/>
        </w:numPr>
      </w:pPr>
      <w:bookmarkStart w:id="111" w:name="_Toc443299472"/>
      <w:bookmarkStart w:id="112" w:name="_Toc443299685"/>
      <w:bookmarkStart w:id="113" w:name="_Toc454304705"/>
      <w:bookmarkStart w:id="114" w:name="_Toc413861556"/>
      <w:r w:rsidRPr="003A69C4">
        <w:t>Sampling design</w:t>
      </w:r>
      <w:r w:rsidR="000A0C70">
        <w:t xml:space="preserve">, </w:t>
      </w:r>
      <w:r w:rsidR="001D6FE0" w:rsidRPr="003A69C4">
        <w:t>2013</w:t>
      </w:r>
      <w:r w:rsidRPr="003A69C4">
        <w:t>-</w:t>
      </w:r>
      <w:r w:rsidR="001D6FE0" w:rsidRPr="003A69C4">
        <w:t>2014</w:t>
      </w:r>
      <w:bookmarkEnd w:id="111"/>
      <w:bookmarkEnd w:id="112"/>
      <w:bookmarkEnd w:id="113"/>
    </w:p>
    <w:p w14:paraId="6448DF0A" w14:textId="77777777" w:rsidR="00861681" w:rsidRPr="00ED4712" w:rsidRDefault="00861681" w:rsidP="0065493C">
      <w:bookmarkStart w:id="115" w:name="_Toc416533899"/>
      <w:bookmarkEnd w:id="114"/>
      <w:r w:rsidRPr="00ED4712">
        <w:t>As a result of the sampling effort applied in the 2013-2014 wet season, a total of 154 WQ samples, 64 phytoplankton samples and 64 pesticides grab samples were taken over six months, from 8 November 2013 to 18 April 2014. The super sites in the Russell-Mulgrave region and in the Tully region were visited 7 and 9 time, respectively. Sites in the Herbert and Normanby regions were visited once, being the Normanby sites split in two sampling days (Tab</w:t>
      </w:r>
      <w:r w:rsidR="001F15B7">
        <w:t>le</w:t>
      </w:r>
      <w:r w:rsidRPr="00ED4712">
        <w:t xml:space="preserve"> </w:t>
      </w:r>
      <w:r>
        <w:t>4</w:t>
      </w:r>
      <w:r w:rsidRPr="00ED4712">
        <w:t>-1).</w:t>
      </w:r>
    </w:p>
    <w:p w14:paraId="5AA176C5" w14:textId="77777777" w:rsidR="00861681" w:rsidRPr="00ED4712" w:rsidRDefault="00861681" w:rsidP="0065493C">
      <w:r w:rsidRPr="00ED4712">
        <w:t xml:space="preserve">Pesticides were also monitored in the Tully and Russell-Mulgrave regions using passive sampler devices. These devices were deployed at four sites in the Tully marine area and at one site in the Russell-Mulgrave marine area. They were deployed under two regimes: (i) long-term deployment to capture an integrated pesticides concentration when rivers were experience low to moderate flow condition, and (ii) short-term deployment to capture event flow condition. Summary of the passive samplers’ deployment time frame is presented </w:t>
      </w:r>
      <w:r w:rsidR="001763D2">
        <w:t xml:space="preserve">in Gallen et al. </w:t>
      </w:r>
      <w:r w:rsidR="000A0C70">
        <w:t>(</w:t>
      </w:r>
      <w:r w:rsidR="001763D2">
        <w:t>2014</w:t>
      </w:r>
      <w:r w:rsidR="000A0C70">
        <w:t>)</w:t>
      </w:r>
      <w:r w:rsidR="001763D2">
        <w:t>.</w:t>
      </w:r>
    </w:p>
    <w:p w14:paraId="7F56523B" w14:textId="76CECE28" w:rsidR="0015270F" w:rsidRDefault="0015270F" w:rsidP="0015270F">
      <w:pPr>
        <w:pStyle w:val="Caption"/>
      </w:pPr>
      <w:bookmarkStart w:id="116" w:name="_Ref428873590"/>
      <w:bookmarkStart w:id="117" w:name="_Toc454304606"/>
      <w:r>
        <w:t xml:space="preserve">Table </w:t>
      </w:r>
      <w:r w:rsidR="00445BD2">
        <w:fldChar w:fldCharType="begin"/>
      </w:r>
      <w:r w:rsidR="00445BD2">
        <w:instrText xml:space="preserve"> STYLEREF 1 \s </w:instrText>
      </w:r>
      <w:r w:rsidR="00445BD2">
        <w:fldChar w:fldCharType="separate"/>
      </w:r>
      <w:r w:rsidR="000E22F3">
        <w:rPr>
          <w:noProof/>
        </w:rPr>
        <w:t>4</w:t>
      </w:r>
      <w:r w:rsidR="00445BD2">
        <w:fldChar w:fldCharType="end"/>
      </w:r>
      <w:r w:rsidR="00445BD2">
        <w:noBreakHyphen/>
      </w:r>
      <w:r w:rsidR="00445BD2">
        <w:fldChar w:fldCharType="begin"/>
      </w:r>
      <w:r w:rsidR="00445BD2">
        <w:instrText xml:space="preserve"> SEQ Table \* ARABIC \s 1 </w:instrText>
      </w:r>
      <w:r w:rsidR="00445BD2">
        <w:fldChar w:fldCharType="separate"/>
      </w:r>
      <w:r w:rsidR="000E22F3">
        <w:rPr>
          <w:noProof/>
        </w:rPr>
        <w:t>1</w:t>
      </w:r>
      <w:r w:rsidR="00445BD2">
        <w:fldChar w:fldCharType="end"/>
      </w:r>
      <w:bookmarkEnd w:id="116"/>
      <w:r>
        <w:t xml:space="preserve">: </w:t>
      </w:r>
      <w:r w:rsidR="00211E84" w:rsidRPr="00E838DF">
        <w:t xml:space="preserve">Summary of the sampling effort carried out in the </w:t>
      </w:r>
      <w:r w:rsidR="005006CE">
        <w:t>2013-2014</w:t>
      </w:r>
      <w:r w:rsidR="00211E84" w:rsidRPr="00E838DF">
        <w:t xml:space="preserve"> wet season campaign by NRM, presenting the number of field trips per River/transect, sites sampled and the sampling period. </w:t>
      </w:r>
      <w:r w:rsidR="00211E84">
        <w:t>Number in brackets stand the those sites that also had pesticides and phytoplankton sampling.</w:t>
      </w:r>
      <w:bookmarkEnd w:id="117"/>
    </w:p>
    <w:tbl>
      <w:tblPr>
        <w:tblW w:w="5515" w:type="dxa"/>
        <w:jc w:val="center"/>
        <w:tblLook w:val="04A0" w:firstRow="1" w:lastRow="0" w:firstColumn="1" w:lastColumn="0" w:noHBand="0" w:noVBand="1"/>
        <w:tblCaption w:val="Summary of the sampling effort carried out in the 2013-14 wet season"/>
        <w:tblDescription w:val="Summary of the sampling effort carried out in the 2013-14 wet season campaign by NRM, presenting the number of field trips, sites sampled and the sampling period for each river visited within each NRMs."/>
      </w:tblPr>
      <w:tblGrid>
        <w:gridCol w:w="1257"/>
        <w:gridCol w:w="1607"/>
        <w:gridCol w:w="787"/>
        <w:gridCol w:w="817"/>
        <w:gridCol w:w="1047"/>
      </w:tblGrid>
      <w:tr w:rsidR="00861681" w:rsidRPr="0097587B" w14:paraId="446CC700" w14:textId="77777777" w:rsidTr="00F658CE">
        <w:trPr>
          <w:trHeight w:val="227"/>
          <w:jc w:val="center"/>
        </w:trPr>
        <w:tc>
          <w:tcPr>
            <w:tcW w:w="0" w:type="auto"/>
            <w:tcBorders>
              <w:top w:val="single" w:sz="4" w:space="0" w:color="auto"/>
              <w:left w:val="nil"/>
              <w:bottom w:val="nil"/>
              <w:right w:val="nil"/>
            </w:tcBorders>
            <w:shd w:val="clear" w:color="auto" w:fill="auto"/>
            <w:noWrap/>
            <w:vAlign w:val="center"/>
            <w:hideMark/>
          </w:tcPr>
          <w:p w14:paraId="2D9DAC80" w14:textId="77777777" w:rsidR="00861681" w:rsidRPr="0097587B" w:rsidRDefault="00861681" w:rsidP="00861681">
            <w:pPr>
              <w:spacing w:before="0" w:after="0" w:line="360" w:lineRule="auto"/>
              <w:jc w:val="left"/>
              <w:rPr>
                <w:rFonts w:ascii="Arial" w:hAnsi="Arial" w:cs="Arial"/>
                <w:color w:val="000000"/>
                <w:sz w:val="18"/>
              </w:rPr>
            </w:pPr>
          </w:p>
        </w:tc>
        <w:tc>
          <w:tcPr>
            <w:tcW w:w="0" w:type="auto"/>
            <w:gridSpan w:val="4"/>
            <w:tcBorders>
              <w:top w:val="single" w:sz="4" w:space="0" w:color="auto"/>
              <w:left w:val="nil"/>
              <w:bottom w:val="nil"/>
              <w:right w:val="nil"/>
            </w:tcBorders>
            <w:shd w:val="clear" w:color="auto" w:fill="auto"/>
            <w:noWrap/>
            <w:vAlign w:val="center"/>
            <w:hideMark/>
          </w:tcPr>
          <w:p w14:paraId="14EF8923" w14:textId="77777777" w:rsidR="00861681" w:rsidRPr="0097587B" w:rsidRDefault="00861681" w:rsidP="00861681">
            <w:pPr>
              <w:spacing w:before="0" w:after="0" w:line="360" w:lineRule="auto"/>
              <w:jc w:val="center"/>
              <w:rPr>
                <w:rFonts w:ascii="Arial" w:hAnsi="Arial" w:cs="Arial"/>
                <w:color w:val="000000"/>
                <w:sz w:val="18"/>
              </w:rPr>
            </w:pPr>
            <w:r w:rsidRPr="0097587B">
              <w:rPr>
                <w:rFonts w:ascii="Arial" w:hAnsi="Arial" w:cs="Arial"/>
                <w:color w:val="000000"/>
                <w:sz w:val="18"/>
              </w:rPr>
              <w:t>River</w:t>
            </w:r>
            <w:r>
              <w:rPr>
                <w:rFonts w:ascii="Arial" w:hAnsi="Arial" w:cs="Arial"/>
                <w:color w:val="000000"/>
                <w:sz w:val="18"/>
              </w:rPr>
              <w:t>s</w:t>
            </w:r>
          </w:p>
        </w:tc>
      </w:tr>
      <w:tr w:rsidR="00861681" w:rsidRPr="0097587B" w14:paraId="59D81C9F" w14:textId="77777777" w:rsidTr="00F658CE">
        <w:trPr>
          <w:trHeight w:val="227"/>
          <w:jc w:val="center"/>
        </w:trPr>
        <w:tc>
          <w:tcPr>
            <w:tcW w:w="0" w:type="auto"/>
            <w:tcBorders>
              <w:top w:val="nil"/>
              <w:left w:val="nil"/>
              <w:bottom w:val="single" w:sz="4" w:space="0" w:color="auto"/>
              <w:right w:val="nil"/>
            </w:tcBorders>
            <w:shd w:val="clear" w:color="auto" w:fill="auto"/>
            <w:noWrap/>
            <w:vAlign w:val="center"/>
            <w:hideMark/>
          </w:tcPr>
          <w:p w14:paraId="1C1B2930" w14:textId="77777777" w:rsidR="00861681" w:rsidRPr="0097587B" w:rsidRDefault="00861681" w:rsidP="00861681">
            <w:pPr>
              <w:spacing w:before="0" w:after="0" w:line="360" w:lineRule="auto"/>
              <w:jc w:val="left"/>
              <w:rPr>
                <w:rFonts w:ascii="Arial" w:hAnsi="Arial" w:cs="Arial"/>
                <w:color w:val="000000"/>
                <w:sz w:val="18"/>
              </w:rPr>
            </w:pPr>
            <w:r w:rsidRPr="0097587B">
              <w:rPr>
                <w:rFonts w:ascii="Arial" w:hAnsi="Arial" w:cs="Arial"/>
                <w:color w:val="000000"/>
                <w:sz w:val="18"/>
              </w:rPr>
              <w:t>Sample Date</w:t>
            </w:r>
          </w:p>
        </w:tc>
        <w:tc>
          <w:tcPr>
            <w:tcW w:w="0" w:type="auto"/>
            <w:tcBorders>
              <w:top w:val="nil"/>
              <w:left w:val="nil"/>
              <w:bottom w:val="single" w:sz="4" w:space="0" w:color="auto"/>
              <w:right w:val="nil"/>
            </w:tcBorders>
            <w:shd w:val="clear" w:color="auto" w:fill="auto"/>
            <w:noWrap/>
            <w:vAlign w:val="center"/>
            <w:hideMark/>
          </w:tcPr>
          <w:p w14:paraId="5907D646" w14:textId="77777777" w:rsidR="00861681" w:rsidRPr="0097587B" w:rsidRDefault="00861681" w:rsidP="00861681">
            <w:pPr>
              <w:spacing w:before="0" w:after="0" w:line="360" w:lineRule="auto"/>
              <w:jc w:val="center"/>
              <w:rPr>
                <w:rFonts w:ascii="Arial" w:hAnsi="Arial" w:cs="Arial"/>
                <w:color w:val="000000"/>
                <w:sz w:val="18"/>
              </w:rPr>
            </w:pPr>
            <w:r w:rsidRPr="0097587B">
              <w:rPr>
                <w:rFonts w:ascii="Arial" w:hAnsi="Arial" w:cs="Arial"/>
                <w:color w:val="000000"/>
                <w:sz w:val="18"/>
              </w:rPr>
              <w:t>Russell-Mulgrave</w:t>
            </w:r>
          </w:p>
        </w:tc>
        <w:tc>
          <w:tcPr>
            <w:tcW w:w="0" w:type="auto"/>
            <w:tcBorders>
              <w:top w:val="nil"/>
              <w:left w:val="nil"/>
              <w:bottom w:val="single" w:sz="4" w:space="0" w:color="auto"/>
              <w:right w:val="nil"/>
            </w:tcBorders>
            <w:shd w:val="clear" w:color="auto" w:fill="auto"/>
            <w:noWrap/>
            <w:vAlign w:val="center"/>
            <w:hideMark/>
          </w:tcPr>
          <w:p w14:paraId="1CB43258" w14:textId="77777777" w:rsidR="00861681" w:rsidRPr="0097587B" w:rsidRDefault="00861681" w:rsidP="00861681">
            <w:pPr>
              <w:spacing w:before="0" w:after="0" w:line="360" w:lineRule="auto"/>
              <w:jc w:val="center"/>
              <w:rPr>
                <w:rFonts w:ascii="Arial" w:hAnsi="Arial" w:cs="Arial"/>
                <w:color w:val="000000"/>
                <w:sz w:val="18"/>
              </w:rPr>
            </w:pPr>
            <w:r w:rsidRPr="0097587B">
              <w:rPr>
                <w:rFonts w:ascii="Arial" w:hAnsi="Arial" w:cs="Arial"/>
                <w:color w:val="000000"/>
                <w:sz w:val="18"/>
              </w:rPr>
              <w:t>Tully</w:t>
            </w:r>
          </w:p>
        </w:tc>
        <w:tc>
          <w:tcPr>
            <w:tcW w:w="0" w:type="auto"/>
            <w:tcBorders>
              <w:top w:val="nil"/>
              <w:left w:val="nil"/>
              <w:bottom w:val="single" w:sz="4" w:space="0" w:color="auto"/>
              <w:right w:val="nil"/>
            </w:tcBorders>
            <w:shd w:val="clear" w:color="auto" w:fill="auto"/>
            <w:noWrap/>
            <w:vAlign w:val="center"/>
            <w:hideMark/>
          </w:tcPr>
          <w:p w14:paraId="47FC178F" w14:textId="77777777" w:rsidR="00861681" w:rsidRPr="0097587B" w:rsidRDefault="00861681" w:rsidP="00861681">
            <w:pPr>
              <w:spacing w:before="0" w:after="0" w:line="360" w:lineRule="auto"/>
              <w:jc w:val="center"/>
              <w:rPr>
                <w:rFonts w:ascii="Arial" w:hAnsi="Arial" w:cs="Arial"/>
                <w:color w:val="000000"/>
                <w:sz w:val="18"/>
              </w:rPr>
            </w:pPr>
            <w:r w:rsidRPr="0097587B">
              <w:rPr>
                <w:rFonts w:ascii="Arial" w:hAnsi="Arial" w:cs="Arial"/>
                <w:color w:val="000000"/>
                <w:sz w:val="18"/>
              </w:rPr>
              <w:t>Herbert</w:t>
            </w:r>
          </w:p>
        </w:tc>
        <w:tc>
          <w:tcPr>
            <w:tcW w:w="0" w:type="auto"/>
            <w:tcBorders>
              <w:top w:val="nil"/>
              <w:left w:val="nil"/>
              <w:bottom w:val="single" w:sz="4" w:space="0" w:color="auto"/>
              <w:right w:val="nil"/>
            </w:tcBorders>
            <w:shd w:val="clear" w:color="auto" w:fill="auto"/>
            <w:noWrap/>
            <w:vAlign w:val="center"/>
            <w:hideMark/>
          </w:tcPr>
          <w:p w14:paraId="2D20AEA1" w14:textId="77777777" w:rsidR="00861681" w:rsidRPr="0097587B" w:rsidRDefault="00861681" w:rsidP="00861681">
            <w:pPr>
              <w:spacing w:before="0" w:after="0" w:line="360" w:lineRule="auto"/>
              <w:jc w:val="center"/>
              <w:rPr>
                <w:rFonts w:ascii="Arial" w:hAnsi="Arial" w:cs="Arial"/>
                <w:color w:val="000000"/>
                <w:sz w:val="18"/>
              </w:rPr>
            </w:pPr>
            <w:r w:rsidRPr="0097587B">
              <w:rPr>
                <w:rFonts w:ascii="Arial" w:hAnsi="Arial" w:cs="Arial"/>
                <w:color w:val="000000"/>
                <w:sz w:val="18"/>
              </w:rPr>
              <w:t>Normanby</w:t>
            </w:r>
          </w:p>
        </w:tc>
      </w:tr>
      <w:tr w:rsidR="00861681" w:rsidRPr="0097587B" w14:paraId="328697D4" w14:textId="77777777" w:rsidTr="00F658CE">
        <w:trPr>
          <w:trHeight w:val="227"/>
          <w:jc w:val="center"/>
        </w:trPr>
        <w:tc>
          <w:tcPr>
            <w:tcW w:w="0" w:type="auto"/>
            <w:tcBorders>
              <w:top w:val="nil"/>
              <w:left w:val="nil"/>
              <w:bottom w:val="nil"/>
              <w:right w:val="nil"/>
            </w:tcBorders>
            <w:shd w:val="clear" w:color="auto" w:fill="auto"/>
            <w:noWrap/>
            <w:vAlign w:val="center"/>
            <w:hideMark/>
          </w:tcPr>
          <w:p w14:paraId="52CEDA33" w14:textId="77777777" w:rsidR="00861681" w:rsidRPr="0097587B" w:rsidRDefault="00861681" w:rsidP="00861681">
            <w:pPr>
              <w:spacing w:before="0" w:after="0" w:line="360" w:lineRule="auto"/>
              <w:jc w:val="left"/>
              <w:rPr>
                <w:rFonts w:ascii="Arial" w:hAnsi="Arial" w:cs="Arial"/>
                <w:color w:val="000000"/>
                <w:sz w:val="18"/>
              </w:rPr>
            </w:pPr>
            <w:r w:rsidRPr="0097587B">
              <w:rPr>
                <w:rFonts w:ascii="Arial" w:hAnsi="Arial" w:cs="Arial"/>
                <w:color w:val="000000"/>
                <w:sz w:val="18"/>
              </w:rPr>
              <w:t>2013-11-08</w:t>
            </w:r>
          </w:p>
        </w:tc>
        <w:tc>
          <w:tcPr>
            <w:tcW w:w="0" w:type="auto"/>
            <w:tcBorders>
              <w:top w:val="nil"/>
              <w:left w:val="nil"/>
              <w:bottom w:val="nil"/>
              <w:right w:val="nil"/>
            </w:tcBorders>
            <w:shd w:val="clear" w:color="auto" w:fill="auto"/>
            <w:noWrap/>
            <w:vAlign w:val="center"/>
            <w:hideMark/>
          </w:tcPr>
          <w:p w14:paraId="6495B995" w14:textId="77777777" w:rsidR="00861681" w:rsidRPr="0097587B" w:rsidRDefault="00861681" w:rsidP="00861681">
            <w:pPr>
              <w:spacing w:before="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center"/>
            <w:hideMark/>
          </w:tcPr>
          <w:p w14:paraId="5EFD67E9" w14:textId="77777777" w:rsidR="00861681" w:rsidRPr="0097587B" w:rsidRDefault="00861681" w:rsidP="00861681">
            <w:pPr>
              <w:spacing w:before="0" w:after="0" w:line="360" w:lineRule="auto"/>
              <w:jc w:val="center"/>
              <w:rPr>
                <w:rFonts w:ascii="Arial" w:hAnsi="Arial" w:cs="Arial"/>
                <w:color w:val="000000"/>
                <w:sz w:val="18"/>
              </w:rPr>
            </w:pPr>
            <w:r w:rsidRPr="0097587B">
              <w:rPr>
                <w:rFonts w:ascii="Arial" w:hAnsi="Arial" w:cs="Arial"/>
                <w:color w:val="000000"/>
                <w:sz w:val="18"/>
              </w:rPr>
              <w:t>9 (3)</w:t>
            </w:r>
          </w:p>
        </w:tc>
        <w:tc>
          <w:tcPr>
            <w:tcW w:w="0" w:type="auto"/>
            <w:tcBorders>
              <w:top w:val="nil"/>
              <w:left w:val="nil"/>
              <w:bottom w:val="nil"/>
              <w:right w:val="nil"/>
            </w:tcBorders>
            <w:shd w:val="clear" w:color="auto" w:fill="auto"/>
            <w:noWrap/>
            <w:vAlign w:val="center"/>
            <w:hideMark/>
          </w:tcPr>
          <w:p w14:paraId="3A884D3B" w14:textId="77777777" w:rsidR="00861681" w:rsidRPr="0097587B" w:rsidRDefault="00861681" w:rsidP="00861681">
            <w:pPr>
              <w:spacing w:before="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center"/>
            <w:hideMark/>
          </w:tcPr>
          <w:p w14:paraId="1A07A661" w14:textId="77777777" w:rsidR="00861681" w:rsidRPr="0097587B" w:rsidRDefault="00861681" w:rsidP="00861681">
            <w:pPr>
              <w:spacing w:before="0" w:after="0" w:line="360" w:lineRule="auto"/>
              <w:jc w:val="center"/>
              <w:rPr>
                <w:rFonts w:ascii="Arial" w:hAnsi="Arial" w:cs="Arial"/>
                <w:color w:val="000000"/>
                <w:sz w:val="18"/>
              </w:rPr>
            </w:pPr>
          </w:p>
        </w:tc>
      </w:tr>
      <w:tr w:rsidR="00861681" w:rsidRPr="0097587B" w14:paraId="73ED9F25" w14:textId="77777777" w:rsidTr="00F658CE">
        <w:trPr>
          <w:trHeight w:val="227"/>
          <w:jc w:val="center"/>
        </w:trPr>
        <w:tc>
          <w:tcPr>
            <w:tcW w:w="0" w:type="auto"/>
            <w:tcBorders>
              <w:top w:val="nil"/>
              <w:left w:val="nil"/>
              <w:bottom w:val="nil"/>
              <w:right w:val="nil"/>
            </w:tcBorders>
            <w:shd w:val="clear" w:color="auto" w:fill="auto"/>
            <w:noWrap/>
            <w:vAlign w:val="center"/>
            <w:hideMark/>
          </w:tcPr>
          <w:p w14:paraId="707B6985" w14:textId="77777777" w:rsidR="00861681" w:rsidRPr="0097587B" w:rsidRDefault="00861681" w:rsidP="00861681">
            <w:pPr>
              <w:spacing w:before="0" w:after="0" w:line="360" w:lineRule="auto"/>
              <w:jc w:val="left"/>
              <w:rPr>
                <w:rFonts w:ascii="Arial" w:hAnsi="Arial" w:cs="Arial"/>
                <w:color w:val="000000"/>
                <w:sz w:val="18"/>
              </w:rPr>
            </w:pPr>
            <w:r w:rsidRPr="0097587B">
              <w:rPr>
                <w:rFonts w:ascii="Arial" w:hAnsi="Arial" w:cs="Arial"/>
                <w:color w:val="000000"/>
                <w:sz w:val="18"/>
              </w:rPr>
              <w:t>2013-11-20</w:t>
            </w:r>
          </w:p>
        </w:tc>
        <w:tc>
          <w:tcPr>
            <w:tcW w:w="0" w:type="auto"/>
            <w:tcBorders>
              <w:top w:val="nil"/>
              <w:left w:val="nil"/>
              <w:bottom w:val="nil"/>
              <w:right w:val="nil"/>
            </w:tcBorders>
            <w:shd w:val="clear" w:color="auto" w:fill="auto"/>
            <w:noWrap/>
            <w:vAlign w:val="center"/>
            <w:hideMark/>
          </w:tcPr>
          <w:p w14:paraId="498BF46C" w14:textId="77777777" w:rsidR="00861681" w:rsidRPr="0097587B" w:rsidRDefault="00861681" w:rsidP="00861681">
            <w:pPr>
              <w:spacing w:before="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center"/>
            <w:hideMark/>
          </w:tcPr>
          <w:p w14:paraId="192CBCA9" w14:textId="77777777" w:rsidR="00861681" w:rsidRPr="0097587B" w:rsidRDefault="00861681" w:rsidP="00861681">
            <w:pPr>
              <w:spacing w:before="0" w:after="0" w:line="360" w:lineRule="auto"/>
              <w:jc w:val="center"/>
              <w:rPr>
                <w:rFonts w:ascii="Arial" w:hAnsi="Arial" w:cs="Arial"/>
                <w:color w:val="000000"/>
                <w:sz w:val="18"/>
              </w:rPr>
            </w:pPr>
            <w:r w:rsidRPr="0097587B">
              <w:rPr>
                <w:rFonts w:ascii="Arial" w:hAnsi="Arial" w:cs="Arial"/>
                <w:color w:val="000000"/>
                <w:sz w:val="18"/>
              </w:rPr>
              <w:t>8 (4)</w:t>
            </w:r>
          </w:p>
        </w:tc>
        <w:tc>
          <w:tcPr>
            <w:tcW w:w="0" w:type="auto"/>
            <w:tcBorders>
              <w:top w:val="nil"/>
              <w:left w:val="nil"/>
              <w:bottom w:val="nil"/>
              <w:right w:val="nil"/>
            </w:tcBorders>
            <w:shd w:val="clear" w:color="auto" w:fill="auto"/>
            <w:noWrap/>
            <w:vAlign w:val="center"/>
            <w:hideMark/>
          </w:tcPr>
          <w:p w14:paraId="644E68AC" w14:textId="77777777" w:rsidR="00861681" w:rsidRPr="0097587B" w:rsidRDefault="00861681" w:rsidP="00861681">
            <w:pPr>
              <w:spacing w:before="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center"/>
            <w:hideMark/>
          </w:tcPr>
          <w:p w14:paraId="2F12810D" w14:textId="77777777" w:rsidR="00861681" w:rsidRPr="0097587B" w:rsidRDefault="00861681" w:rsidP="00861681">
            <w:pPr>
              <w:spacing w:before="0" w:after="0" w:line="360" w:lineRule="auto"/>
              <w:jc w:val="center"/>
              <w:rPr>
                <w:rFonts w:ascii="Arial" w:hAnsi="Arial" w:cs="Arial"/>
                <w:color w:val="000000"/>
                <w:sz w:val="18"/>
              </w:rPr>
            </w:pPr>
          </w:p>
        </w:tc>
      </w:tr>
      <w:tr w:rsidR="00861681" w:rsidRPr="0097587B" w14:paraId="254C2927" w14:textId="77777777" w:rsidTr="00F658CE">
        <w:trPr>
          <w:trHeight w:val="227"/>
          <w:jc w:val="center"/>
        </w:trPr>
        <w:tc>
          <w:tcPr>
            <w:tcW w:w="0" w:type="auto"/>
            <w:tcBorders>
              <w:top w:val="nil"/>
              <w:left w:val="nil"/>
              <w:bottom w:val="nil"/>
              <w:right w:val="nil"/>
            </w:tcBorders>
            <w:shd w:val="clear" w:color="auto" w:fill="auto"/>
            <w:noWrap/>
            <w:vAlign w:val="center"/>
            <w:hideMark/>
          </w:tcPr>
          <w:p w14:paraId="7DFF3CF5" w14:textId="77777777" w:rsidR="00861681" w:rsidRPr="0097587B" w:rsidRDefault="00861681" w:rsidP="00861681">
            <w:pPr>
              <w:spacing w:before="0" w:after="0" w:line="360" w:lineRule="auto"/>
              <w:jc w:val="left"/>
              <w:rPr>
                <w:rFonts w:ascii="Arial" w:hAnsi="Arial" w:cs="Arial"/>
                <w:color w:val="000000"/>
                <w:sz w:val="18"/>
              </w:rPr>
            </w:pPr>
            <w:r w:rsidRPr="0097587B">
              <w:rPr>
                <w:rFonts w:ascii="Arial" w:hAnsi="Arial" w:cs="Arial"/>
                <w:color w:val="000000"/>
                <w:sz w:val="18"/>
              </w:rPr>
              <w:t>2013-11-21</w:t>
            </w:r>
          </w:p>
        </w:tc>
        <w:tc>
          <w:tcPr>
            <w:tcW w:w="0" w:type="auto"/>
            <w:tcBorders>
              <w:top w:val="nil"/>
              <w:left w:val="nil"/>
              <w:bottom w:val="nil"/>
              <w:right w:val="nil"/>
            </w:tcBorders>
            <w:shd w:val="clear" w:color="auto" w:fill="auto"/>
            <w:noWrap/>
            <w:vAlign w:val="center"/>
            <w:hideMark/>
          </w:tcPr>
          <w:p w14:paraId="43D28036" w14:textId="77777777" w:rsidR="00861681" w:rsidRPr="0097587B" w:rsidRDefault="00861681" w:rsidP="00861681">
            <w:pPr>
              <w:spacing w:before="0" w:after="0" w:line="360" w:lineRule="auto"/>
              <w:jc w:val="center"/>
              <w:rPr>
                <w:rFonts w:ascii="Arial" w:hAnsi="Arial" w:cs="Arial"/>
                <w:color w:val="000000"/>
                <w:sz w:val="18"/>
              </w:rPr>
            </w:pPr>
            <w:r w:rsidRPr="0097587B">
              <w:rPr>
                <w:rFonts w:ascii="Arial" w:hAnsi="Arial" w:cs="Arial"/>
                <w:color w:val="000000"/>
                <w:sz w:val="18"/>
              </w:rPr>
              <w:t>10 (3)</w:t>
            </w:r>
          </w:p>
        </w:tc>
        <w:tc>
          <w:tcPr>
            <w:tcW w:w="0" w:type="auto"/>
            <w:tcBorders>
              <w:top w:val="nil"/>
              <w:left w:val="nil"/>
              <w:bottom w:val="nil"/>
              <w:right w:val="nil"/>
            </w:tcBorders>
            <w:shd w:val="clear" w:color="auto" w:fill="auto"/>
            <w:noWrap/>
            <w:vAlign w:val="center"/>
            <w:hideMark/>
          </w:tcPr>
          <w:p w14:paraId="7D8D5F2C" w14:textId="77777777" w:rsidR="00861681" w:rsidRPr="0097587B" w:rsidRDefault="00861681" w:rsidP="00861681">
            <w:pPr>
              <w:spacing w:before="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center"/>
            <w:hideMark/>
          </w:tcPr>
          <w:p w14:paraId="338906BB" w14:textId="77777777" w:rsidR="00861681" w:rsidRPr="0097587B" w:rsidRDefault="00861681" w:rsidP="00861681">
            <w:pPr>
              <w:spacing w:before="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center"/>
            <w:hideMark/>
          </w:tcPr>
          <w:p w14:paraId="2AD41591" w14:textId="77777777" w:rsidR="00861681" w:rsidRPr="0097587B" w:rsidRDefault="00861681" w:rsidP="00861681">
            <w:pPr>
              <w:spacing w:before="0" w:after="0" w:line="360" w:lineRule="auto"/>
              <w:jc w:val="center"/>
              <w:rPr>
                <w:rFonts w:ascii="Arial" w:hAnsi="Arial" w:cs="Arial"/>
                <w:color w:val="000000"/>
                <w:sz w:val="18"/>
              </w:rPr>
            </w:pPr>
          </w:p>
        </w:tc>
      </w:tr>
      <w:tr w:rsidR="00861681" w:rsidRPr="0097587B" w14:paraId="64F3A8A6" w14:textId="77777777" w:rsidTr="00F658CE">
        <w:trPr>
          <w:trHeight w:val="227"/>
          <w:jc w:val="center"/>
        </w:trPr>
        <w:tc>
          <w:tcPr>
            <w:tcW w:w="0" w:type="auto"/>
            <w:tcBorders>
              <w:top w:val="nil"/>
              <w:left w:val="nil"/>
              <w:bottom w:val="nil"/>
              <w:right w:val="nil"/>
            </w:tcBorders>
            <w:shd w:val="clear" w:color="auto" w:fill="auto"/>
            <w:noWrap/>
            <w:vAlign w:val="center"/>
            <w:hideMark/>
          </w:tcPr>
          <w:p w14:paraId="75D38FF6" w14:textId="77777777" w:rsidR="00861681" w:rsidRPr="0097587B" w:rsidRDefault="00861681" w:rsidP="00861681">
            <w:pPr>
              <w:spacing w:before="0" w:after="0" w:line="360" w:lineRule="auto"/>
              <w:jc w:val="left"/>
              <w:rPr>
                <w:rFonts w:ascii="Arial" w:hAnsi="Arial" w:cs="Arial"/>
                <w:color w:val="000000"/>
                <w:sz w:val="18"/>
              </w:rPr>
            </w:pPr>
            <w:r w:rsidRPr="0097587B">
              <w:rPr>
                <w:rFonts w:ascii="Arial" w:hAnsi="Arial" w:cs="Arial"/>
                <w:color w:val="000000"/>
                <w:sz w:val="18"/>
              </w:rPr>
              <w:t>2013-12-04</w:t>
            </w:r>
          </w:p>
        </w:tc>
        <w:tc>
          <w:tcPr>
            <w:tcW w:w="0" w:type="auto"/>
            <w:tcBorders>
              <w:top w:val="nil"/>
              <w:left w:val="nil"/>
              <w:bottom w:val="nil"/>
              <w:right w:val="nil"/>
            </w:tcBorders>
            <w:shd w:val="clear" w:color="auto" w:fill="auto"/>
            <w:noWrap/>
            <w:vAlign w:val="center"/>
            <w:hideMark/>
          </w:tcPr>
          <w:p w14:paraId="5046C58E" w14:textId="77777777" w:rsidR="00861681" w:rsidRPr="0097587B" w:rsidRDefault="00861681" w:rsidP="00861681">
            <w:pPr>
              <w:spacing w:before="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center"/>
            <w:hideMark/>
          </w:tcPr>
          <w:p w14:paraId="4615B5B9" w14:textId="77777777" w:rsidR="00861681" w:rsidRPr="0097587B" w:rsidRDefault="00861681" w:rsidP="00861681">
            <w:pPr>
              <w:spacing w:before="0" w:after="0" w:line="360" w:lineRule="auto"/>
              <w:jc w:val="center"/>
              <w:rPr>
                <w:rFonts w:ascii="Arial" w:hAnsi="Arial" w:cs="Arial"/>
                <w:color w:val="000000"/>
                <w:sz w:val="18"/>
              </w:rPr>
            </w:pPr>
            <w:r w:rsidRPr="0097587B">
              <w:rPr>
                <w:rFonts w:ascii="Arial" w:hAnsi="Arial" w:cs="Arial"/>
                <w:color w:val="000000"/>
                <w:sz w:val="18"/>
              </w:rPr>
              <w:t>8 (4)</w:t>
            </w:r>
          </w:p>
        </w:tc>
        <w:tc>
          <w:tcPr>
            <w:tcW w:w="0" w:type="auto"/>
            <w:tcBorders>
              <w:top w:val="nil"/>
              <w:left w:val="nil"/>
              <w:bottom w:val="nil"/>
              <w:right w:val="nil"/>
            </w:tcBorders>
            <w:shd w:val="clear" w:color="auto" w:fill="auto"/>
            <w:noWrap/>
            <w:vAlign w:val="center"/>
            <w:hideMark/>
          </w:tcPr>
          <w:p w14:paraId="49E94B94" w14:textId="77777777" w:rsidR="00861681" w:rsidRPr="0097587B" w:rsidRDefault="00861681" w:rsidP="00861681">
            <w:pPr>
              <w:spacing w:before="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center"/>
            <w:hideMark/>
          </w:tcPr>
          <w:p w14:paraId="160550A6" w14:textId="77777777" w:rsidR="00861681" w:rsidRPr="0097587B" w:rsidRDefault="00861681" w:rsidP="00861681">
            <w:pPr>
              <w:spacing w:before="0" w:after="0" w:line="360" w:lineRule="auto"/>
              <w:jc w:val="center"/>
              <w:rPr>
                <w:rFonts w:ascii="Arial" w:hAnsi="Arial" w:cs="Arial"/>
                <w:color w:val="000000"/>
                <w:sz w:val="18"/>
              </w:rPr>
            </w:pPr>
          </w:p>
        </w:tc>
      </w:tr>
      <w:tr w:rsidR="00861681" w:rsidRPr="0097587B" w14:paraId="3A75F139" w14:textId="77777777" w:rsidTr="00F658CE">
        <w:trPr>
          <w:trHeight w:val="227"/>
          <w:jc w:val="center"/>
        </w:trPr>
        <w:tc>
          <w:tcPr>
            <w:tcW w:w="0" w:type="auto"/>
            <w:tcBorders>
              <w:top w:val="nil"/>
              <w:left w:val="nil"/>
              <w:bottom w:val="nil"/>
              <w:right w:val="nil"/>
            </w:tcBorders>
            <w:shd w:val="clear" w:color="auto" w:fill="auto"/>
            <w:noWrap/>
            <w:vAlign w:val="center"/>
            <w:hideMark/>
          </w:tcPr>
          <w:p w14:paraId="7299D8EB" w14:textId="77777777" w:rsidR="00861681" w:rsidRPr="0097587B" w:rsidRDefault="00861681" w:rsidP="00861681">
            <w:pPr>
              <w:spacing w:before="0" w:after="0" w:line="360" w:lineRule="auto"/>
              <w:jc w:val="left"/>
              <w:rPr>
                <w:rFonts w:ascii="Arial" w:hAnsi="Arial" w:cs="Arial"/>
                <w:color w:val="000000"/>
                <w:sz w:val="18"/>
              </w:rPr>
            </w:pPr>
            <w:r w:rsidRPr="0097587B">
              <w:rPr>
                <w:rFonts w:ascii="Arial" w:hAnsi="Arial" w:cs="Arial"/>
                <w:color w:val="000000"/>
                <w:sz w:val="18"/>
              </w:rPr>
              <w:t>2013-12-05</w:t>
            </w:r>
          </w:p>
        </w:tc>
        <w:tc>
          <w:tcPr>
            <w:tcW w:w="0" w:type="auto"/>
            <w:tcBorders>
              <w:top w:val="nil"/>
              <w:left w:val="nil"/>
              <w:bottom w:val="nil"/>
              <w:right w:val="nil"/>
            </w:tcBorders>
            <w:shd w:val="clear" w:color="auto" w:fill="auto"/>
            <w:noWrap/>
            <w:vAlign w:val="center"/>
            <w:hideMark/>
          </w:tcPr>
          <w:p w14:paraId="1323AFCD" w14:textId="77777777" w:rsidR="00861681" w:rsidRPr="0097587B" w:rsidRDefault="00861681" w:rsidP="00861681">
            <w:pPr>
              <w:spacing w:before="0" w:after="0" w:line="360" w:lineRule="auto"/>
              <w:jc w:val="center"/>
              <w:rPr>
                <w:rFonts w:ascii="Arial" w:hAnsi="Arial" w:cs="Arial"/>
                <w:color w:val="000000"/>
                <w:sz w:val="18"/>
              </w:rPr>
            </w:pPr>
            <w:r w:rsidRPr="0097587B">
              <w:rPr>
                <w:rFonts w:ascii="Arial" w:hAnsi="Arial" w:cs="Arial"/>
                <w:color w:val="000000"/>
                <w:sz w:val="18"/>
              </w:rPr>
              <w:t>10 (3)</w:t>
            </w:r>
          </w:p>
        </w:tc>
        <w:tc>
          <w:tcPr>
            <w:tcW w:w="0" w:type="auto"/>
            <w:tcBorders>
              <w:top w:val="nil"/>
              <w:left w:val="nil"/>
              <w:bottom w:val="nil"/>
              <w:right w:val="nil"/>
            </w:tcBorders>
            <w:shd w:val="clear" w:color="auto" w:fill="auto"/>
            <w:noWrap/>
            <w:vAlign w:val="center"/>
            <w:hideMark/>
          </w:tcPr>
          <w:p w14:paraId="5B1C0BD6" w14:textId="77777777" w:rsidR="00861681" w:rsidRPr="0097587B" w:rsidRDefault="00861681" w:rsidP="00861681">
            <w:pPr>
              <w:spacing w:before="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center"/>
            <w:hideMark/>
          </w:tcPr>
          <w:p w14:paraId="5DFEEBB4" w14:textId="77777777" w:rsidR="00861681" w:rsidRPr="0097587B" w:rsidRDefault="00861681" w:rsidP="00861681">
            <w:pPr>
              <w:spacing w:before="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center"/>
            <w:hideMark/>
          </w:tcPr>
          <w:p w14:paraId="17A545DD" w14:textId="77777777" w:rsidR="00861681" w:rsidRPr="0097587B" w:rsidRDefault="00861681" w:rsidP="00861681">
            <w:pPr>
              <w:spacing w:before="0" w:after="0" w:line="360" w:lineRule="auto"/>
              <w:jc w:val="center"/>
              <w:rPr>
                <w:rFonts w:ascii="Arial" w:hAnsi="Arial" w:cs="Arial"/>
                <w:color w:val="000000"/>
                <w:sz w:val="18"/>
              </w:rPr>
            </w:pPr>
          </w:p>
        </w:tc>
      </w:tr>
      <w:tr w:rsidR="00861681" w:rsidRPr="0097587B" w14:paraId="27887B1A" w14:textId="77777777" w:rsidTr="00F658CE">
        <w:trPr>
          <w:trHeight w:val="227"/>
          <w:jc w:val="center"/>
        </w:trPr>
        <w:tc>
          <w:tcPr>
            <w:tcW w:w="0" w:type="auto"/>
            <w:tcBorders>
              <w:top w:val="nil"/>
              <w:left w:val="nil"/>
              <w:bottom w:val="nil"/>
              <w:right w:val="nil"/>
            </w:tcBorders>
            <w:shd w:val="clear" w:color="auto" w:fill="auto"/>
            <w:noWrap/>
            <w:vAlign w:val="center"/>
            <w:hideMark/>
          </w:tcPr>
          <w:p w14:paraId="59B3EB8D" w14:textId="77777777" w:rsidR="00861681" w:rsidRPr="0097587B" w:rsidRDefault="00861681" w:rsidP="00861681">
            <w:pPr>
              <w:spacing w:before="0" w:after="0" w:line="360" w:lineRule="auto"/>
              <w:jc w:val="left"/>
              <w:rPr>
                <w:rFonts w:ascii="Arial" w:hAnsi="Arial" w:cs="Arial"/>
                <w:color w:val="000000"/>
                <w:sz w:val="18"/>
              </w:rPr>
            </w:pPr>
            <w:r w:rsidRPr="0097587B">
              <w:rPr>
                <w:rFonts w:ascii="Arial" w:hAnsi="Arial" w:cs="Arial"/>
                <w:color w:val="000000"/>
                <w:sz w:val="18"/>
              </w:rPr>
              <w:t>2013-12-22</w:t>
            </w:r>
          </w:p>
        </w:tc>
        <w:tc>
          <w:tcPr>
            <w:tcW w:w="0" w:type="auto"/>
            <w:tcBorders>
              <w:top w:val="nil"/>
              <w:left w:val="nil"/>
              <w:bottom w:val="nil"/>
              <w:right w:val="nil"/>
            </w:tcBorders>
            <w:shd w:val="clear" w:color="auto" w:fill="auto"/>
            <w:noWrap/>
            <w:vAlign w:val="center"/>
            <w:hideMark/>
          </w:tcPr>
          <w:p w14:paraId="666063E0" w14:textId="77777777" w:rsidR="00861681" w:rsidRPr="0097587B" w:rsidRDefault="00861681" w:rsidP="00861681">
            <w:pPr>
              <w:spacing w:before="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center"/>
            <w:hideMark/>
          </w:tcPr>
          <w:p w14:paraId="1AE4788C" w14:textId="77777777" w:rsidR="00861681" w:rsidRPr="0097587B" w:rsidRDefault="00861681" w:rsidP="00861681">
            <w:pPr>
              <w:spacing w:before="0" w:after="0" w:line="360" w:lineRule="auto"/>
              <w:jc w:val="center"/>
              <w:rPr>
                <w:rFonts w:ascii="Arial" w:hAnsi="Arial" w:cs="Arial"/>
                <w:color w:val="000000"/>
                <w:sz w:val="18"/>
              </w:rPr>
            </w:pPr>
            <w:r w:rsidRPr="0097587B">
              <w:rPr>
                <w:rFonts w:ascii="Arial" w:hAnsi="Arial" w:cs="Arial"/>
                <w:color w:val="000000"/>
                <w:sz w:val="18"/>
              </w:rPr>
              <w:t>8 (4)</w:t>
            </w:r>
          </w:p>
        </w:tc>
        <w:tc>
          <w:tcPr>
            <w:tcW w:w="0" w:type="auto"/>
            <w:tcBorders>
              <w:top w:val="nil"/>
              <w:left w:val="nil"/>
              <w:bottom w:val="nil"/>
              <w:right w:val="nil"/>
            </w:tcBorders>
            <w:shd w:val="clear" w:color="auto" w:fill="auto"/>
            <w:noWrap/>
            <w:vAlign w:val="center"/>
            <w:hideMark/>
          </w:tcPr>
          <w:p w14:paraId="49F1431D" w14:textId="77777777" w:rsidR="00861681" w:rsidRPr="0097587B" w:rsidRDefault="00861681" w:rsidP="00861681">
            <w:pPr>
              <w:spacing w:before="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center"/>
            <w:hideMark/>
          </w:tcPr>
          <w:p w14:paraId="47A8887A" w14:textId="77777777" w:rsidR="00861681" w:rsidRPr="0097587B" w:rsidRDefault="00861681" w:rsidP="00861681">
            <w:pPr>
              <w:spacing w:before="0" w:after="0" w:line="360" w:lineRule="auto"/>
              <w:jc w:val="center"/>
              <w:rPr>
                <w:rFonts w:ascii="Arial" w:hAnsi="Arial" w:cs="Arial"/>
                <w:color w:val="000000"/>
                <w:sz w:val="18"/>
              </w:rPr>
            </w:pPr>
          </w:p>
        </w:tc>
      </w:tr>
      <w:tr w:rsidR="00861681" w:rsidRPr="0097587B" w14:paraId="36B540F7" w14:textId="77777777" w:rsidTr="00F658CE">
        <w:trPr>
          <w:trHeight w:val="227"/>
          <w:jc w:val="center"/>
        </w:trPr>
        <w:tc>
          <w:tcPr>
            <w:tcW w:w="0" w:type="auto"/>
            <w:tcBorders>
              <w:top w:val="nil"/>
              <w:left w:val="nil"/>
              <w:bottom w:val="nil"/>
              <w:right w:val="nil"/>
            </w:tcBorders>
            <w:shd w:val="clear" w:color="auto" w:fill="auto"/>
            <w:noWrap/>
            <w:vAlign w:val="center"/>
            <w:hideMark/>
          </w:tcPr>
          <w:p w14:paraId="39E75290" w14:textId="77777777" w:rsidR="00861681" w:rsidRPr="0097587B" w:rsidRDefault="00861681" w:rsidP="00861681">
            <w:pPr>
              <w:spacing w:before="0" w:after="0" w:line="360" w:lineRule="auto"/>
              <w:jc w:val="left"/>
              <w:rPr>
                <w:rFonts w:ascii="Arial" w:hAnsi="Arial" w:cs="Arial"/>
                <w:color w:val="000000"/>
                <w:sz w:val="18"/>
              </w:rPr>
            </w:pPr>
            <w:r w:rsidRPr="0097587B">
              <w:rPr>
                <w:rFonts w:ascii="Arial" w:hAnsi="Arial" w:cs="Arial"/>
                <w:color w:val="000000"/>
                <w:sz w:val="18"/>
              </w:rPr>
              <w:t>2013-12-23</w:t>
            </w:r>
          </w:p>
        </w:tc>
        <w:tc>
          <w:tcPr>
            <w:tcW w:w="0" w:type="auto"/>
            <w:tcBorders>
              <w:top w:val="nil"/>
              <w:left w:val="nil"/>
              <w:bottom w:val="nil"/>
              <w:right w:val="nil"/>
            </w:tcBorders>
            <w:shd w:val="clear" w:color="auto" w:fill="auto"/>
            <w:noWrap/>
            <w:vAlign w:val="center"/>
            <w:hideMark/>
          </w:tcPr>
          <w:p w14:paraId="7A57280A" w14:textId="77777777" w:rsidR="00861681" w:rsidRPr="0097587B" w:rsidRDefault="00861681" w:rsidP="00861681">
            <w:pPr>
              <w:spacing w:before="0" w:after="0" w:line="360" w:lineRule="auto"/>
              <w:jc w:val="center"/>
              <w:rPr>
                <w:rFonts w:ascii="Arial" w:hAnsi="Arial" w:cs="Arial"/>
                <w:color w:val="000000"/>
                <w:sz w:val="18"/>
              </w:rPr>
            </w:pPr>
            <w:r w:rsidRPr="0097587B">
              <w:rPr>
                <w:rFonts w:ascii="Arial" w:hAnsi="Arial" w:cs="Arial"/>
                <w:color w:val="000000"/>
                <w:sz w:val="18"/>
              </w:rPr>
              <w:t>9 (3)</w:t>
            </w:r>
          </w:p>
        </w:tc>
        <w:tc>
          <w:tcPr>
            <w:tcW w:w="0" w:type="auto"/>
            <w:tcBorders>
              <w:top w:val="nil"/>
              <w:left w:val="nil"/>
              <w:bottom w:val="nil"/>
              <w:right w:val="nil"/>
            </w:tcBorders>
            <w:shd w:val="clear" w:color="auto" w:fill="auto"/>
            <w:noWrap/>
            <w:vAlign w:val="center"/>
            <w:hideMark/>
          </w:tcPr>
          <w:p w14:paraId="7CA7FDA4" w14:textId="77777777" w:rsidR="00861681" w:rsidRPr="0097587B" w:rsidRDefault="00861681" w:rsidP="00861681">
            <w:pPr>
              <w:spacing w:before="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center"/>
            <w:hideMark/>
          </w:tcPr>
          <w:p w14:paraId="53BA8014" w14:textId="77777777" w:rsidR="00861681" w:rsidRPr="0097587B" w:rsidRDefault="00861681" w:rsidP="00861681">
            <w:pPr>
              <w:spacing w:before="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center"/>
            <w:hideMark/>
          </w:tcPr>
          <w:p w14:paraId="34D050B7" w14:textId="77777777" w:rsidR="00861681" w:rsidRPr="0097587B" w:rsidRDefault="00861681" w:rsidP="00861681">
            <w:pPr>
              <w:spacing w:before="0" w:after="0" w:line="360" w:lineRule="auto"/>
              <w:jc w:val="center"/>
              <w:rPr>
                <w:rFonts w:ascii="Arial" w:hAnsi="Arial" w:cs="Arial"/>
                <w:color w:val="000000"/>
                <w:sz w:val="18"/>
              </w:rPr>
            </w:pPr>
          </w:p>
        </w:tc>
      </w:tr>
      <w:tr w:rsidR="00861681" w:rsidRPr="0097587B" w14:paraId="042B2A3D" w14:textId="77777777" w:rsidTr="00F658CE">
        <w:trPr>
          <w:trHeight w:val="227"/>
          <w:jc w:val="center"/>
        </w:trPr>
        <w:tc>
          <w:tcPr>
            <w:tcW w:w="0" w:type="auto"/>
            <w:tcBorders>
              <w:top w:val="nil"/>
              <w:left w:val="nil"/>
              <w:bottom w:val="nil"/>
              <w:right w:val="nil"/>
            </w:tcBorders>
            <w:shd w:val="clear" w:color="auto" w:fill="auto"/>
            <w:noWrap/>
            <w:vAlign w:val="center"/>
            <w:hideMark/>
          </w:tcPr>
          <w:p w14:paraId="628A1E51" w14:textId="77777777" w:rsidR="00861681" w:rsidRPr="0097587B" w:rsidRDefault="00861681" w:rsidP="00861681">
            <w:pPr>
              <w:spacing w:before="0" w:after="0" w:line="360" w:lineRule="auto"/>
              <w:jc w:val="left"/>
              <w:rPr>
                <w:rFonts w:ascii="Arial" w:hAnsi="Arial" w:cs="Arial"/>
                <w:color w:val="000000"/>
                <w:sz w:val="18"/>
              </w:rPr>
            </w:pPr>
            <w:r w:rsidRPr="0097587B">
              <w:rPr>
                <w:rFonts w:ascii="Arial" w:hAnsi="Arial" w:cs="Arial"/>
                <w:color w:val="000000"/>
                <w:sz w:val="18"/>
              </w:rPr>
              <w:t>2014-02-05</w:t>
            </w:r>
          </w:p>
        </w:tc>
        <w:tc>
          <w:tcPr>
            <w:tcW w:w="0" w:type="auto"/>
            <w:tcBorders>
              <w:top w:val="nil"/>
              <w:left w:val="nil"/>
              <w:bottom w:val="nil"/>
              <w:right w:val="nil"/>
            </w:tcBorders>
            <w:shd w:val="clear" w:color="auto" w:fill="auto"/>
            <w:noWrap/>
            <w:vAlign w:val="center"/>
            <w:hideMark/>
          </w:tcPr>
          <w:p w14:paraId="67B9FA6A" w14:textId="77777777" w:rsidR="00861681" w:rsidRPr="0097587B" w:rsidRDefault="00861681" w:rsidP="00861681">
            <w:pPr>
              <w:spacing w:before="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center"/>
            <w:hideMark/>
          </w:tcPr>
          <w:p w14:paraId="64C8B169" w14:textId="77777777" w:rsidR="00861681" w:rsidRPr="0097587B" w:rsidRDefault="00861681" w:rsidP="00861681">
            <w:pPr>
              <w:spacing w:before="0" w:after="0" w:line="360" w:lineRule="auto"/>
              <w:jc w:val="center"/>
              <w:rPr>
                <w:rFonts w:ascii="Arial" w:hAnsi="Arial" w:cs="Arial"/>
                <w:color w:val="000000"/>
                <w:sz w:val="18"/>
              </w:rPr>
            </w:pPr>
            <w:r w:rsidRPr="0097587B">
              <w:rPr>
                <w:rFonts w:ascii="Arial" w:hAnsi="Arial" w:cs="Arial"/>
                <w:color w:val="000000"/>
                <w:sz w:val="18"/>
              </w:rPr>
              <w:t>8 (4)</w:t>
            </w:r>
          </w:p>
        </w:tc>
        <w:tc>
          <w:tcPr>
            <w:tcW w:w="0" w:type="auto"/>
            <w:tcBorders>
              <w:top w:val="nil"/>
              <w:left w:val="nil"/>
              <w:bottom w:val="nil"/>
              <w:right w:val="nil"/>
            </w:tcBorders>
            <w:shd w:val="clear" w:color="auto" w:fill="auto"/>
            <w:noWrap/>
            <w:vAlign w:val="center"/>
            <w:hideMark/>
          </w:tcPr>
          <w:p w14:paraId="024B017C" w14:textId="77777777" w:rsidR="00861681" w:rsidRPr="0097587B" w:rsidRDefault="00861681" w:rsidP="00861681">
            <w:pPr>
              <w:spacing w:before="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center"/>
            <w:hideMark/>
          </w:tcPr>
          <w:p w14:paraId="12849A96" w14:textId="77777777" w:rsidR="00861681" w:rsidRPr="0097587B" w:rsidRDefault="00861681" w:rsidP="00861681">
            <w:pPr>
              <w:spacing w:before="0" w:after="0" w:line="360" w:lineRule="auto"/>
              <w:jc w:val="center"/>
              <w:rPr>
                <w:rFonts w:ascii="Arial" w:hAnsi="Arial" w:cs="Arial"/>
                <w:color w:val="000000"/>
                <w:sz w:val="18"/>
              </w:rPr>
            </w:pPr>
          </w:p>
        </w:tc>
      </w:tr>
      <w:tr w:rsidR="00861681" w:rsidRPr="0097587B" w14:paraId="0A97B8E8" w14:textId="77777777" w:rsidTr="00F658CE">
        <w:trPr>
          <w:trHeight w:val="227"/>
          <w:jc w:val="center"/>
        </w:trPr>
        <w:tc>
          <w:tcPr>
            <w:tcW w:w="0" w:type="auto"/>
            <w:tcBorders>
              <w:top w:val="nil"/>
              <w:left w:val="nil"/>
              <w:bottom w:val="nil"/>
              <w:right w:val="nil"/>
            </w:tcBorders>
            <w:shd w:val="clear" w:color="auto" w:fill="auto"/>
            <w:noWrap/>
            <w:vAlign w:val="center"/>
            <w:hideMark/>
          </w:tcPr>
          <w:p w14:paraId="0700240E" w14:textId="77777777" w:rsidR="00861681" w:rsidRPr="0097587B" w:rsidRDefault="00861681" w:rsidP="00861681">
            <w:pPr>
              <w:spacing w:before="0" w:after="0" w:line="360" w:lineRule="auto"/>
              <w:jc w:val="left"/>
              <w:rPr>
                <w:rFonts w:ascii="Arial" w:hAnsi="Arial" w:cs="Arial"/>
                <w:color w:val="000000"/>
                <w:sz w:val="18"/>
              </w:rPr>
            </w:pPr>
            <w:r w:rsidRPr="0097587B">
              <w:rPr>
                <w:rFonts w:ascii="Arial" w:hAnsi="Arial" w:cs="Arial"/>
                <w:color w:val="000000"/>
                <w:sz w:val="18"/>
              </w:rPr>
              <w:t>2014-02-06</w:t>
            </w:r>
          </w:p>
        </w:tc>
        <w:tc>
          <w:tcPr>
            <w:tcW w:w="0" w:type="auto"/>
            <w:tcBorders>
              <w:top w:val="nil"/>
              <w:left w:val="nil"/>
              <w:bottom w:val="nil"/>
              <w:right w:val="nil"/>
            </w:tcBorders>
            <w:shd w:val="clear" w:color="auto" w:fill="auto"/>
            <w:noWrap/>
            <w:vAlign w:val="center"/>
            <w:hideMark/>
          </w:tcPr>
          <w:p w14:paraId="2B73E1E9" w14:textId="77777777" w:rsidR="00861681" w:rsidRPr="0097587B" w:rsidRDefault="00861681" w:rsidP="00861681">
            <w:pPr>
              <w:spacing w:before="0" w:after="0" w:line="360" w:lineRule="auto"/>
              <w:jc w:val="center"/>
              <w:rPr>
                <w:rFonts w:ascii="Arial" w:hAnsi="Arial" w:cs="Arial"/>
                <w:color w:val="000000"/>
                <w:sz w:val="18"/>
              </w:rPr>
            </w:pPr>
            <w:r w:rsidRPr="0097587B">
              <w:rPr>
                <w:rFonts w:ascii="Arial" w:hAnsi="Arial" w:cs="Arial"/>
                <w:color w:val="000000"/>
                <w:sz w:val="18"/>
              </w:rPr>
              <w:t>10 (3)</w:t>
            </w:r>
          </w:p>
        </w:tc>
        <w:tc>
          <w:tcPr>
            <w:tcW w:w="0" w:type="auto"/>
            <w:tcBorders>
              <w:top w:val="nil"/>
              <w:left w:val="nil"/>
              <w:bottom w:val="nil"/>
              <w:right w:val="nil"/>
            </w:tcBorders>
            <w:shd w:val="clear" w:color="auto" w:fill="auto"/>
            <w:noWrap/>
            <w:vAlign w:val="center"/>
            <w:hideMark/>
          </w:tcPr>
          <w:p w14:paraId="17AE83A9" w14:textId="77777777" w:rsidR="00861681" w:rsidRPr="0097587B" w:rsidRDefault="00861681" w:rsidP="00861681">
            <w:pPr>
              <w:spacing w:before="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center"/>
            <w:hideMark/>
          </w:tcPr>
          <w:p w14:paraId="1CFD9FF9" w14:textId="77777777" w:rsidR="00861681" w:rsidRPr="0097587B" w:rsidRDefault="00861681" w:rsidP="00861681">
            <w:pPr>
              <w:spacing w:before="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center"/>
            <w:hideMark/>
          </w:tcPr>
          <w:p w14:paraId="48EEC210" w14:textId="77777777" w:rsidR="00861681" w:rsidRPr="0097587B" w:rsidRDefault="00861681" w:rsidP="00861681">
            <w:pPr>
              <w:spacing w:before="0" w:after="0" w:line="360" w:lineRule="auto"/>
              <w:jc w:val="center"/>
              <w:rPr>
                <w:rFonts w:ascii="Arial" w:hAnsi="Arial" w:cs="Arial"/>
                <w:color w:val="000000"/>
                <w:sz w:val="18"/>
              </w:rPr>
            </w:pPr>
          </w:p>
        </w:tc>
      </w:tr>
      <w:tr w:rsidR="00861681" w:rsidRPr="0097587B" w14:paraId="37BBA837" w14:textId="77777777" w:rsidTr="00F658CE">
        <w:trPr>
          <w:trHeight w:val="227"/>
          <w:jc w:val="center"/>
        </w:trPr>
        <w:tc>
          <w:tcPr>
            <w:tcW w:w="0" w:type="auto"/>
            <w:tcBorders>
              <w:top w:val="nil"/>
              <w:left w:val="nil"/>
              <w:bottom w:val="nil"/>
              <w:right w:val="nil"/>
            </w:tcBorders>
            <w:shd w:val="clear" w:color="auto" w:fill="auto"/>
            <w:noWrap/>
            <w:vAlign w:val="center"/>
            <w:hideMark/>
          </w:tcPr>
          <w:p w14:paraId="799D4EA1" w14:textId="77777777" w:rsidR="00861681" w:rsidRPr="0097587B" w:rsidRDefault="00861681" w:rsidP="00861681">
            <w:pPr>
              <w:spacing w:before="0" w:after="0" w:line="360" w:lineRule="auto"/>
              <w:jc w:val="left"/>
              <w:rPr>
                <w:rFonts w:ascii="Arial" w:hAnsi="Arial" w:cs="Arial"/>
                <w:color w:val="000000"/>
                <w:sz w:val="18"/>
              </w:rPr>
            </w:pPr>
            <w:r w:rsidRPr="0097587B">
              <w:rPr>
                <w:rFonts w:ascii="Arial" w:hAnsi="Arial" w:cs="Arial"/>
                <w:color w:val="000000"/>
                <w:sz w:val="18"/>
              </w:rPr>
              <w:t>2014-02-19</w:t>
            </w:r>
          </w:p>
        </w:tc>
        <w:tc>
          <w:tcPr>
            <w:tcW w:w="0" w:type="auto"/>
            <w:tcBorders>
              <w:top w:val="nil"/>
              <w:left w:val="nil"/>
              <w:bottom w:val="nil"/>
              <w:right w:val="nil"/>
            </w:tcBorders>
            <w:shd w:val="clear" w:color="auto" w:fill="auto"/>
            <w:noWrap/>
            <w:vAlign w:val="center"/>
            <w:hideMark/>
          </w:tcPr>
          <w:p w14:paraId="22DE7917" w14:textId="77777777" w:rsidR="00861681" w:rsidRPr="0097587B" w:rsidRDefault="00861681" w:rsidP="00861681">
            <w:pPr>
              <w:spacing w:before="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center"/>
            <w:hideMark/>
          </w:tcPr>
          <w:p w14:paraId="4BD831E9" w14:textId="77777777" w:rsidR="00861681" w:rsidRPr="0097587B" w:rsidRDefault="00861681" w:rsidP="00861681">
            <w:pPr>
              <w:spacing w:before="0" w:after="0" w:line="360" w:lineRule="auto"/>
              <w:jc w:val="center"/>
              <w:rPr>
                <w:rFonts w:ascii="Arial" w:hAnsi="Arial" w:cs="Arial"/>
                <w:color w:val="000000"/>
                <w:sz w:val="18"/>
              </w:rPr>
            </w:pPr>
            <w:r w:rsidRPr="0097587B">
              <w:rPr>
                <w:rFonts w:ascii="Arial" w:hAnsi="Arial" w:cs="Arial"/>
                <w:color w:val="000000"/>
                <w:sz w:val="18"/>
              </w:rPr>
              <w:t>8 (4)</w:t>
            </w:r>
          </w:p>
        </w:tc>
        <w:tc>
          <w:tcPr>
            <w:tcW w:w="0" w:type="auto"/>
            <w:tcBorders>
              <w:top w:val="nil"/>
              <w:left w:val="nil"/>
              <w:bottom w:val="nil"/>
              <w:right w:val="nil"/>
            </w:tcBorders>
            <w:shd w:val="clear" w:color="auto" w:fill="auto"/>
            <w:noWrap/>
            <w:vAlign w:val="center"/>
            <w:hideMark/>
          </w:tcPr>
          <w:p w14:paraId="3FFF8738" w14:textId="77777777" w:rsidR="00861681" w:rsidRPr="0097587B" w:rsidRDefault="00861681" w:rsidP="00861681">
            <w:pPr>
              <w:spacing w:before="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center"/>
            <w:hideMark/>
          </w:tcPr>
          <w:p w14:paraId="48F34570" w14:textId="77777777" w:rsidR="00861681" w:rsidRPr="0097587B" w:rsidRDefault="00861681" w:rsidP="00861681">
            <w:pPr>
              <w:spacing w:before="0" w:after="0" w:line="360" w:lineRule="auto"/>
              <w:jc w:val="center"/>
              <w:rPr>
                <w:rFonts w:ascii="Arial" w:hAnsi="Arial" w:cs="Arial"/>
                <w:color w:val="000000"/>
                <w:sz w:val="18"/>
              </w:rPr>
            </w:pPr>
          </w:p>
        </w:tc>
      </w:tr>
      <w:tr w:rsidR="00861681" w:rsidRPr="0097587B" w14:paraId="5EEAE91B" w14:textId="77777777" w:rsidTr="00F658CE">
        <w:trPr>
          <w:trHeight w:val="227"/>
          <w:jc w:val="center"/>
        </w:trPr>
        <w:tc>
          <w:tcPr>
            <w:tcW w:w="0" w:type="auto"/>
            <w:tcBorders>
              <w:top w:val="nil"/>
              <w:left w:val="nil"/>
              <w:bottom w:val="nil"/>
              <w:right w:val="nil"/>
            </w:tcBorders>
            <w:shd w:val="clear" w:color="auto" w:fill="auto"/>
            <w:noWrap/>
            <w:vAlign w:val="center"/>
            <w:hideMark/>
          </w:tcPr>
          <w:p w14:paraId="3531073E" w14:textId="77777777" w:rsidR="00861681" w:rsidRPr="0097587B" w:rsidRDefault="00861681" w:rsidP="00861681">
            <w:pPr>
              <w:spacing w:before="0" w:after="0" w:line="360" w:lineRule="auto"/>
              <w:jc w:val="left"/>
              <w:rPr>
                <w:rFonts w:ascii="Arial" w:hAnsi="Arial" w:cs="Arial"/>
                <w:color w:val="000000"/>
                <w:sz w:val="18"/>
              </w:rPr>
            </w:pPr>
            <w:r w:rsidRPr="0097587B">
              <w:rPr>
                <w:rFonts w:ascii="Arial" w:hAnsi="Arial" w:cs="Arial"/>
                <w:color w:val="000000"/>
                <w:sz w:val="18"/>
              </w:rPr>
              <w:t>2014-02-20</w:t>
            </w:r>
          </w:p>
        </w:tc>
        <w:tc>
          <w:tcPr>
            <w:tcW w:w="0" w:type="auto"/>
            <w:tcBorders>
              <w:top w:val="nil"/>
              <w:left w:val="nil"/>
              <w:bottom w:val="nil"/>
              <w:right w:val="nil"/>
            </w:tcBorders>
            <w:shd w:val="clear" w:color="auto" w:fill="auto"/>
            <w:noWrap/>
            <w:vAlign w:val="center"/>
            <w:hideMark/>
          </w:tcPr>
          <w:p w14:paraId="34EFB761" w14:textId="77777777" w:rsidR="00861681" w:rsidRPr="0097587B" w:rsidRDefault="00861681" w:rsidP="00861681">
            <w:pPr>
              <w:spacing w:before="0" w:after="0" w:line="360" w:lineRule="auto"/>
              <w:jc w:val="center"/>
              <w:rPr>
                <w:rFonts w:ascii="Arial" w:hAnsi="Arial" w:cs="Arial"/>
                <w:color w:val="000000"/>
                <w:sz w:val="18"/>
              </w:rPr>
            </w:pPr>
            <w:r w:rsidRPr="0097587B">
              <w:rPr>
                <w:rFonts w:ascii="Arial" w:hAnsi="Arial" w:cs="Arial"/>
                <w:color w:val="000000"/>
                <w:sz w:val="18"/>
              </w:rPr>
              <w:t>10 (3)</w:t>
            </w:r>
          </w:p>
        </w:tc>
        <w:tc>
          <w:tcPr>
            <w:tcW w:w="0" w:type="auto"/>
            <w:tcBorders>
              <w:top w:val="nil"/>
              <w:left w:val="nil"/>
              <w:bottom w:val="nil"/>
              <w:right w:val="nil"/>
            </w:tcBorders>
            <w:shd w:val="clear" w:color="auto" w:fill="auto"/>
            <w:noWrap/>
            <w:vAlign w:val="center"/>
            <w:hideMark/>
          </w:tcPr>
          <w:p w14:paraId="6B5AE69E" w14:textId="77777777" w:rsidR="00861681" w:rsidRPr="0097587B" w:rsidRDefault="00861681" w:rsidP="00861681">
            <w:pPr>
              <w:spacing w:before="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center"/>
            <w:hideMark/>
          </w:tcPr>
          <w:p w14:paraId="194E2832" w14:textId="77777777" w:rsidR="00861681" w:rsidRPr="0097587B" w:rsidRDefault="00861681" w:rsidP="00861681">
            <w:pPr>
              <w:spacing w:before="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center"/>
            <w:hideMark/>
          </w:tcPr>
          <w:p w14:paraId="6668D61C" w14:textId="77777777" w:rsidR="00861681" w:rsidRPr="0097587B" w:rsidRDefault="00861681" w:rsidP="00861681">
            <w:pPr>
              <w:spacing w:before="0" w:after="0" w:line="360" w:lineRule="auto"/>
              <w:jc w:val="center"/>
              <w:rPr>
                <w:rFonts w:ascii="Arial" w:hAnsi="Arial" w:cs="Arial"/>
                <w:color w:val="000000"/>
                <w:sz w:val="18"/>
              </w:rPr>
            </w:pPr>
          </w:p>
        </w:tc>
      </w:tr>
      <w:tr w:rsidR="00861681" w:rsidRPr="0097587B" w14:paraId="1315B2A4" w14:textId="77777777" w:rsidTr="00F658CE">
        <w:trPr>
          <w:trHeight w:val="227"/>
          <w:jc w:val="center"/>
        </w:trPr>
        <w:tc>
          <w:tcPr>
            <w:tcW w:w="0" w:type="auto"/>
            <w:tcBorders>
              <w:top w:val="nil"/>
              <w:left w:val="nil"/>
              <w:bottom w:val="nil"/>
              <w:right w:val="nil"/>
            </w:tcBorders>
            <w:shd w:val="clear" w:color="auto" w:fill="auto"/>
            <w:noWrap/>
            <w:vAlign w:val="center"/>
            <w:hideMark/>
          </w:tcPr>
          <w:p w14:paraId="74FD9117" w14:textId="77777777" w:rsidR="00861681" w:rsidRPr="0097587B" w:rsidRDefault="00861681" w:rsidP="00861681">
            <w:pPr>
              <w:spacing w:before="0" w:after="0" w:line="360" w:lineRule="auto"/>
              <w:jc w:val="left"/>
              <w:rPr>
                <w:rFonts w:ascii="Arial" w:hAnsi="Arial" w:cs="Arial"/>
                <w:color w:val="000000"/>
                <w:sz w:val="18"/>
              </w:rPr>
            </w:pPr>
            <w:r w:rsidRPr="0097587B">
              <w:rPr>
                <w:rFonts w:ascii="Arial" w:hAnsi="Arial" w:cs="Arial"/>
                <w:color w:val="000000"/>
                <w:sz w:val="18"/>
              </w:rPr>
              <w:t>2014-03-04</w:t>
            </w:r>
          </w:p>
        </w:tc>
        <w:tc>
          <w:tcPr>
            <w:tcW w:w="0" w:type="auto"/>
            <w:tcBorders>
              <w:top w:val="nil"/>
              <w:left w:val="nil"/>
              <w:bottom w:val="nil"/>
              <w:right w:val="nil"/>
            </w:tcBorders>
            <w:shd w:val="clear" w:color="auto" w:fill="auto"/>
            <w:noWrap/>
            <w:vAlign w:val="center"/>
            <w:hideMark/>
          </w:tcPr>
          <w:p w14:paraId="3EB408DB" w14:textId="77777777" w:rsidR="00861681" w:rsidRPr="0097587B" w:rsidRDefault="00861681" w:rsidP="00861681">
            <w:pPr>
              <w:spacing w:before="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center"/>
            <w:hideMark/>
          </w:tcPr>
          <w:p w14:paraId="1BC489CF" w14:textId="77777777" w:rsidR="00861681" w:rsidRPr="0097587B" w:rsidRDefault="00861681" w:rsidP="00861681">
            <w:pPr>
              <w:spacing w:before="0" w:after="0" w:line="360" w:lineRule="auto"/>
              <w:jc w:val="center"/>
              <w:rPr>
                <w:rFonts w:ascii="Arial" w:hAnsi="Arial" w:cs="Arial"/>
                <w:color w:val="000000"/>
                <w:sz w:val="18"/>
              </w:rPr>
            </w:pPr>
            <w:r w:rsidRPr="0097587B">
              <w:rPr>
                <w:rFonts w:ascii="Arial" w:hAnsi="Arial" w:cs="Arial"/>
                <w:color w:val="000000"/>
                <w:sz w:val="18"/>
              </w:rPr>
              <w:t>1 (0)</w:t>
            </w:r>
          </w:p>
        </w:tc>
        <w:tc>
          <w:tcPr>
            <w:tcW w:w="0" w:type="auto"/>
            <w:tcBorders>
              <w:top w:val="nil"/>
              <w:left w:val="nil"/>
              <w:bottom w:val="nil"/>
              <w:right w:val="nil"/>
            </w:tcBorders>
            <w:shd w:val="clear" w:color="auto" w:fill="auto"/>
            <w:noWrap/>
            <w:vAlign w:val="center"/>
            <w:hideMark/>
          </w:tcPr>
          <w:p w14:paraId="5DE79247" w14:textId="77777777" w:rsidR="00861681" w:rsidRPr="0097587B" w:rsidRDefault="00861681" w:rsidP="00861681">
            <w:pPr>
              <w:spacing w:before="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center"/>
            <w:hideMark/>
          </w:tcPr>
          <w:p w14:paraId="17E3A3F5" w14:textId="77777777" w:rsidR="00861681" w:rsidRPr="0097587B" w:rsidRDefault="00861681" w:rsidP="00861681">
            <w:pPr>
              <w:spacing w:before="0" w:after="0" w:line="360" w:lineRule="auto"/>
              <w:jc w:val="center"/>
              <w:rPr>
                <w:rFonts w:ascii="Arial" w:hAnsi="Arial" w:cs="Arial"/>
                <w:color w:val="000000"/>
                <w:sz w:val="18"/>
              </w:rPr>
            </w:pPr>
          </w:p>
        </w:tc>
      </w:tr>
      <w:tr w:rsidR="00861681" w:rsidRPr="0097587B" w14:paraId="1E9AA0A1" w14:textId="77777777" w:rsidTr="00F658CE">
        <w:trPr>
          <w:trHeight w:val="227"/>
          <w:jc w:val="center"/>
        </w:trPr>
        <w:tc>
          <w:tcPr>
            <w:tcW w:w="0" w:type="auto"/>
            <w:tcBorders>
              <w:top w:val="nil"/>
              <w:left w:val="nil"/>
              <w:bottom w:val="nil"/>
              <w:right w:val="nil"/>
            </w:tcBorders>
            <w:shd w:val="clear" w:color="auto" w:fill="auto"/>
            <w:noWrap/>
            <w:vAlign w:val="center"/>
            <w:hideMark/>
          </w:tcPr>
          <w:p w14:paraId="4272FFBD" w14:textId="77777777" w:rsidR="00861681" w:rsidRPr="0097587B" w:rsidRDefault="00861681" w:rsidP="00861681">
            <w:pPr>
              <w:spacing w:before="0" w:after="0" w:line="360" w:lineRule="auto"/>
              <w:jc w:val="left"/>
              <w:rPr>
                <w:rFonts w:ascii="Arial" w:hAnsi="Arial" w:cs="Arial"/>
                <w:color w:val="000000"/>
                <w:sz w:val="18"/>
              </w:rPr>
            </w:pPr>
            <w:r w:rsidRPr="0097587B">
              <w:rPr>
                <w:rFonts w:ascii="Arial" w:hAnsi="Arial" w:cs="Arial"/>
                <w:color w:val="000000"/>
                <w:sz w:val="18"/>
              </w:rPr>
              <w:t>2014-03-24</w:t>
            </w:r>
          </w:p>
        </w:tc>
        <w:tc>
          <w:tcPr>
            <w:tcW w:w="0" w:type="auto"/>
            <w:tcBorders>
              <w:top w:val="nil"/>
              <w:left w:val="nil"/>
              <w:bottom w:val="nil"/>
              <w:right w:val="nil"/>
            </w:tcBorders>
            <w:shd w:val="clear" w:color="auto" w:fill="auto"/>
            <w:noWrap/>
            <w:vAlign w:val="center"/>
            <w:hideMark/>
          </w:tcPr>
          <w:p w14:paraId="50C9DE69" w14:textId="77777777" w:rsidR="00861681" w:rsidRPr="0097587B" w:rsidRDefault="00861681" w:rsidP="00861681">
            <w:pPr>
              <w:spacing w:before="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center"/>
            <w:hideMark/>
          </w:tcPr>
          <w:p w14:paraId="6B66396F" w14:textId="77777777" w:rsidR="00861681" w:rsidRPr="0097587B" w:rsidRDefault="00861681" w:rsidP="00861681">
            <w:pPr>
              <w:spacing w:before="0" w:after="0" w:line="360" w:lineRule="auto"/>
              <w:jc w:val="center"/>
              <w:rPr>
                <w:rFonts w:ascii="Arial" w:hAnsi="Arial" w:cs="Arial"/>
                <w:color w:val="000000"/>
                <w:sz w:val="18"/>
              </w:rPr>
            </w:pPr>
            <w:r w:rsidRPr="0097587B">
              <w:rPr>
                <w:rFonts w:ascii="Arial" w:hAnsi="Arial" w:cs="Arial"/>
                <w:color w:val="000000"/>
                <w:sz w:val="18"/>
              </w:rPr>
              <w:t>8 (4)</w:t>
            </w:r>
          </w:p>
        </w:tc>
        <w:tc>
          <w:tcPr>
            <w:tcW w:w="0" w:type="auto"/>
            <w:tcBorders>
              <w:top w:val="nil"/>
              <w:left w:val="nil"/>
              <w:bottom w:val="nil"/>
              <w:right w:val="nil"/>
            </w:tcBorders>
            <w:shd w:val="clear" w:color="auto" w:fill="auto"/>
            <w:noWrap/>
            <w:vAlign w:val="center"/>
            <w:hideMark/>
          </w:tcPr>
          <w:p w14:paraId="4BB6489E" w14:textId="77777777" w:rsidR="00861681" w:rsidRPr="0097587B" w:rsidRDefault="00861681" w:rsidP="00861681">
            <w:pPr>
              <w:spacing w:before="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center"/>
            <w:hideMark/>
          </w:tcPr>
          <w:p w14:paraId="2B0CA174" w14:textId="77777777" w:rsidR="00861681" w:rsidRPr="0097587B" w:rsidRDefault="00861681" w:rsidP="00861681">
            <w:pPr>
              <w:spacing w:before="0" w:after="0" w:line="360" w:lineRule="auto"/>
              <w:jc w:val="center"/>
              <w:rPr>
                <w:rFonts w:ascii="Arial" w:hAnsi="Arial" w:cs="Arial"/>
                <w:color w:val="000000"/>
                <w:sz w:val="18"/>
              </w:rPr>
            </w:pPr>
          </w:p>
        </w:tc>
      </w:tr>
      <w:tr w:rsidR="00861681" w:rsidRPr="0097587B" w14:paraId="3FBC8EDB" w14:textId="77777777" w:rsidTr="00F658CE">
        <w:trPr>
          <w:trHeight w:val="227"/>
          <w:jc w:val="center"/>
        </w:trPr>
        <w:tc>
          <w:tcPr>
            <w:tcW w:w="0" w:type="auto"/>
            <w:tcBorders>
              <w:top w:val="nil"/>
              <w:left w:val="nil"/>
              <w:bottom w:val="nil"/>
              <w:right w:val="nil"/>
            </w:tcBorders>
            <w:shd w:val="clear" w:color="auto" w:fill="auto"/>
            <w:noWrap/>
            <w:vAlign w:val="center"/>
            <w:hideMark/>
          </w:tcPr>
          <w:p w14:paraId="2D1110E3" w14:textId="77777777" w:rsidR="00861681" w:rsidRPr="0097587B" w:rsidRDefault="00861681" w:rsidP="00861681">
            <w:pPr>
              <w:spacing w:before="0" w:after="0" w:line="360" w:lineRule="auto"/>
              <w:jc w:val="left"/>
              <w:rPr>
                <w:rFonts w:ascii="Arial" w:hAnsi="Arial" w:cs="Arial"/>
                <w:color w:val="000000"/>
                <w:sz w:val="18"/>
              </w:rPr>
            </w:pPr>
            <w:r w:rsidRPr="0097587B">
              <w:rPr>
                <w:rFonts w:ascii="Arial" w:hAnsi="Arial" w:cs="Arial"/>
                <w:color w:val="000000"/>
                <w:sz w:val="18"/>
              </w:rPr>
              <w:t>2014-03-25</w:t>
            </w:r>
          </w:p>
        </w:tc>
        <w:tc>
          <w:tcPr>
            <w:tcW w:w="0" w:type="auto"/>
            <w:tcBorders>
              <w:top w:val="nil"/>
              <w:left w:val="nil"/>
              <w:bottom w:val="nil"/>
              <w:right w:val="nil"/>
            </w:tcBorders>
            <w:shd w:val="clear" w:color="auto" w:fill="auto"/>
            <w:noWrap/>
            <w:vAlign w:val="center"/>
            <w:hideMark/>
          </w:tcPr>
          <w:p w14:paraId="02C1AA7D" w14:textId="77777777" w:rsidR="00861681" w:rsidRPr="0097587B" w:rsidRDefault="00861681" w:rsidP="00861681">
            <w:pPr>
              <w:spacing w:before="0" w:after="0" w:line="360" w:lineRule="auto"/>
              <w:jc w:val="center"/>
              <w:rPr>
                <w:rFonts w:ascii="Arial" w:hAnsi="Arial" w:cs="Arial"/>
                <w:color w:val="000000"/>
                <w:sz w:val="18"/>
              </w:rPr>
            </w:pPr>
            <w:r w:rsidRPr="0097587B">
              <w:rPr>
                <w:rFonts w:ascii="Arial" w:hAnsi="Arial" w:cs="Arial"/>
                <w:color w:val="000000"/>
                <w:sz w:val="18"/>
              </w:rPr>
              <w:t>10 (3)</w:t>
            </w:r>
          </w:p>
        </w:tc>
        <w:tc>
          <w:tcPr>
            <w:tcW w:w="0" w:type="auto"/>
            <w:tcBorders>
              <w:top w:val="nil"/>
              <w:left w:val="nil"/>
              <w:bottom w:val="nil"/>
              <w:right w:val="nil"/>
            </w:tcBorders>
            <w:shd w:val="clear" w:color="auto" w:fill="auto"/>
            <w:noWrap/>
            <w:vAlign w:val="center"/>
            <w:hideMark/>
          </w:tcPr>
          <w:p w14:paraId="5AB61E9A" w14:textId="77777777" w:rsidR="00861681" w:rsidRPr="0097587B" w:rsidRDefault="00861681" w:rsidP="00861681">
            <w:pPr>
              <w:spacing w:before="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center"/>
            <w:hideMark/>
          </w:tcPr>
          <w:p w14:paraId="17C0E5B3" w14:textId="77777777" w:rsidR="00861681" w:rsidRPr="0097587B" w:rsidRDefault="00861681" w:rsidP="00861681">
            <w:pPr>
              <w:spacing w:before="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center"/>
            <w:hideMark/>
          </w:tcPr>
          <w:p w14:paraId="5E38AFC9" w14:textId="77777777" w:rsidR="00861681" w:rsidRPr="0097587B" w:rsidRDefault="00861681" w:rsidP="00861681">
            <w:pPr>
              <w:spacing w:before="0" w:after="0" w:line="360" w:lineRule="auto"/>
              <w:jc w:val="center"/>
              <w:rPr>
                <w:rFonts w:ascii="Arial" w:hAnsi="Arial" w:cs="Arial"/>
                <w:color w:val="000000"/>
                <w:sz w:val="18"/>
              </w:rPr>
            </w:pPr>
          </w:p>
        </w:tc>
      </w:tr>
      <w:tr w:rsidR="00861681" w:rsidRPr="0097587B" w14:paraId="4B6C56C7" w14:textId="77777777" w:rsidTr="00F658CE">
        <w:trPr>
          <w:trHeight w:val="227"/>
          <w:jc w:val="center"/>
        </w:trPr>
        <w:tc>
          <w:tcPr>
            <w:tcW w:w="0" w:type="auto"/>
            <w:tcBorders>
              <w:top w:val="nil"/>
              <w:left w:val="nil"/>
              <w:bottom w:val="nil"/>
              <w:right w:val="nil"/>
            </w:tcBorders>
            <w:shd w:val="clear" w:color="auto" w:fill="auto"/>
            <w:noWrap/>
            <w:vAlign w:val="center"/>
            <w:hideMark/>
          </w:tcPr>
          <w:p w14:paraId="3FC1436C" w14:textId="77777777" w:rsidR="00861681" w:rsidRPr="0097587B" w:rsidRDefault="00861681" w:rsidP="00861681">
            <w:pPr>
              <w:spacing w:before="0" w:after="0" w:line="360" w:lineRule="auto"/>
              <w:jc w:val="left"/>
              <w:rPr>
                <w:rFonts w:ascii="Arial" w:hAnsi="Arial" w:cs="Arial"/>
                <w:color w:val="000000"/>
                <w:sz w:val="18"/>
              </w:rPr>
            </w:pPr>
            <w:r w:rsidRPr="0097587B">
              <w:rPr>
                <w:rFonts w:ascii="Arial" w:hAnsi="Arial" w:cs="Arial"/>
                <w:color w:val="000000"/>
                <w:sz w:val="18"/>
              </w:rPr>
              <w:t>2014-04-16</w:t>
            </w:r>
          </w:p>
        </w:tc>
        <w:tc>
          <w:tcPr>
            <w:tcW w:w="0" w:type="auto"/>
            <w:tcBorders>
              <w:top w:val="nil"/>
              <w:left w:val="nil"/>
              <w:bottom w:val="nil"/>
              <w:right w:val="nil"/>
            </w:tcBorders>
            <w:shd w:val="clear" w:color="auto" w:fill="auto"/>
            <w:noWrap/>
            <w:vAlign w:val="center"/>
            <w:hideMark/>
          </w:tcPr>
          <w:p w14:paraId="7444543B" w14:textId="77777777" w:rsidR="00861681" w:rsidRPr="0097587B" w:rsidRDefault="00861681" w:rsidP="00861681">
            <w:pPr>
              <w:spacing w:before="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center"/>
            <w:hideMark/>
          </w:tcPr>
          <w:p w14:paraId="7C605F01" w14:textId="77777777" w:rsidR="00861681" w:rsidRPr="0097587B" w:rsidRDefault="00861681" w:rsidP="00861681">
            <w:pPr>
              <w:spacing w:before="0" w:after="0" w:line="360" w:lineRule="auto"/>
              <w:jc w:val="center"/>
              <w:rPr>
                <w:rFonts w:ascii="Arial" w:hAnsi="Arial" w:cs="Arial"/>
                <w:color w:val="000000"/>
                <w:sz w:val="18"/>
              </w:rPr>
            </w:pPr>
            <w:r w:rsidRPr="0097587B">
              <w:rPr>
                <w:rFonts w:ascii="Arial" w:hAnsi="Arial" w:cs="Arial"/>
                <w:color w:val="000000"/>
                <w:sz w:val="18"/>
              </w:rPr>
              <w:t>9 (4)</w:t>
            </w:r>
          </w:p>
        </w:tc>
        <w:tc>
          <w:tcPr>
            <w:tcW w:w="0" w:type="auto"/>
            <w:tcBorders>
              <w:top w:val="nil"/>
              <w:left w:val="nil"/>
              <w:bottom w:val="nil"/>
              <w:right w:val="nil"/>
            </w:tcBorders>
            <w:shd w:val="clear" w:color="auto" w:fill="auto"/>
            <w:noWrap/>
            <w:vAlign w:val="center"/>
            <w:hideMark/>
          </w:tcPr>
          <w:p w14:paraId="1829A812" w14:textId="77777777" w:rsidR="00861681" w:rsidRPr="0097587B" w:rsidRDefault="00861681" w:rsidP="00861681">
            <w:pPr>
              <w:spacing w:before="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center"/>
            <w:hideMark/>
          </w:tcPr>
          <w:p w14:paraId="11217403" w14:textId="77777777" w:rsidR="00861681" w:rsidRPr="0097587B" w:rsidRDefault="00861681" w:rsidP="00861681">
            <w:pPr>
              <w:spacing w:before="0" w:after="0" w:line="360" w:lineRule="auto"/>
              <w:jc w:val="center"/>
              <w:rPr>
                <w:rFonts w:ascii="Arial" w:hAnsi="Arial" w:cs="Arial"/>
                <w:color w:val="000000"/>
                <w:sz w:val="18"/>
              </w:rPr>
            </w:pPr>
            <w:r w:rsidRPr="0097587B">
              <w:rPr>
                <w:rFonts w:ascii="Arial" w:hAnsi="Arial" w:cs="Arial"/>
                <w:color w:val="000000"/>
                <w:sz w:val="18"/>
              </w:rPr>
              <w:t>1 (1)</w:t>
            </w:r>
          </w:p>
        </w:tc>
      </w:tr>
      <w:tr w:rsidR="00861681" w:rsidRPr="0097587B" w14:paraId="2D877995" w14:textId="77777777" w:rsidTr="00F658CE">
        <w:trPr>
          <w:trHeight w:val="227"/>
          <w:jc w:val="center"/>
        </w:trPr>
        <w:tc>
          <w:tcPr>
            <w:tcW w:w="0" w:type="auto"/>
            <w:tcBorders>
              <w:top w:val="nil"/>
              <w:left w:val="nil"/>
              <w:bottom w:val="nil"/>
              <w:right w:val="nil"/>
            </w:tcBorders>
            <w:shd w:val="clear" w:color="auto" w:fill="auto"/>
            <w:noWrap/>
            <w:vAlign w:val="center"/>
            <w:hideMark/>
          </w:tcPr>
          <w:p w14:paraId="1649F945" w14:textId="77777777" w:rsidR="00861681" w:rsidRPr="0097587B" w:rsidRDefault="00861681" w:rsidP="00861681">
            <w:pPr>
              <w:spacing w:before="0" w:after="0" w:line="360" w:lineRule="auto"/>
              <w:jc w:val="left"/>
              <w:rPr>
                <w:rFonts w:ascii="Arial" w:hAnsi="Arial" w:cs="Arial"/>
                <w:color w:val="000000"/>
                <w:sz w:val="18"/>
              </w:rPr>
            </w:pPr>
            <w:r w:rsidRPr="0097587B">
              <w:rPr>
                <w:rFonts w:ascii="Arial" w:hAnsi="Arial" w:cs="Arial"/>
                <w:color w:val="000000"/>
                <w:sz w:val="18"/>
              </w:rPr>
              <w:t>2014-04-17</w:t>
            </w:r>
          </w:p>
        </w:tc>
        <w:tc>
          <w:tcPr>
            <w:tcW w:w="0" w:type="auto"/>
            <w:tcBorders>
              <w:top w:val="nil"/>
              <w:left w:val="nil"/>
              <w:bottom w:val="nil"/>
              <w:right w:val="nil"/>
            </w:tcBorders>
            <w:shd w:val="clear" w:color="auto" w:fill="auto"/>
            <w:noWrap/>
            <w:vAlign w:val="center"/>
            <w:hideMark/>
          </w:tcPr>
          <w:p w14:paraId="2EEC91E7" w14:textId="77777777" w:rsidR="00861681" w:rsidRPr="0097587B" w:rsidRDefault="00861681" w:rsidP="00861681">
            <w:pPr>
              <w:spacing w:before="0" w:after="0" w:line="360" w:lineRule="auto"/>
              <w:jc w:val="center"/>
              <w:rPr>
                <w:rFonts w:ascii="Arial" w:hAnsi="Arial" w:cs="Arial"/>
                <w:color w:val="000000"/>
                <w:sz w:val="18"/>
              </w:rPr>
            </w:pPr>
            <w:r w:rsidRPr="0097587B">
              <w:rPr>
                <w:rFonts w:ascii="Arial" w:hAnsi="Arial" w:cs="Arial"/>
                <w:color w:val="000000"/>
                <w:sz w:val="18"/>
              </w:rPr>
              <w:t>9 (2)</w:t>
            </w:r>
          </w:p>
        </w:tc>
        <w:tc>
          <w:tcPr>
            <w:tcW w:w="0" w:type="auto"/>
            <w:tcBorders>
              <w:top w:val="nil"/>
              <w:left w:val="nil"/>
              <w:bottom w:val="nil"/>
              <w:right w:val="nil"/>
            </w:tcBorders>
            <w:shd w:val="clear" w:color="auto" w:fill="auto"/>
            <w:noWrap/>
            <w:vAlign w:val="center"/>
            <w:hideMark/>
          </w:tcPr>
          <w:p w14:paraId="44A6097C" w14:textId="77777777" w:rsidR="00861681" w:rsidRPr="0097587B" w:rsidRDefault="00861681" w:rsidP="00861681">
            <w:pPr>
              <w:spacing w:before="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center"/>
            <w:hideMark/>
          </w:tcPr>
          <w:p w14:paraId="30C6A739" w14:textId="77777777" w:rsidR="00861681" w:rsidRPr="0097587B" w:rsidRDefault="00861681" w:rsidP="00861681">
            <w:pPr>
              <w:spacing w:before="0" w:after="0" w:line="360" w:lineRule="auto"/>
              <w:jc w:val="center"/>
              <w:rPr>
                <w:rFonts w:ascii="Arial" w:hAnsi="Arial" w:cs="Arial"/>
                <w:color w:val="000000"/>
                <w:sz w:val="18"/>
              </w:rPr>
            </w:pPr>
          </w:p>
        </w:tc>
        <w:tc>
          <w:tcPr>
            <w:tcW w:w="0" w:type="auto"/>
            <w:tcBorders>
              <w:top w:val="nil"/>
              <w:left w:val="nil"/>
              <w:bottom w:val="nil"/>
              <w:right w:val="nil"/>
            </w:tcBorders>
            <w:shd w:val="clear" w:color="auto" w:fill="auto"/>
            <w:noWrap/>
            <w:vAlign w:val="center"/>
            <w:hideMark/>
          </w:tcPr>
          <w:p w14:paraId="500A12FE" w14:textId="77777777" w:rsidR="00861681" w:rsidRPr="0097587B" w:rsidRDefault="00861681" w:rsidP="00861681">
            <w:pPr>
              <w:spacing w:before="0" w:after="0" w:line="360" w:lineRule="auto"/>
              <w:jc w:val="center"/>
              <w:rPr>
                <w:rFonts w:ascii="Arial" w:hAnsi="Arial" w:cs="Arial"/>
                <w:color w:val="000000"/>
                <w:sz w:val="18"/>
              </w:rPr>
            </w:pPr>
          </w:p>
        </w:tc>
      </w:tr>
      <w:tr w:rsidR="00861681" w:rsidRPr="0097587B" w14:paraId="3460BA6E" w14:textId="77777777" w:rsidTr="00F658CE">
        <w:trPr>
          <w:trHeight w:val="227"/>
          <w:jc w:val="center"/>
        </w:trPr>
        <w:tc>
          <w:tcPr>
            <w:tcW w:w="0" w:type="auto"/>
            <w:tcBorders>
              <w:top w:val="nil"/>
              <w:left w:val="nil"/>
              <w:bottom w:val="single" w:sz="4" w:space="0" w:color="auto"/>
              <w:right w:val="nil"/>
            </w:tcBorders>
            <w:shd w:val="clear" w:color="auto" w:fill="auto"/>
            <w:noWrap/>
            <w:vAlign w:val="center"/>
            <w:hideMark/>
          </w:tcPr>
          <w:p w14:paraId="415024C4" w14:textId="77777777" w:rsidR="00861681" w:rsidRPr="0097587B" w:rsidRDefault="00861681" w:rsidP="00861681">
            <w:pPr>
              <w:spacing w:before="0" w:after="0" w:line="360" w:lineRule="auto"/>
              <w:jc w:val="left"/>
              <w:rPr>
                <w:rFonts w:ascii="Arial" w:hAnsi="Arial" w:cs="Arial"/>
                <w:color w:val="000000"/>
                <w:sz w:val="18"/>
              </w:rPr>
            </w:pPr>
            <w:r w:rsidRPr="0097587B">
              <w:rPr>
                <w:rFonts w:ascii="Arial" w:hAnsi="Arial" w:cs="Arial"/>
                <w:color w:val="000000"/>
                <w:sz w:val="18"/>
              </w:rPr>
              <w:t>2014-04-18</w:t>
            </w:r>
          </w:p>
        </w:tc>
        <w:tc>
          <w:tcPr>
            <w:tcW w:w="0" w:type="auto"/>
            <w:tcBorders>
              <w:top w:val="nil"/>
              <w:left w:val="nil"/>
              <w:bottom w:val="single" w:sz="4" w:space="0" w:color="auto"/>
              <w:right w:val="nil"/>
            </w:tcBorders>
            <w:shd w:val="clear" w:color="auto" w:fill="auto"/>
            <w:noWrap/>
            <w:vAlign w:val="center"/>
            <w:hideMark/>
          </w:tcPr>
          <w:p w14:paraId="3A9F52AA" w14:textId="77777777" w:rsidR="00861681" w:rsidRPr="0097587B" w:rsidRDefault="00861681" w:rsidP="00861681">
            <w:pPr>
              <w:spacing w:before="0" w:after="0" w:line="360" w:lineRule="auto"/>
              <w:jc w:val="center"/>
              <w:rPr>
                <w:rFonts w:ascii="Arial" w:hAnsi="Arial" w:cs="Arial"/>
                <w:color w:val="000000"/>
                <w:sz w:val="18"/>
              </w:rPr>
            </w:pPr>
          </w:p>
        </w:tc>
        <w:tc>
          <w:tcPr>
            <w:tcW w:w="0" w:type="auto"/>
            <w:tcBorders>
              <w:top w:val="nil"/>
              <w:left w:val="nil"/>
              <w:bottom w:val="single" w:sz="4" w:space="0" w:color="auto"/>
              <w:right w:val="nil"/>
            </w:tcBorders>
            <w:shd w:val="clear" w:color="auto" w:fill="auto"/>
            <w:noWrap/>
            <w:vAlign w:val="center"/>
            <w:hideMark/>
          </w:tcPr>
          <w:p w14:paraId="0D3306F9" w14:textId="77777777" w:rsidR="00861681" w:rsidRPr="0097587B" w:rsidRDefault="00861681" w:rsidP="00861681">
            <w:pPr>
              <w:spacing w:before="0" w:after="0" w:line="360" w:lineRule="auto"/>
              <w:jc w:val="center"/>
              <w:rPr>
                <w:rFonts w:ascii="Arial" w:hAnsi="Arial" w:cs="Arial"/>
                <w:color w:val="000000"/>
                <w:sz w:val="18"/>
              </w:rPr>
            </w:pPr>
          </w:p>
        </w:tc>
        <w:tc>
          <w:tcPr>
            <w:tcW w:w="0" w:type="auto"/>
            <w:tcBorders>
              <w:top w:val="nil"/>
              <w:left w:val="nil"/>
              <w:bottom w:val="single" w:sz="4" w:space="0" w:color="auto"/>
              <w:right w:val="nil"/>
            </w:tcBorders>
            <w:shd w:val="clear" w:color="auto" w:fill="auto"/>
            <w:noWrap/>
            <w:vAlign w:val="center"/>
            <w:hideMark/>
          </w:tcPr>
          <w:p w14:paraId="799F2F4F" w14:textId="77777777" w:rsidR="00861681" w:rsidRPr="0097587B" w:rsidRDefault="00861681" w:rsidP="00861681">
            <w:pPr>
              <w:spacing w:before="0" w:after="0" w:line="360" w:lineRule="auto"/>
              <w:jc w:val="center"/>
              <w:rPr>
                <w:rFonts w:ascii="Arial" w:hAnsi="Arial" w:cs="Arial"/>
                <w:color w:val="000000"/>
                <w:sz w:val="18"/>
              </w:rPr>
            </w:pPr>
            <w:r w:rsidRPr="0097587B">
              <w:rPr>
                <w:rFonts w:ascii="Arial" w:hAnsi="Arial" w:cs="Arial"/>
                <w:color w:val="000000"/>
                <w:sz w:val="18"/>
              </w:rPr>
              <w:t>10 (4)</w:t>
            </w:r>
          </w:p>
        </w:tc>
        <w:tc>
          <w:tcPr>
            <w:tcW w:w="0" w:type="auto"/>
            <w:tcBorders>
              <w:top w:val="nil"/>
              <w:left w:val="nil"/>
              <w:bottom w:val="single" w:sz="4" w:space="0" w:color="auto"/>
              <w:right w:val="nil"/>
            </w:tcBorders>
            <w:shd w:val="clear" w:color="auto" w:fill="auto"/>
            <w:noWrap/>
            <w:vAlign w:val="center"/>
            <w:hideMark/>
          </w:tcPr>
          <w:p w14:paraId="6AE6D405" w14:textId="77777777" w:rsidR="00861681" w:rsidRPr="0097587B" w:rsidRDefault="00861681" w:rsidP="00861681">
            <w:pPr>
              <w:spacing w:before="0" w:after="0" w:line="360" w:lineRule="auto"/>
              <w:jc w:val="center"/>
              <w:rPr>
                <w:rFonts w:ascii="Arial" w:hAnsi="Arial" w:cs="Arial"/>
                <w:color w:val="000000"/>
                <w:sz w:val="18"/>
              </w:rPr>
            </w:pPr>
            <w:r w:rsidRPr="0097587B">
              <w:rPr>
                <w:rFonts w:ascii="Arial" w:hAnsi="Arial" w:cs="Arial"/>
                <w:color w:val="000000"/>
                <w:sz w:val="18"/>
              </w:rPr>
              <w:t>8 (8)</w:t>
            </w:r>
          </w:p>
        </w:tc>
      </w:tr>
      <w:tr w:rsidR="00861681" w:rsidRPr="0097587B" w14:paraId="7FC20C46" w14:textId="77777777" w:rsidTr="00F658CE">
        <w:trPr>
          <w:trHeight w:val="227"/>
          <w:jc w:val="center"/>
        </w:trPr>
        <w:tc>
          <w:tcPr>
            <w:tcW w:w="0" w:type="auto"/>
            <w:tcBorders>
              <w:top w:val="single" w:sz="4" w:space="0" w:color="auto"/>
              <w:left w:val="nil"/>
              <w:bottom w:val="single" w:sz="4" w:space="0" w:color="auto"/>
              <w:right w:val="nil"/>
            </w:tcBorders>
            <w:shd w:val="clear" w:color="auto" w:fill="auto"/>
            <w:noWrap/>
            <w:vAlign w:val="center"/>
          </w:tcPr>
          <w:p w14:paraId="7DDCD61D" w14:textId="77777777" w:rsidR="00861681" w:rsidRPr="0097587B" w:rsidRDefault="00861681" w:rsidP="00861681">
            <w:pPr>
              <w:spacing w:before="0" w:after="0" w:line="360" w:lineRule="auto"/>
              <w:jc w:val="left"/>
              <w:rPr>
                <w:rFonts w:ascii="Arial" w:hAnsi="Arial" w:cs="Arial"/>
                <w:i/>
                <w:color w:val="000000"/>
                <w:sz w:val="18"/>
              </w:rPr>
            </w:pPr>
            <w:r w:rsidRPr="0097587B">
              <w:rPr>
                <w:rFonts w:ascii="Arial" w:hAnsi="Arial" w:cs="Arial"/>
                <w:i/>
                <w:color w:val="000000"/>
                <w:sz w:val="18"/>
              </w:rPr>
              <w:t>total</w:t>
            </w:r>
          </w:p>
        </w:tc>
        <w:tc>
          <w:tcPr>
            <w:tcW w:w="0" w:type="auto"/>
            <w:tcBorders>
              <w:top w:val="single" w:sz="4" w:space="0" w:color="auto"/>
              <w:left w:val="nil"/>
              <w:bottom w:val="single" w:sz="4" w:space="0" w:color="auto"/>
              <w:right w:val="nil"/>
            </w:tcBorders>
            <w:shd w:val="clear" w:color="auto" w:fill="auto"/>
            <w:noWrap/>
            <w:vAlign w:val="center"/>
          </w:tcPr>
          <w:p w14:paraId="1C0F13AB" w14:textId="77777777" w:rsidR="00861681" w:rsidRPr="0097587B" w:rsidRDefault="00861681" w:rsidP="00861681">
            <w:pPr>
              <w:spacing w:before="0" w:after="0" w:line="360" w:lineRule="auto"/>
              <w:jc w:val="center"/>
              <w:rPr>
                <w:rFonts w:ascii="Arial" w:hAnsi="Arial" w:cs="Arial"/>
                <w:i/>
                <w:color w:val="000000"/>
                <w:sz w:val="18"/>
              </w:rPr>
            </w:pPr>
            <w:r w:rsidRPr="0097587B">
              <w:rPr>
                <w:rFonts w:ascii="Arial" w:hAnsi="Arial" w:cs="Arial"/>
                <w:i/>
                <w:color w:val="000000"/>
                <w:sz w:val="18"/>
              </w:rPr>
              <w:t>68 (20)</w:t>
            </w:r>
          </w:p>
        </w:tc>
        <w:tc>
          <w:tcPr>
            <w:tcW w:w="0" w:type="auto"/>
            <w:tcBorders>
              <w:top w:val="single" w:sz="4" w:space="0" w:color="auto"/>
              <w:left w:val="nil"/>
              <w:bottom w:val="single" w:sz="4" w:space="0" w:color="auto"/>
              <w:right w:val="nil"/>
            </w:tcBorders>
            <w:shd w:val="clear" w:color="auto" w:fill="auto"/>
            <w:noWrap/>
            <w:vAlign w:val="center"/>
          </w:tcPr>
          <w:p w14:paraId="097247CA" w14:textId="77777777" w:rsidR="00861681" w:rsidRPr="0097587B" w:rsidRDefault="00861681" w:rsidP="00861681">
            <w:pPr>
              <w:spacing w:before="0" w:after="0" w:line="360" w:lineRule="auto"/>
              <w:jc w:val="center"/>
              <w:rPr>
                <w:rFonts w:ascii="Arial" w:hAnsi="Arial" w:cs="Arial"/>
                <w:i/>
                <w:color w:val="000000"/>
                <w:sz w:val="18"/>
              </w:rPr>
            </w:pPr>
            <w:r w:rsidRPr="0097587B">
              <w:rPr>
                <w:rFonts w:ascii="Arial" w:hAnsi="Arial" w:cs="Arial"/>
                <w:i/>
                <w:color w:val="000000"/>
                <w:sz w:val="18"/>
              </w:rPr>
              <w:t>67 (31)</w:t>
            </w:r>
          </w:p>
        </w:tc>
        <w:tc>
          <w:tcPr>
            <w:tcW w:w="0" w:type="auto"/>
            <w:tcBorders>
              <w:top w:val="single" w:sz="4" w:space="0" w:color="auto"/>
              <w:left w:val="nil"/>
              <w:bottom w:val="single" w:sz="4" w:space="0" w:color="auto"/>
              <w:right w:val="nil"/>
            </w:tcBorders>
            <w:shd w:val="clear" w:color="auto" w:fill="auto"/>
            <w:noWrap/>
            <w:vAlign w:val="center"/>
          </w:tcPr>
          <w:p w14:paraId="0038BA7F" w14:textId="77777777" w:rsidR="00861681" w:rsidRPr="0097587B" w:rsidRDefault="00861681" w:rsidP="00861681">
            <w:pPr>
              <w:spacing w:before="0" w:after="0" w:line="360" w:lineRule="auto"/>
              <w:jc w:val="center"/>
              <w:rPr>
                <w:rFonts w:ascii="Arial" w:hAnsi="Arial" w:cs="Arial"/>
                <w:i/>
                <w:color w:val="000000"/>
                <w:sz w:val="18"/>
              </w:rPr>
            </w:pPr>
            <w:r w:rsidRPr="0097587B">
              <w:rPr>
                <w:rFonts w:ascii="Arial" w:hAnsi="Arial" w:cs="Arial"/>
                <w:i/>
                <w:color w:val="000000"/>
                <w:sz w:val="18"/>
              </w:rPr>
              <w:t>10 (4)</w:t>
            </w:r>
          </w:p>
        </w:tc>
        <w:tc>
          <w:tcPr>
            <w:tcW w:w="0" w:type="auto"/>
            <w:tcBorders>
              <w:top w:val="single" w:sz="4" w:space="0" w:color="auto"/>
              <w:left w:val="nil"/>
              <w:bottom w:val="single" w:sz="4" w:space="0" w:color="auto"/>
              <w:right w:val="nil"/>
            </w:tcBorders>
            <w:shd w:val="clear" w:color="auto" w:fill="auto"/>
            <w:noWrap/>
            <w:vAlign w:val="center"/>
          </w:tcPr>
          <w:p w14:paraId="1B5750C3" w14:textId="77777777" w:rsidR="00861681" w:rsidRPr="0097587B" w:rsidRDefault="00861681" w:rsidP="00861681">
            <w:pPr>
              <w:spacing w:before="0" w:after="0" w:line="360" w:lineRule="auto"/>
              <w:jc w:val="center"/>
              <w:rPr>
                <w:rFonts w:ascii="Arial" w:hAnsi="Arial" w:cs="Arial"/>
                <w:i/>
                <w:color w:val="000000"/>
                <w:sz w:val="18"/>
              </w:rPr>
            </w:pPr>
            <w:r w:rsidRPr="0097587B">
              <w:rPr>
                <w:rFonts w:ascii="Arial" w:hAnsi="Arial" w:cs="Arial"/>
                <w:i/>
                <w:color w:val="000000"/>
                <w:sz w:val="18"/>
              </w:rPr>
              <w:t>9 (9)</w:t>
            </w:r>
          </w:p>
        </w:tc>
      </w:tr>
    </w:tbl>
    <w:p w14:paraId="525DD3F0" w14:textId="77777777" w:rsidR="0015270F" w:rsidRDefault="0015270F" w:rsidP="0015270F"/>
    <w:p w14:paraId="7498776D" w14:textId="77777777" w:rsidR="0015270F" w:rsidRDefault="0015270F" w:rsidP="0015270F"/>
    <w:p w14:paraId="182A7741" w14:textId="77777777" w:rsidR="0015270F" w:rsidRPr="0015270F" w:rsidRDefault="001056C0" w:rsidP="0015270F">
      <w:pPr>
        <w:rPr>
          <w:rFonts w:cs="Arial"/>
        </w:rPr>
      </w:pPr>
      <w:r>
        <w:rPr>
          <w:noProof/>
        </w:rPr>
        <w:lastRenderedPageBreak/>
        <w:drawing>
          <wp:inline distT="0" distB="0" distL="0" distR="0" wp14:anchorId="223016C3" wp14:editId="6F6FB9CE">
            <wp:extent cx="5732145" cy="7587927"/>
            <wp:effectExtent l="0" t="0" r="1905" b="0"/>
            <wp:docPr id="74" name="Picture 74" descr="Location of the Marine Monitoring Sites sampled in the 2013-2014 wet season under the MMP terrestrial discharge program. Site locations for the three regions (Russell-Mulgrave, Tully and Herbert) are identified by colours (see legend). " title="Location of the Marine Monitoring Sites sampled in the 2013-2014 wet seas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513DE87-B232-41C6-BDE6-725A45F7A641" descr="cid:3FBA711B-9A85-495E-89E6-FEDD98C63A27"/>
                    <pic:cNvPicPr>
                      <a:picLocks noChangeAspect="1" noChangeArrowheads="1"/>
                    </pic:cNvPicPr>
                  </pic:nvPicPr>
                  <pic:blipFill>
                    <a:blip r:embed="rId69" r:link="rId70" cstate="print">
                      <a:extLst>
                        <a:ext uri="{28A0092B-C50C-407E-A947-70E740481C1C}">
                          <a14:useLocalDpi xmlns:a14="http://schemas.microsoft.com/office/drawing/2010/main"/>
                        </a:ext>
                      </a:extLst>
                    </a:blip>
                    <a:srcRect/>
                    <a:stretch>
                      <a:fillRect/>
                    </a:stretch>
                  </pic:blipFill>
                  <pic:spPr bwMode="auto">
                    <a:xfrm>
                      <a:off x="0" y="0"/>
                      <a:ext cx="5732145" cy="7587927"/>
                    </a:xfrm>
                    <a:prstGeom prst="rect">
                      <a:avLst/>
                    </a:prstGeom>
                    <a:noFill/>
                    <a:ln>
                      <a:noFill/>
                    </a:ln>
                  </pic:spPr>
                </pic:pic>
              </a:graphicData>
            </a:graphic>
          </wp:inline>
        </w:drawing>
      </w:r>
    </w:p>
    <w:p w14:paraId="302DA665" w14:textId="50E98A65" w:rsidR="0015270F" w:rsidRDefault="0015270F" w:rsidP="0015270F">
      <w:pPr>
        <w:pStyle w:val="Caption"/>
      </w:pPr>
      <w:bookmarkStart w:id="118" w:name="_Ref428873488"/>
      <w:bookmarkStart w:id="119" w:name="_Toc454303906"/>
      <w:r>
        <w:t xml:space="preserve">Figure </w:t>
      </w:r>
      <w:r w:rsidR="009F4CB0">
        <w:fldChar w:fldCharType="begin"/>
      </w:r>
      <w:r w:rsidR="009F4CB0">
        <w:instrText xml:space="preserve"> STYLEREF 1 \s </w:instrText>
      </w:r>
      <w:r w:rsidR="009F4CB0">
        <w:fldChar w:fldCharType="separate"/>
      </w:r>
      <w:r w:rsidR="000E22F3">
        <w:rPr>
          <w:noProof/>
        </w:rPr>
        <w:t>4</w:t>
      </w:r>
      <w:r w:rsidR="009F4CB0">
        <w:fldChar w:fldCharType="end"/>
      </w:r>
      <w:r w:rsidR="009F4CB0">
        <w:noBreakHyphen/>
      </w:r>
      <w:r w:rsidR="009F4CB0">
        <w:fldChar w:fldCharType="begin"/>
      </w:r>
      <w:r w:rsidR="009F4CB0">
        <w:instrText xml:space="preserve"> SEQ Figure \* ARABIC \s 1 </w:instrText>
      </w:r>
      <w:r w:rsidR="009F4CB0">
        <w:fldChar w:fldCharType="separate"/>
      </w:r>
      <w:r w:rsidR="000E22F3">
        <w:rPr>
          <w:noProof/>
        </w:rPr>
        <w:t>1</w:t>
      </w:r>
      <w:r w:rsidR="009F4CB0">
        <w:fldChar w:fldCharType="end"/>
      </w:r>
      <w:bookmarkEnd w:id="118"/>
      <w:r>
        <w:t xml:space="preserve">: </w:t>
      </w:r>
      <w:r w:rsidRPr="00F50DFB">
        <w:t>Location of the Marine Monitoring Sites sampled in the 201</w:t>
      </w:r>
      <w:r w:rsidR="00FE6D29">
        <w:t>3</w:t>
      </w:r>
      <w:r w:rsidRPr="00F50DFB">
        <w:t>-201</w:t>
      </w:r>
      <w:r w:rsidR="00FE6D29">
        <w:t>4</w:t>
      </w:r>
      <w:r w:rsidRPr="00F50DFB">
        <w:t xml:space="preserve"> wet season under the MMP terrestrial discharge program. Site locations for the </w:t>
      </w:r>
      <w:r w:rsidR="00FE6D29">
        <w:t xml:space="preserve">three regions (Russell-Mulgrave, Tully and Herbert) </w:t>
      </w:r>
      <w:r w:rsidRPr="00F50DFB">
        <w:t>are identified by colours (see legend).</w:t>
      </w:r>
      <w:bookmarkEnd w:id="119"/>
      <w:r>
        <w:t xml:space="preserve"> </w:t>
      </w:r>
    </w:p>
    <w:p w14:paraId="625549DB" w14:textId="77777777" w:rsidR="001F15B7" w:rsidRDefault="001F15B7" w:rsidP="00861681">
      <w:pPr>
        <w:rPr>
          <w:lang w:val="en-GB" w:eastAsia="en-US"/>
        </w:rPr>
      </w:pPr>
    </w:p>
    <w:p w14:paraId="7CFF363D" w14:textId="489EB404" w:rsidR="001F15B7" w:rsidRPr="000C61B5" w:rsidRDefault="001F15B7" w:rsidP="001F15B7">
      <w:r w:rsidRPr="000C61B5">
        <w:lastRenderedPageBreak/>
        <w:t>Sites within the Wet Tropics region extended from the south of Palm Island to the north of the Russell-Mulgrave mouth (</w:t>
      </w:r>
      <w:r w:rsidR="00434EFC">
        <w:fldChar w:fldCharType="begin"/>
      </w:r>
      <w:r w:rsidR="00434EFC">
        <w:instrText xml:space="preserve"> REF _Ref428873488 \h  \* MERGEFORMAT </w:instrText>
      </w:r>
      <w:r w:rsidR="00434EFC">
        <w:fldChar w:fldCharType="separate"/>
      </w:r>
      <w:r w:rsidR="000E22F3">
        <w:t xml:space="preserve">Figure </w:t>
      </w:r>
      <w:r w:rsidR="000E22F3">
        <w:rPr>
          <w:noProof/>
        </w:rPr>
        <w:t>4</w:t>
      </w:r>
      <w:r w:rsidR="000E22F3">
        <w:rPr>
          <w:noProof/>
        </w:rPr>
        <w:noBreakHyphen/>
        <w:t>1</w:t>
      </w:r>
      <w:r w:rsidR="00434EFC">
        <w:fldChar w:fldCharType="end"/>
      </w:r>
      <w:r w:rsidRPr="000C61B5">
        <w:t xml:space="preserve">). Sampling dates covered the period between </w:t>
      </w:r>
      <w:r w:rsidR="00C263E3">
        <w:t xml:space="preserve">8 November </w:t>
      </w:r>
      <w:r w:rsidRPr="000C61B5">
        <w:t xml:space="preserve">2013 to </w:t>
      </w:r>
      <w:r w:rsidR="00C263E3">
        <w:t xml:space="preserve">18 April </w:t>
      </w:r>
      <w:r w:rsidRPr="000C61B5">
        <w:t>2014, where three major flood events were sampled (</w:t>
      </w:r>
      <w:r w:rsidR="00E845F6">
        <w:t xml:space="preserve">Figure 4-2). </w:t>
      </w:r>
      <w:r w:rsidRPr="000C61B5">
        <w:t>Flow rates in 2013-2014 presented the 6</w:t>
      </w:r>
      <w:r w:rsidRPr="000C61B5">
        <w:rPr>
          <w:vertAlign w:val="superscript"/>
        </w:rPr>
        <w:t>th</w:t>
      </w:r>
      <w:r w:rsidRPr="000C61B5">
        <w:t xml:space="preserve"> highest total annual discharge within the last 13 years for the whole GBR but total flow presented very differently for the separate regions (</w:t>
      </w:r>
      <w:r w:rsidR="00434EFC">
        <w:fldChar w:fldCharType="begin"/>
      </w:r>
      <w:r w:rsidR="00434EFC">
        <w:instrText xml:space="preserve"> REF _Ref428873620 \h  \* MERGEFORMAT </w:instrText>
      </w:r>
      <w:r w:rsidR="00434EFC">
        <w:fldChar w:fldCharType="separate"/>
      </w:r>
      <w:r w:rsidR="000E22F3">
        <w:t xml:space="preserve">Figure </w:t>
      </w:r>
      <w:r w:rsidR="000E22F3">
        <w:rPr>
          <w:noProof/>
        </w:rPr>
        <w:t>4</w:t>
      </w:r>
      <w:r w:rsidR="000E22F3">
        <w:rPr>
          <w:noProof/>
        </w:rPr>
        <w:noBreakHyphen/>
        <w:t>3</w:t>
      </w:r>
      <w:r w:rsidR="00434EFC">
        <w:fldChar w:fldCharType="end"/>
      </w:r>
      <w:r w:rsidRPr="000C61B5">
        <w:t>).</w:t>
      </w:r>
    </w:p>
    <w:p w14:paraId="65D0C0A3" w14:textId="437D3E54" w:rsidR="00861681" w:rsidRPr="00ED4712" w:rsidRDefault="00861681" w:rsidP="00861681">
      <w:pPr>
        <w:rPr>
          <w:lang w:val="en-GB" w:eastAsia="en-US"/>
        </w:rPr>
      </w:pPr>
      <w:r w:rsidRPr="00ED4712">
        <w:rPr>
          <w:lang w:val="en-GB" w:eastAsia="en-US"/>
        </w:rPr>
        <w:t>The sampling in Cape York region was aimed at registering the passage of the Ex-tropical cyclone Ita. Sampling sites were visited on 16 and 18 April 2014 over a transect running from the Normanby River mouth to the Kennedy River mouth (total of 46 km, Fig</w:t>
      </w:r>
      <w:r w:rsidR="00E845F6">
        <w:rPr>
          <w:lang w:val="en-GB" w:eastAsia="en-US"/>
        </w:rPr>
        <w:t>ure</w:t>
      </w:r>
      <w:r w:rsidRPr="00ED4712">
        <w:rPr>
          <w:lang w:val="en-GB" w:eastAsia="en-US"/>
        </w:rPr>
        <w:t xml:space="preserve"> </w:t>
      </w:r>
      <w:r>
        <w:rPr>
          <w:lang w:val="en-GB" w:eastAsia="en-US"/>
        </w:rPr>
        <w:t>4-1</w:t>
      </w:r>
      <w:r w:rsidRPr="00ED4712">
        <w:rPr>
          <w:lang w:val="en-GB" w:eastAsia="en-US"/>
        </w:rPr>
        <w:t>). These samples occurred at the highest discharge recorded for the Normanby River for t</w:t>
      </w:r>
      <w:r w:rsidR="00E845F6">
        <w:rPr>
          <w:lang w:val="en-GB" w:eastAsia="en-US"/>
        </w:rPr>
        <w:t>his wet season (175,857 ML, Figure</w:t>
      </w:r>
      <w:r w:rsidRPr="00ED4712">
        <w:rPr>
          <w:lang w:val="en-GB" w:eastAsia="en-US"/>
        </w:rPr>
        <w:t xml:space="preserve"> </w:t>
      </w:r>
      <w:r>
        <w:rPr>
          <w:lang w:val="en-GB" w:eastAsia="en-US"/>
        </w:rPr>
        <w:t>4-2a</w:t>
      </w:r>
      <w:r w:rsidRPr="00ED4712">
        <w:rPr>
          <w:lang w:val="en-GB" w:eastAsia="en-US"/>
        </w:rPr>
        <w:t xml:space="preserve">). The station gauge at the Normanby River starts operating in 2005, since then the 2013-2014 wet season presented the 5th highest discharge (c.a., from </w:t>
      </w:r>
      <w:r w:rsidR="00C263E3" w:rsidRPr="00ED4712">
        <w:rPr>
          <w:lang w:val="en-GB" w:eastAsia="en-US"/>
        </w:rPr>
        <w:t>1</w:t>
      </w:r>
      <w:r w:rsidR="00C263E3">
        <w:rPr>
          <w:lang w:val="en-GB" w:eastAsia="en-US"/>
        </w:rPr>
        <w:t xml:space="preserve"> </w:t>
      </w:r>
      <w:r w:rsidRPr="00ED4712">
        <w:rPr>
          <w:lang w:val="en-GB" w:eastAsia="en-US"/>
        </w:rPr>
        <w:t xml:space="preserve">Nov </w:t>
      </w:r>
      <w:r w:rsidR="00C263E3">
        <w:rPr>
          <w:lang w:val="en-GB" w:eastAsia="en-US"/>
        </w:rPr>
        <w:t>2013 to 30 Apr 2014</w:t>
      </w:r>
      <w:r w:rsidRPr="00ED4712">
        <w:rPr>
          <w:lang w:val="en-GB" w:eastAsia="en-US"/>
        </w:rPr>
        <w:t xml:space="preserve">) over the last 9 years of data (Figure </w:t>
      </w:r>
      <w:r>
        <w:rPr>
          <w:lang w:val="en-GB" w:eastAsia="en-US"/>
        </w:rPr>
        <w:t>4-3a</w:t>
      </w:r>
      <w:r w:rsidRPr="00ED4712">
        <w:rPr>
          <w:lang w:val="en-GB" w:eastAsia="en-US"/>
        </w:rPr>
        <w:t>).</w:t>
      </w:r>
    </w:p>
    <w:p w14:paraId="147B1E6F" w14:textId="77777777" w:rsidR="00861681" w:rsidRDefault="00861681" w:rsidP="00861681">
      <w:pPr>
        <w:rPr>
          <w:lang w:val="en-GB" w:eastAsia="en-US"/>
        </w:rPr>
      </w:pPr>
      <w:r w:rsidRPr="00ED4712">
        <w:rPr>
          <w:lang w:val="en-GB" w:eastAsia="en-US"/>
        </w:rPr>
        <w:t xml:space="preserve">A total of 9 sites were sampled once </w:t>
      </w:r>
      <w:r w:rsidR="001F15B7">
        <w:rPr>
          <w:lang w:val="en-GB" w:eastAsia="en-US"/>
        </w:rPr>
        <w:t xml:space="preserve">over </w:t>
      </w:r>
      <w:r w:rsidRPr="00ED4712">
        <w:rPr>
          <w:lang w:val="en-GB" w:eastAsia="en-US"/>
        </w:rPr>
        <w:t xml:space="preserve">two sampling days. Additionally 9 pesticides grab samples and 9 phytoplankton samples were collected in the area in this wet season. They add up to the previous two years of pesticides and phytoplankton samples in the Cape York region and </w:t>
      </w:r>
      <w:r w:rsidR="001F15B7" w:rsidRPr="00ED4712">
        <w:rPr>
          <w:lang w:val="en-GB" w:eastAsia="en-US"/>
        </w:rPr>
        <w:t>th</w:t>
      </w:r>
      <w:r w:rsidR="001F15B7">
        <w:rPr>
          <w:lang w:val="en-GB" w:eastAsia="en-US"/>
        </w:rPr>
        <w:t>is</w:t>
      </w:r>
      <w:r w:rsidR="001F15B7" w:rsidRPr="00ED4712">
        <w:rPr>
          <w:lang w:val="en-GB" w:eastAsia="en-US"/>
        </w:rPr>
        <w:t xml:space="preserve"> </w:t>
      </w:r>
      <w:r w:rsidRPr="00ED4712">
        <w:rPr>
          <w:lang w:val="en-GB" w:eastAsia="en-US"/>
        </w:rPr>
        <w:t xml:space="preserve">data is </w:t>
      </w:r>
      <w:r w:rsidR="001F15B7">
        <w:rPr>
          <w:lang w:val="en-GB" w:eastAsia="en-US"/>
        </w:rPr>
        <w:t>summarised as part of a Cape York report</w:t>
      </w:r>
      <w:r w:rsidRPr="00ED4712">
        <w:rPr>
          <w:lang w:val="en-GB" w:eastAsia="en-US"/>
        </w:rPr>
        <w:t xml:space="preserve"> (Bentley et al., </w:t>
      </w:r>
      <w:r w:rsidR="001F15B7">
        <w:rPr>
          <w:lang w:val="en-GB" w:eastAsia="en-US"/>
        </w:rPr>
        <w:t>2015) and a preliminary analysis of the phytoplankton community during wet season conditions</w:t>
      </w:r>
      <w:r w:rsidRPr="00ED4712">
        <w:rPr>
          <w:lang w:val="en-GB" w:eastAsia="en-US"/>
        </w:rPr>
        <w:t xml:space="preserve"> </w:t>
      </w:r>
      <w:r w:rsidR="00C263E3">
        <w:rPr>
          <w:lang w:val="en-GB" w:eastAsia="en-US"/>
        </w:rPr>
        <w:t>(</w:t>
      </w:r>
      <w:r w:rsidRPr="00ED4712">
        <w:rPr>
          <w:lang w:val="en-GB" w:eastAsia="en-US"/>
        </w:rPr>
        <w:t>Devlin et al., 201</w:t>
      </w:r>
      <w:r w:rsidR="001F15B7">
        <w:rPr>
          <w:lang w:val="en-GB" w:eastAsia="en-US"/>
        </w:rPr>
        <w:t>4</w:t>
      </w:r>
      <w:r w:rsidRPr="00ED4712">
        <w:rPr>
          <w:lang w:val="en-GB" w:eastAsia="en-US"/>
        </w:rPr>
        <w:t>). No pesticide passive samplers were deployed in the Cape York region.</w:t>
      </w:r>
    </w:p>
    <w:p w14:paraId="524B4D68" w14:textId="77777777" w:rsidR="00861681" w:rsidRDefault="00861681" w:rsidP="0065493C">
      <w:pPr>
        <w:rPr>
          <w:lang w:val="en-GB" w:eastAsia="en-US"/>
        </w:rPr>
      </w:pPr>
      <w:r>
        <w:rPr>
          <w:lang w:val="en-GB" w:eastAsia="en-US"/>
        </w:rPr>
        <w:t xml:space="preserve"> </w:t>
      </w:r>
      <w:r>
        <w:rPr>
          <w:noProof/>
        </w:rPr>
        <w:drawing>
          <wp:inline distT="0" distB="0" distL="0" distR="0" wp14:anchorId="741E99D0" wp14:editId="5B7433D1">
            <wp:extent cx="5732145" cy="3058829"/>
            <wp:effectExtent l="0" t="0" r="1905" b="8255"/>
            <wp:docPr id="58" name="Picture 58" descr="Total daily discharge (megalitres/day) for the Normanby (a), Russell-Mulgrave (b), Tully (c) and Herbert (d) rivers for the 2013-2014 wet season (Source: DNRM, http://watermonitoring.dnrm.qld.gov.au/host.htm). Dots indicate the sampling dates, and lines indicate the deployment period for the pesticides passive samplers at the Tully River (different colours for each deployment period). Over the second passive sampler deployment (green line), an ‘event’ deployment (blue line, short duration) took place to register the first after highest peak discharge in the wet season." title="Total daily discharge (megalitres/day) for the Normanby (a), Russell-Mulgrave (b), Tully (c) and Herbert (d) rivers for the 2013-2014 wet seas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1" cstate="screen">
                      <a:extLst>
                        <a:ext uri="{28A0092B-C50C-407E-A947-70E740481C1C}">
                          <a14:useLocalDpi xmlns:a14="http://schemas.microsoft.com/office/drawing/2010/main"/>
                        </a:ext>
                      </a:extLst>
                    </a:blip>
                    <a:srcRect/>
                    <a:stretch>
                      <a:fillRect/>
                    </a:stretch>
                  </pic:blipFill>
                  <pic:spPr bwMode="auto">
                    <a:xfrm>
                      <a:off x="0" y="0"/>
                      <a:ext cx="5732145" cy="3058829"/>
                    </a:xfrm>
                    <a:prstGeom prst="rect">
                      <a:avLst/>
                    </a:prstGeom>
                    <a:noFill/>
                  </pic:spPr>
                </pic:pic>
              </a:graphicData>
            </a:graphic>
          </wp:inline>
        </w:drawing>
      </w:r>
    </w:p>
    <w:p w14:paraId="2DE57AC1" w14:textId="2E67D3A0" w:rsidR="00861681" w:rsidRDefault="00861681" w:rsidP="00861681">
      <w:pPr>
        <w:pStyle w:val="Caption"/>
      </w:pPr>
      <w:bookmarkStart w:id="120" w:name="_Toc454303907"/>
      <w:r>
        <w:t xml:space="preserve">Figure </w:t>
      </w:r>
      <w:r w:rsidR="009F4CB0">
        <w:fldChar w:fldCharType="begin"/>
      </w:r>
      <w:r w:rsidR="009F4CB0">
        <w:instrText xml:space="preserve"> STYLEREF 1 \s </w:instrText>
      </w:r>
      <w:r w:rsidR="009F4CB0">
        <w:fldChar w:fldCharType="separate"/>
      </w:r>
      <w:r w:rsidR="000E22F3">
        <w:rPr>
          <w:noProof/>
        </w:rPr>
        <w:t>4</w:t>
      </w:r>
      <w:r w:rsidR="009F4CB0">
        <w:fldChar w:fldCharType="end"/>
      </w:r>
      <w:r w:rsidR="009F4CB0">
        <w:noBreakHyphen/>
      </w:r>
      <w:r w:rsidR="009F4CB0">
        <w:fldChar w:fldCharType="begin"/>
      </w:r>
      <w:r w:rsidR="009F4CB0">
        <w:instrText xml:space="preserve"> SEQ Figure \* ARABIC \s 1 </w:instrText>
      </w:r>
      <w:r w:rsidR="009F4CB0">
        <w:fldChar w:fldCharType="separate"/>
      </w:r>
      <w:r w:rsidR="000E22F3">
        <w:rPr>
          <w:noProof/>
        </w:rPr>
        <w:t>2</w:t>
      </w:r>
      <w:r w:rsidR="009F4CB0">
        <w:fldChar w:fldCharType="end"/>
      </w:r>
      <w:r>
        <w:t xml:space="preserve">: </w:t>
      </w:r>
      <w:r w:rsidRPr="0015270F">
        <w:t xml:space="preserve">Total daily discharge (megalitres/day) for the </w:t>
      </w:r>
      <w:r w:rsidR="00E845F6">
        <w:t xml:space="preserve">(a) </w:t>
      </w:r>
      <w:r>
        <w:t xml:space="preserve">Normanby, </w:t>
      </w:r>
      <w:r w:rsidR="00E845F6">
        <w:t xml:space="preserve">(b) </w:t>
      </w:r>
      <w:r>
        <w:t xml:space="preserve">Russell-Mulgrave, </w:t>
      </w:r>
      <w:r w:rsidR="00E845F6">
        <w:t xml:space="preserve">(c) </w:t>
      </w:r>
      <w:r>
        <w:t xml:space="preserve">Tully and </w:t>
      </w:r>
      <w:r w:rsidR="00E845F6">
        <w:t xml:space="preserve">(d) Herbert </w:t>
      </w:r>
      <w:r w:rsidRPr="0015270F">
        <w:t xml:space="preserve">rivers for the </w:t>
      </w:r>
      <w:r>
        <w:t>2013-2014</w:t>
      </w:r>
      <w:r w:rsidRPr="0015270F">
        <w:t xml:space="preserve"> wet season (Source: DNRM, </w:t>
      </w:r>
      <w:hyperlink r:id="rId72" w:history="1">
        <w:r w:rsidRPr="0015270F">
          <w:rPr>
            <w:rStyle w:val="Hyperlink"/>
            <w:rFonts w:cs="Arial"/>
          </w:rPr>
          <w:t>http://watermonitoring.dnrm.qld.gov.au/host.htm</w:t>
        </w:r>
      </w:hyperlink>
      <w:r w:rsidRPr="0015270F">
        <w:t xml:space="preserve">). </w:t>
      </w:r>
      <w:r w:rsidRPr="00ED4712">
        <w:t>Dots indicate the sampling dates, and lines indicate the deployment period for the pesticides passive samplers</w:t>
      </w:r>
      <w:r>
        <w:t xml:space="preserve"> at the Tully River</w:t>
      </w:r>
      <w:r w:rsidRPr="00ED4712">
        <w:t xml:space="preserve"> (different colours for each deployment period). Over the second passive sampler deployment (green line), an ‘event’ deployment (blue line, short duration) took place to register the first after highest p</w:t>
      </w:r>
      <w:r>
        <w:t>eak discharge in the wet season</w:t>
      </w:r>
      <w:r w:rsidRPr="0015270F">
        <w:t>.</w:t>
      </w:r>
      <w:bookmarkEnd w:id="120"/>
    </w:p>
    <w:p w14:paraId="57A30E23" w14:textId="77777777" w:rsidR="00A64178" w:rsidRPr="00A64178" w:rsidRDefault="00A64178" w:rsidP="00A64178">
      <w:pPr>
        <w:rPr>
          <w:lang w:val="en-GB" w:eastAsia="en-US"/>
        </w:rPr>
      </w:pPr>
    </w:p>
    <w:p w14:paraId="25622E42" w14:textId="77777777" w:rsidR="00861681" w:rsidRPr="0065493C" w:rsidRDefault="007A6214" w:rsidP="0065493C">
      <w:pPr>
        <w:rPr>
          <w:lang w:val="en-GB" w:eastAsia="en-US"/>
        </w:rPr>
      </w:pPr>
      <w:r>
        <w:rPr>
          <w:lang w:val="en-GB" w:eastAsia="en-US"/>
        </w:rPr>
        <w:t>Sites</w:t>
      </w:r>
      <w:r w:rsidRPr="00ED4712">
        <w:rPr>
          <w:lang w:val="en-GB" w:eastAsia="en-US"/>
        </w:rPr>
        <w:t xml:space="preserve"> were sampled several times from November 2013 to April 2014, whereas the Herbert region was sampled</w:t>
      </w:r>
      <w:r>
        <w:rPr>
          <w:lang w:val="en-GB" w:eastAsia="en-US"/>
        </w:rPr>
        <w:t xml:space="preserve"> only</w:t>
      </w:r>
      <w:r w:rsidRPr="00ED4712">
        <w:rPr>
          <w:lang w:val="en-GB" w:eastAsia="en-US"/>
        </w:rPr>
        <w:t xml:space="preserve"> to capture the passage of the Ex-tropical cyclone Ita in mid-April</w:t>
      </w:r>
      <w:r>
        <w:rPr>
          <w:lang w:val="en-GB" w:eastAsia="en-US"/>
        </w:rPr>
        <w:t xml:space="preserve"> (Figure 4-1)</w:t>
      </w:r>
      <w:r w:rsidRPr="00ED4712">
        <w:rPr>
          <w:lang w:val="en-GB" w:eastAsia="en-US"/>
        </w:rPr>
        <w:t xml:space="preserve">.  The </w:t>
      </w:r>
      <w:r w:rsidRPr="00ED4712">
        <w:rPr>
          <w:lang w:val="en-GB" w:eastAsia="en-US"/>
        </w:rPr>
        <w:lastRenderedPageBreak/>
        <w:t xml:space="preserve">Russell-Mulgrave region was sampled 68 times over a transect that runs from the Russell-Mulgrave River mouth to the </w:t>
      </w:r>
      <w:r w:rsidR="00146710">
        <w:rPr>
          <w:lang w:val="en-GB" w:eastAsia="en-US"/>
        </w:rPr>
        <w:t>Frankland</w:t>
      </w:r>
      <w:r>
        <w:rPr>
          <w:lang w:val="en-GB" w:eastAsia="en-US"/>
        </w:rPr>
        <w:t xml:space="preserve"> Island</w:t>
      </w:r>
      <w:r w:rsidR="00146710">
        <w:rPr>
          <w:lang w:val="en-GB" w:eastAsia="en-US"/>
        </w:rPr>
        <w:t xml:space="preserve"> group</w:t>
      </w:r>
      <w:r>
        <w:rPr>
          <w:lang w:val="en-GB" w:eastAsia="en-US"/>
        </w:rPr>
        <w:t xml:space="preserve"> (total of 44 km</w:t>
      </w:r>
      <w:r w:rsidRPr="00ED4712">
        <w:rPr>
          <w:lang w:val="en-GB" w:eastAsia="en-US"/>
        </w:rPr>
        <w:t xml:space="preserve">). The Tully region was sampled 67 times in total over a transect that runs from the Tully Mouth to the Sisters Reef (total of 76 km), and the Herbert region was sampled 10 times over a transect that runs from the Hinchinbrook Channel to </w:t>
      </w:r>
      <w:r>
        <w:rPr>
          <w:lang w:val="en-GB" w:eastAsia="en-US"/>
        </w:rPr>
        <w:t xml:space="preserve">north </w:t>
      </w:r>
      <w:r w:rsidR="00211E84">
        <w:rPr>
          <w:lang w:val="en-GB" w:eastAsia="en-US"/>
        </w:rPr>
        <w:t>(total of 43 km</w:t>
      </w:r>
      <w:r w:rsidR="00211E84" w:rsidRPr="00ED4712">
        <w:rPr>
          <w:lang w:val="en-GB" w:eastAsia="en-US"/>
        </w:rPr>
        <w:t>)</w:t>
      </w:r>
      <w:r w:rsidR="00211E84">
        <w:rPr>
          <w:lang w:val="en-GB" w:eastAsia="en-US"/>
        </w:rPr>
        <w:t>, and the Normanby region was sampled 9 times over a transect that runs from the Normanby River to the Kennedy River (total 82 km)</w:t>
      </w:r>
      <w:r w:rsidR="00211E84" w:rsidRPr="00ED4712">
        <w:rPr>
          <w:lang w:val="en-GB" w:eastAsia="en-US"/>
        </w:rPr>
        <w:t>.</w:t>
      </w:r>
    </w:p>
    <w:p w14:paraId="42954FC6" w14:textId="77777777" w:rsidR="0015270F" w:rsidRPr="0015270F" w:rsidRDefault="00861681" w:rsidP="0015270F">
      <w:pPr>
        <w:rPr>
          <w:rFonts w:cs="Arial"/>
        </w:rPr>
      </w:pPr>
      <w:r>
        <w:rPr>
          <w:rFonts w:cs="Arial"/>
          <w:noProof/>
        </w:rPr>
        <w:drawing>
          <wp:inline distT="0" distB="0" distL="0" distR="0" wp14:anchorId="6E3A82EC" wp14:editId="7FE41A57">
            <wp:extent cx="5732145" cy="2742203"/>
            <wp:effectExtent l="0" t="0" r="1905" b="1270"/>
            <wp:docPr id="59" name="Picture 59" descr="Total annual discharge (ML, megalitres),, calculated from November, 1st to April, 30th, for the Normanby (a), Russell-Mulgrave (b), Tully (c) and Herbert (d) rivers from the 2000-2001 to 2013-2014 wet season (Source: DNRM, http://watermonitoring.dnrm.qld.gov.au/host.htm)." title="Total annual discharg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3" cstate="screen">
                      <a:extLst>
                        <a:ext uri="{28A0092B-C50C-407E-A947-70E740481C1C}">
                          <a14:useLocalDpi xmlns:a14="http://schemas.microsoft.com/office/drawing/2010/main"/>
                        </a:ext>
                      </a:extLst>
                    </a:blip>
                    <a:srcRect/>
                    <a:stretch>
                      <a:fillRect/>
                    </a:stretch>
                  </pic:blipFill>
                  <pic:spPr bwMode="auto">
                    <a:xfrm>
                      <a:off x="0" y="0"/>
                      <a:ext cx="5732145" cy="2742203"/>
                    </a:xfrm>
                    <a:prstGeom prst="rect">
                      <a:avLst/>
                    </a:prstGeom>
                    <a:noFill/>
                  </pic:spPr>
                </pic:pic>
              </a:graphicData>
            </a:graphic>
          </wp:inline>
        </w:drawing>
      </w:r>
    </w:p>
    <w:p w14:paraId="752248CD" w14:textId="77777777" w:rsidR="0015270F" w:rsidRPr="0015270F" w:rsidRDefault="0015270F" w:rsidP="0015270F">
      <w:pPr>
        <w:rPr>
          <w:rFonts w:cs="Arial"/>
        </w:rPr>
      </w:pPr>
    </w:p>
    <w:p w14:paraId="3F4FD390" w14:textId="71D92B0D" w:rsidR="0015270F" w:rsidRDefault="0015270F" w:rsidP="0015270F">
      <w:pPr>
        <w:pStyle w:val="Caption"/>
      </w:pPr>
      <w:bookmarkStart w:id="121" w:name="_Ref428873620"/>
      <w:bookmarkStart w:id="122" w:name="_Toc454303908"/>
      <w:r>
        <w:t xml:space="preserve">Figure </w:t>
      </w:r>
      <w:r w:rsidR="009F4CB0">
        <w:fldChar w:fldCharType="begin"/>
      </w:r>
      <w:r w:rsidR="009F4CB0">
        <w:instrText xml:space="preserve"> STYLEREF 1 \s </w:instrText>
      </w:r>
      <w:r w:rsidR="009F4CB0">
        <w:fldChar w:fldCharType="separate"/>
      </w:r>
      <w:r w:rsidR="000E22F3">
        <w:rPr>
          <w:noProof/>
        </w:rPr>
        <w:t>4</w:t>
      </w:r>
      <w:r w:rsidR="009F4CB0">
        <w:fldChar w:fldCharType="end"/>
      </w:r>
      <w:r w:rsidR="009F4CB0">
        <w:noBreakHyphen/>
      </w:r>
      <w:r w:rsidR="009F4CB0">
        <w:fldChar w:fldCharType="begin"/>
      </w:r>
      <w:r w:rsidR="009F4CB0">
        <w:instrText xml:space="preserve"> SEQ Figure \* ARABIC \s 1 </w:instrText>
      </w:r>
      <w:r w:rsidR="009F4CB0">
        <w:fldChar w:fldCharType="separate"/>
      </w:r>
      <w:r w:rsidR="000E22F3">
        <w:rPr>
          <w:noProof/>
        </w:rPr>
        <w:t>3</w:t>
      </w:r>
      <w:r w:rsidR="009F4CB0">
        <w:fldChar w:fldCharType="end"/>
      </w:r>
      <w:bookmarkEnd w:id="121"/>
      <w:r>
        <w:t xml:space="preserve">:  </w:t>
      </w:r>
      <w:r w:rsidRPr="0015270F">
        <w:t>Total annual discharge (ML, megalitres)</w:t>
      </w:r>
      <w:r w:rsidR="00861681">
        <w:t xml:space="preserve">, </w:t>
      </w:r>
      <w:r w:rsidR="00861681" w:rsidRPr="0015270F">
        <w:t xml:space="preserve">calculated from 1 </w:t>
      </w:r>
      <w:r w:rsidR="00A7160D">
        <w:t>November</w:t>
      </w:r>
      <w:r w:rsidR="00A7160D" w:rsidRPr="0015270F">
        <w:t xml:space="preserve"> </w:t>
      </w:r>
      <w:r w:rsidR="00861681" w:rsidRPr="0015270F">
        <w:t xml:space="preserve">to </w:t>
      </w:r>
      <w:r w:rsidR="00A7160D">
        <w:t xml:space="preserve">30 </w:t>
      </w:r>
      <w:r w:rsidR="00861681">
        <w:t>April</w:t>
      </w:r>
      <w:r w:rsidR="00A7160D">
        <w:t xml:space="preserve"> 2014</w:t>
      </w:r>
      <w:r w:rsidR="00861681" w:rsidRPr="0015270F">
        <w:t xml:space="preserve">, for </w:t>
      </w:r>
      <w:r w:rsidR="00861681" w:rsidRPr="00ED4712">
        <w:t xml:space="preserve">the </w:t>
      </w:r>
      <w:r w:rsidR="00A7160D" w:rsidRPr="00ED4712">
        <w:t>(a)</w:t>
      </w:r>
      <w:r w:rsidR="00A7160D">
        <w:t xml:space="preserve"> </w:t>
      </w:r>
      <w:r w:rsidR="00861681" w:rsidRPr="00ED4712">
        <w:t xml:space="preserve">Normanby, </w:t>
      </w:r>
      <w:r w:rsidR="00A7160D" w:rsidRPr="00ED4712">
        <w:t xml:space="preserve">(b) </w:t>
      </w:r>
      <w:r w:rsidR="00861681" w:rsidRPr="00ED4712">
        <w:t>Russell-Mulgrave</w:t>
      </w:r>
      <w:r w:rsidR="00A7160D">
        <w:t>,</w:t>
      </w:r>
      <w:r w:rsidR="00861681" w:rsidRPr="00ED4712">
        <w:t xml:space="preserve"> </w:t>
      </w:r>
      <w:r w:rsidR="00A7160D" w:rsidRPr="00ED4712">
        <w:t xml:space="preserve">(c) </w:t>
      </w:r>
      <w:r w:rsidR="00861681" w:rsidRPr="00ED4712">
        <w:t xml:space="preserve">Tully and </w:t>
      </w:r>
      <w:r w:rsidR="00A7160D" w:rsidRPr="00ED4712">
        <w:t xml:space="preserve">(d) </w:t>
      </w:r>
      <w:r w:rsidR="00861681" w:rsidRPr="00ED4712">
        <w:t xml:space="preserve">Herbert rivers </w:t>
      </w:r>
      <w:r w:rsidR="00861681">
        <w:t>from</w:t>
      </w:r>
      <w:r w:rsidR="00861681" w:rsidRPr="00ED4712">
        <w:t xml:space="preserve"> </w:t>
      </w:r>
      <w:r w:rsidR="00861681">
        <w:t>the 2000-2001 to</w:t>
      </w:r>
      <w:r w:rsidR="00861681" w:rsidRPr="00ED4712">
        <w:t xml:space="preserve"> 2013-2014 wet season </w:t>
      </w:r>
      <w:r w:rsidR="00861681" w:rsidRPr="0015270F">
        <w:t xml:space="preserve">(Source: DNRM, </w:t>
      </w:r>
      <w:hyperlink r:id="rId74" w:history="1">
        <w:r w:rsidR="00861681" w:rsidRPr="00861681">
          <w:rPr>
            <w:rStyle w:val="Hyperlink"/>
            <w:rFonts w:cs="Arial"/>
          </w:rPr>
          <w:t>http://watermonitoring.dnrm.qld.gov.au/host.htm</w:t>
        </w:r>
      </w:hyperlink>
      <w:r w:rsidR="00861681" w:rsidRPr="0015270F">
        <w:t>).</w:t>
      </w:r>
      <w:bookmarkEnd w:id="122"/>
    </w:p>
    <w:p w14:paraId="74741526" w14:textId="77777777" w:rsidR="00861681" w:rsidRPr="0065493C" w:rsidRDefault="00861681" w:rsidP="0065493C">
      <w:pPr>
        <w:rPr>
          <w:lang w:val="en-GB" w:eastAsia="en-US"/>
        </w:rPr>
      </w:pPr>
    </w:p>
    <w:p w14:paraId="03AFF3A6" w14:textId="3F710307" w:rsidR="003A69C4" w:rsidRDefault="0015270F" w:rsidP="00B46AF9">
      <w:pPr>
        <w:pStyle w:val="Heading2"/>
        <w:numPr>
          <w:ilvl w:val="1"/>
          <w:numId w:val="3"/>
        </w:numPr>
      </w:pPr>
      <w:bookmarkStart w:id="123" w:name="_Toc443299473"/>
      <w:bookmarkStart w:id="124" w:name="_Toc443299686"/>
      <w:bookmarkStart w:id="125" w:name="_Toc454304706"/>
      <w:r w:rsidRPr="003A69C4">
        <w:t>Method</w:t>
      </w:r>
      <w:bookmarkEnd w:id="123"/>
      <w:bookmarkEnd w:id="124"/>
      <w:r w:rsidR="00962DBA">
        <w:t>s</w:t>
      </w:r>
      <w:bookmarkEnd w:id="125"/>
    </w:p>
    <w:p w14:paraId="1022DD1B" w14:textId="647D1731" w:rsidR="0015270F" w:rsidRDefault="0015270F" w:rsidP="00B46AF9">
      <w:pPr>
        <w:pStyle w:val="Heading2"/>
      </w:pPr>
      <w:bookmarkStart w:id="126" w:name="_Toc443299474"/>
      <w:bookmarkStart w:id="127" w:name="_Toc443299687"/>
      <w:bookmarkStart w:id="128" w:name="_Toc454304707"/>
      <w:r>
        <w:t>Water sampl</w:t>
      </w:r>
      <w:r w:rsidR="00962DBA">
        <w:t>ing</w:t>
      </w:r>
      <w:r w:rsidR="007A5C85">
        <w:t xml:space="preserve">, </w:t>
      </w:r>
      <w:r w:rsidR="001D6FE0">
        <w:t>2013</w:t>
      </w:r>
      <w:r>
        <w:t>-</w:t>
      </w:r>
      <w:r w:rsidR="001D6FE0">
        <w:t>2014</w:t>
      </w:r>
      <w:bookmarkEnd w:id="126"/>
      <w:bookmarkEnd w:id="127"/>
      <w:bookmarkEnd w:id="128"/>
    </w:p>
    <w:p w14:paraId="24891852" w14:textId="3D944F7D" w:rsidR="009919D4" w:rsidRDefault="009919D4" w:rsidP="009919D4">
      <w:bookmarkStart w:id="129" w:name="_Ref428874797"/>
      <w:r>
        <w:t>Water Quality for</w:t>
      </w:r>
      <w:r w:rsidRPr="007E554A">
        <w:t xml:space="preserve"> the </w:t>
      </w:r>
      <w:r w:rsidR="005006CE">
        <w:t>2013-2014</w:t>
      </w:r>
      <w:r w:rsidRPr="007E554A">
        <w:t xml:space="preserve"> wet season </w:t>
      </w:r>
      <w:r>
        <w:t>is discussed for the Wet Tropics sampling, which includes the sites more often sampled over this wet season. The WQ parameters analysed</w:t>
      </w:r>
      <w:r w:rsidRPr="007E554A">
        <w:t xml:space="preserve"> included the </w:t>
      </w:r>
      <w:r>
        <w:t xml:space="preserve">surface </w:t>
      </w:r>
      <w:r w:rsidRPr="007E554A">
        <w:t xml:space="preserve">samples </w:t>
      </w:r>
      <w:r>
        <w:t xml:space="preserve">(within the first 50 cm) </w:t>
      </w:r>
      <w:r w:rsidRPr="007E554A">
        <w:t xml:space="preserve">of TSS, </w:t>
      </w:r>
      <w:r w:rsidR="00A80E09">
        <w:t>Chl</w:t>
      </w:r>
      <w:r w:rsidRPr="007E554A">
        <w:t>-a</w:t>
      </w:r>
      <w:r>
        <w:t>, CDOM</w:t>
      </w:r>
      <w:r w:rsidRPr="007E554A">
        <w:t xml:space="preserve">, </w:t>
      </w:r>
      <w:r>
        <w:t>DIN, DIP, PN, PP,</w:t>
      </w:r>
      <w:r w:rsidRPr="007E554A">
        <w:t xml:space="preserve"> salinity, temperature</w:t>
      </w:r>
      <w:r>
        <w:t xml:space="preserve"> and Kd(PAR). For full details of field and laboratory methods, refer to the MMP QA/QC manual </w:t>
      </w:r>
      <w:r>
        <w:fldChar w:fldCharType="begin"/>
      </w:r>
      <w:r>
        <w:instrText xml:space="preserve"> ADDIN EN.CITE &lt;EndNote&gt;&lt;Cite&gt;&lt;Author&gt;Anon&lt;/Author&gt;&lt;Year&gt;2013&lt;/Year&gt;&lt;RecNum&gt;1137&lt;/RecNum&gt;&lt;DisplayText&gt;(Anon, 2013, 2014)&lt;/DisplayText&gt;&lt;record&gt;&lt;rec-number&gt;1137&lt;/rec-number&gt;&lt;foreign-keys&gt;&lt;key app="EN" db-id="wwzpfssaux292keptesxd5t6srsfvpzsde2p"&gt;1137&lt;/key&gt;&lt;/foreign-keys&gt;&lt;ref-type name="Report"&gt;27&lt;/ref-type&gt;&lt;contributors&gt;&lt;authors&gt;&lt;author&gt;Anon&lt;/author&gt;&lt;/authors&gt;&lt;secondary-authors&gt;&lt;author&gt;Great Barrier Reef Marine Park Authority&lt;/author&gt;&lt;/secondary-authors&gt;&lt;/contributors&gt;&lt;titles&gt;&lt;title&gt;Reef rescue marine monitoring program quality assurance and quality control manual. 2010/11&lt;/title&gt;&lt;secondary-title&gt;GBRMPA&lt;/secondary-title&gt;&lt;/titles&gt;&lt;dates&gt;&lt;year&gt;2013&lt;/year&gt;&lt;/dates&gt;&lt;pub-location&gt;Townsville&lt;/pub-location&gt;&lt;urls&gt;&lt;/urls&gt;&lt;/record&gt;&lt;/Cite&gt;&lt;Cite&gt;&lt;Author&gt;Anon&lt;/Author&gt;&lt;Year&gt;2014&lt;/Year&gt;&lt;RecNum&gt;1140&lt;/RecNum&gt;&lt;record&gt;&lt;rec-number&gt;1140&lt;/rec-number&gt;&lt;foreign-keys&gt;&lt;key app="EN" db-id="wwzpfssaux292keptesxd5t6srsfvpzsde2p"&gt;1140&lt;/key&gt;&lt;/foreign-keys&gt;&lt;ref-type name="Report"&gt;27&lt;/ref-type&gt;&lt;contributors&gt;&lt;authors&gt;&lt;author&gt;Anon&lt;/author&gt;&lt;/authors&gt;&lt;secondary-authors&gt;&lt;author&gt;Great Barrier Reef Marine Park Authority&lt;/author&gt;&lt;/secondary-authors&gt;&lt;/contributors&gt;&lt;titles&gt;&lt;title&gt;Reef rescue marine monitoring program quality assurance and quality control manual. 2013/14&lt;/title&gt;&lt;secondary-title&gt;GBRMPA&lt;/secondary-title&gt;&lt;/titles&gt;&lt;dates&gt;&lt;year&gt;2014&lt;/year&gt;&lt;/dates&gt;&lt;pub-location&gt;Townsville&lt;/pub-location&gt;&lt;urls&gt;&lt;/urls&gt;&lt;/record&gt;&lt;/Cite&gt;&lt;/EndNote&gt;</w:instrText>
      </w:r>
      <w:r>
        <w:fldChar w:fldCharType="separate"/>
      </w:r>
      <w:r>
        <w:rPr>
          <w:noProof/>
        </w:rPr>
        <w:t>(</w:t>
      </w:r>
      <w:hyperlink w:anchor="_ENREF_2" w:tooltip="Anon, 2013 #1137" w:history="1">
        <w:r>
          <w:rPr>
            <w:noProof/>
          </w:rPr>
          <w:t>Anon, 2013</w:t>
        </w:r>
      </w:hyperlink>
      <w:r>
        <w:rPr>
          <w:noProof/>
        </w:rPr>
        <w:t xml:space="preserve">, </w:t>
      </w:r>
      <w:hyperlink w:anchor="_ENREF_3" w:tooltip="Anon, 2014 #1140" w:history="1">
        <w:r>
          <w:rPr>
            <w:noProof/>
          </w:rPr>
          <w:t>2014</w:t>
        </w:r>
      </w:hyperlink>
      <w:r>
        <w:rPr>
          <w:noProof/>
        </w:rPr>
        <w:t>)</w:t>
      </w:r>
      <w:r>
        <w:fldChar w:fldCharType="end"/>
      </w:r>
      <w:r>
        <w:t xml:space="preserve">. </w:t>
      </w:r>
      <w:r w:rsidRPr="007E554A">
        <w:t>Depth profiling was undertaken</w:t>
      </w:r>
      <w:r>
        <w:t xml:space="preserve"> using </w:t>
      </w:r>
      <w:r w:rsidRPr="00E37776">
        <w:t>a CTD from Sea-Bird Electronics (SBE-19Plus) equipped with sensors for temperature,</w:t>
      </w:r>
      <w:r>
        <w:t xml:space="preserve"> salinity, depth </w:t>
      </w:r>
      <w:r w:rsidRPr="00E37776">
        <w:t>and light. The CTD profiler was kept at the water surface for 3 minutes for sensors stabiliza</w:t>
      </w:r>
      <w:r>
        <w:t>tion before starting downcast. CTD d</w:t>
      </w:r>
      <w:r w:rsidRPr="00E37776">
        <w:t xml:space="preserve">ata reported herein </w:t>
      </w:r>
      <w:r>
        <w:t>represents</w:t>
      </w:r>
      <w:r w:rsidRPr="00E37776">
        <w:t xml:space="preserve"> surface salinity and surface water temperature, calculated as an average of readings between 0.3 m and 0.7 m below the water surface, after visual removal of outliers corresponding to the 3 minutes stabilization period</w:t>
      </w:r>
      <w:r>
        <w:t>.</w:t>
      </w:r>
      <w:r w:rsidRPr="007E554A">
        <w:t xml:space="preserve"> </w:t>
      </w:r>
      <w:r>
        <w:t>Underwater light extinction coefficient (Kd, m</w:t>
      </w:r>
      <w:r w:rsidRPr="009919D4">
        <w:rPr>
          <w:vertAlign w:val="superscript"/>
        </w:rPr>
        <w:t>-1</w:t>
      </w:r>
      <w:r>
        <w:t xml:space="preserve">) was </w:t>
      </w:r>
      <w:r w:rsidRPr="00E37776">
        <w:t xml:space="preserve">calculated using the Lambert-Beer </w:t>
      </w:r>
      <w:r>
        <w:t>equation</w:t>
      </w:r>
      <w:r w:rsidRPr="00E37776">
        <w:t xml:space="preserve"> </w:t>
      </w:r>
      <w:r>
        <w:t>on the CTD light profile with a summary of the parameters collected in the program provided in</w:t>
      </w:r>
      <w:r w:rsidR="00103A43">
        <w:t xml:space="preserve"> Table </w:t>
      </w:r>
      <w:r w:rsidR="00962DBA">
        <w:t>4</w:t>
      </w:r>
      <w:r w:rsidR="00103A43">
        <w:t>-2</w:t>
      </w:r>
      <w:r>
        <w:t>.</w:t>
      </w:r>
    </w:p>
    <w:p w14:paraId="3A76CE84" w14:textId="356D1973" w:rsidR="0015270F" w:rsidRDefault="0015270F" w:rsidP="0015270F">
      <w:pPr>
        <w:pStyle w:val="Caption"/>
      </w:pPr>
      <w:bookmarkStart w:id="130" w:name="_Toc454304607"/>
      <w:r>
        <w:t xml:space="preserve">Table </w:t>
      </w:r>
      <w:r w:rsidR="00445BD2">
        <w:fldChar w:fldCharType="begin"/>
      </w:r>
      <w:r w:rsidR="00445BD2">
        <w:instrText xml:space="preserve"> STYLEREF 1 \s </w:instrText>
      </w:r>
      <w:r w:rsidR="00445BD2">
        <w:fldChar w:fldCharType="separate"/>
      </w:r>
      <w:r w:rsidR="000E22F3">
        <w:rPr>
          <w:noProof/>
        </w:rPr>
        <w:t>4</w:t>
      </w:r>
      <w:r w:rsidR="00445BD2">
        <w:fldChar w:fldCharType="end"/>
      </w:r>
      <w:r w:rsidR="00445BD2">
        <w:noBreakHyphen/>
      </w:r>
      <w:r w:rsidR="00445BD2">
        <w:fldChar w:fldCharType="begin"/>
      </w:r>
      <w:r w:rsidR="00445BD2">
        <w:instrText xml:space="preserve"> SEQ Table \* ARABIC \s 1 </w:instrText>
      </w:r>
      <w:r w:rsidR="00445BD2">
        <w:fldChar w:fldCharType="separate"/>
      </w:r>
      <w:r w:rsidR="000E22F3">
        <w:rPr>
          <w:noProof/>
        </w:rPr>
        <w:t>2</w:t>
      </w:r>
      <w:r w:rsidR="00445BD2">
        <w:fldChar w:fldCharType="end"/>
      </w:r>
      <w:bookmarkEnd w:id="129"/>
      <w:r>
        <w:t xml:space="preserve">: </w:t>
      </w:r>
      <w:r w:rsidRPr="0015270F">
        <w:t>Summary of chemical and biological parameters sampled for the MMP flood plume monitoring.</w:t>
      </w:r>
      <w:bookmarkEnd w:id="130"/>
    </w:p>
    <w:tbl>
      <w:tblPr>
        <w:tblW w:w="5000" w:type="pct"/>
        <w:jc w:val="center"/>
        <w:tblLook w:val="01E0" w:firstRow="1" w:lastRow="1" w:firstColumn="1" w:lastColumn="1" w:noHBand="0" w:noVBand="0"/>
        <w:tblCaption w:val="Summary of chemical and biological parameters sampled for the MMP flood plume monitoring."/>
        <w:tblDescription w:val="Summary of chemical and biological parameters sampled for the MMP flood plume monitoring."/>
      </w:tblPr>
      <w:tblGrid>
        <w:gridCol w:w="2052"/>
        <w:gridCol w:w="3753"/>
        <w:gridCol w:w="2157"/>
        <w:gridCol w:w="1281"/>
      </w:tblGrid>
      <w:tr w:rsidR="009919D4" w:rsidRPr="007A5C85" w14:paraId="4DC29C36" w14:textId="77777777" w:rsidTr="00D47A52">
        <w:trPr>
          <w:trHeight w:val="57"/>
          <w:jc w:val="center"/>
        </w:trPr>
        <w:tc>
          <w:tcPr>
            <w:tcW w:w="1110" w:type="pct"/>
            <w:tcBorders>
              <w:top w:val="single" w:sz="4" w:space="0" w:color="auto"/>
              <w:bottom w:val="single" w:sz="4" w:space="0" w:color="auto"/>
            </w:tcBorders>
          </w:tcPr>
          <w:p w14:paraId="7ADD77CA"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lastRenderedPageBreak/>
              <w:t>Condition</w:t>
            </w:r>
          </w:p>
        </w:tc>
        <w:tc>
          <w:tcPr>
            <w:tcW w:w="2030" w:type="pct"/>
            <w:tcBorders>
              <w:top w:val="single" w:sz="4" w:space="0" w:color="auto"/>
              <w:bottom w:val="single" w:sz="4" w:space="0" w:color="auto"/>
            </w:tcBorders>
          </w:tcPr>
          <w:p w14:paraId="1D49786C"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Parameter</w:t>
            </w:r>
          </w:p>
        </w:tc>
        <w:tc>
          <w:tcPr>
            <w:tcW w:w="1167" w:type="pct"/>
            <w:tcBorders>
              <w:top w:val="single" w:sz="4" w:space="0" w:color="auto"/>
              <w:bottom w:val="single" w:sz="4" w:space="0" w:color="auto"/>
            </w:tcBorders>
          </w:tcPr>
          <w:p w14:paraId="269D7A6A"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Terminology</w:t>
            </w:r>
          </w:p>
        </w:tc>
        <w:tc>
          <w:tcPr>
            <w:tcW w:w="693" w:type="pct"/>
            <w:tcBorders>
              <w:top w:val="single" w:sz="4" w:space="0" w:color="auto"/>
              <w:bottom w:val="single" w:sz="4" w:space="0" w:color="auto"/>
            </w:tcBorders>
          </w:tcPr>
          <w:p w14:paraId="026DEA4F"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Units of Measure</w:t>
            </w:r>
          </w:p>
        </w:tc>
      </w:tr>
      <w:tr w:rsidR="009919D4" w:rsidRPr="007A5C85" w14:paraId="66FEE2E4" w14:textId="77777777" w:rsidTr="00D47A52">
        <w:trPr>
          <w:trHeight w:val="57"/>
          <w:jc w:val="center"/>
        </w:trPr>
        <w:tc>
          <w:tcPr>
            <w:tcW w:w="1110" w:type="pct"/>
            <w:tcBorders>
              <w:top w:val="single" w:sz="4" w:space="0" w:color="auto"/>
              <w:bottom w:val="single" w:sz="4" w:space="0" w:color="auto"/>
            </w:tcBorders>
          </w:tcPr>
          <w:p w14:paraId="3DEF9059"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Physico-chemical</w:t>
            </w:r>
          </w:p>
        </w:tc>
        <w:tc>
          <w:tcPr>
            <w:tcW w:w="2030" w:type="pct"/>
            <w:tcBorders>
              <w:top w:val="single" w:sz="4" w:space="0" w:color="auto"/>
              <w:bottom w:val="single" w:sz="4" w:space="0" w:color="auto"/>
            </w:tcBorders>
          </w:tcPr>
          <w:p w14:paraId="2A8170D0"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Salinity</w:t>
            </w:r>
          </w:p>
        </w:tc>
        <w:tc>
          <w:tcPr>
            <w:tcW w:w="1167" w:type="pct"/>
            <w:tcBorders>
              <w:top w:val="single" w:sz="4" w:space="0" w:color="auto"/>
              <w:bottom w:val="single" w:sz="4" w:space="0" w:color="auto"/>
            </w:tcBorders>
          </w:tcPr>
          <w:p w14:paraId="42D1A42B"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Salinity</w:t>
            </w:r>
          </w:p>
        </w:tc>
        <w:tc>
          <w:tcPr>
            <w:tcW w:w="693" w:type="pct"/>
            <w:tcBorders>
              <w:top w:val="single" w:sz="4" w:space="0" w:color="auto"/>
              <w:bottom w:val="single" w:sz="4" w:space="0" w:color="auto"/>
            </w:tcBorders>
          </w:tcPr>
          <w:p w14:paraId="7F93DFD5"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PSU</w:t>
            </w:r>
          </w:p>
        </w:tc>
      </w:tr>
      <w:tr w:rsidR="009919D4" w:rsidRPr="007A5C85" w14:paraId="552A52E9" w14:textId="77777777" w:rsidTr="00D47A52">
        <w:trPr>
          <w:trHeight w:val="57"/>
          <w:jc w:val="center"/>
        </w:trPr>
        <w:tc>
          <w:tcPr>
            <w:tcW w:w="1110" w:type="pct"/>
            <w:tcBorders>
              <w:top w:val="single" w:sz="4" w:space="0" w:color="auto"/>
              <w:bottom w:val="single" w:sz="4" w:space="0" w:color="auto"/>
            </w:tcBorders>
          </w:tcPr>
          <w:p w14:paraId="5B53300D" w14:textId="77777777" w:rsidR="009919D4" w:rsidRPr="007A5C85" w:rsidRDefault="009919D4" w:rsidP="00D47A52">
            <w:pPr>
              <w:spacing w:before="0" w:after="0"/>
              <w:rPr>
                <w:rStyle w:val="BookTitle"/>
                <w:rFonts w:asciiTheme="minorHAnsi" w:hAnsiTheme="minorHAnsi"/>
              </w:rPr>
            </w:pPr>
          </w:p>
        </w:tc>
        <w:tc>
          <w:tcPr>
            <w:tcW w:w="2030" w:type="pct"/>
            <w:tcBorders>
              <w:top w:val="single" w:sz="4" w:space="0" w:color="auto"/>
              <w:bottom w:val="single" w:sz="4" w:space="0" w:color="auto"/>
            </w:tcBorders>
          </w:tcPr>
          <w:p w14:paraId="216739CB"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Temperature</w:t>
            </w:r>
          </w:p>
        </w:tc>
        <w:tc>
          <w:tcPr>
            <w:tcW w:w="1167" w:type="pct"/>
            <w:tcBorders>
              <w:top w:val="single" w:sz="4" w:space="0" w:color="auto"/>
              <w:bottom w:val="single" w:sz="4" w:space="0" w:color="auto"/>
            </w:tcBorders>
          </w:tcPr>
          <w:p w14:paraId="1020D6C6"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Temperature</w:t>
            </w:r>
          </w:p>
        </w:tc>
        <w:tc>
          <w:tcPr>
            <w:tcW w:w="693" w:type="pct"/>
            <w:tcBorders>
              <w:top w:val="single" w:sz="4" w:space="0" w:color="auto"/>
              <w:bottom w:val="single" w:sz="4" w:space="0" w:color="auto"/>
            </w:tcBorders>
          </w:tcPr>
          <w:p w14:paraId="56DC1BFB"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Celsius degree</w:t>
            </w:r>
          </w:p>
        </w:tc>
      </w:tr>
      <w:tr w:rsidR="009919D4" w:rsidRPr="007A5C85" w14:paraId="03B42479" w14:textId="77777777" w:rsidTr="00D47A52">
        <w:trPr>
          <w:trHeight w:val="57"/>
          <w:jc w:val="center"/>
        </w:trPr>
        <w:tc>
          <w:tcPr>
            <w:tcW w:w="1110" w:type="pct"/>
            <w:tcBorders>
              <w:top w:val="single" w:sz="4" w:space="0" w:color="auto"/>
              <w:bottom w:val="single" w:sz="4" w:space="0" w:color="auto"/>
            </w:tcBorders>
          </w:tcPr>
          <w:p w14:paraId="53BB8F9B" w14:textId="77777777" w:rsidR="009919D4" w:rsidRPr="007A5C85" w:rsidRDefault="009919D4" w:rsidP="00D47A52">
            <w:pPr>
              <w:spacing w:before="0" w:after="0"/>
              <w:rPr>
                <w:rStyle w:val="BookTitle"/>
                <w:rFonts w:asciiTheme="minorHAnsi" w:hAnsiTheme="minorHAnsi"/>
              </w:rPr>
            </w:pPr>
          </w:p>
        </w:tc>
        <w:tc>
          <w:tcPr>
            <w:tcW w:w="2030" w:type="pct"/>
            <w:tcBorders>
              <w:top w:val="single" w:sz="4" w:space="0" w:color="auto"/>
              <w:bottom w:val="single" w:sz="4" w:space="0" w:color="auto"/>
            </w:tcBorders>
          </w:tcPr>
          <w:p w14:paraId="5D811AC7"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Dissolved Oxygen</w:t>
            </w:r>
          </w:p>
        </w:tc>
        <w:tc>
          <w:tcPr>
            <w:tcW w:w="1167" w:type="pct"/>
            <w:tcBorders>
              <w:top w:val="single" w:sz="4" w:space="0" w:color="auto"/>
              <w:bottom w:val="single" w:sz="4" w:space="0" w:color="auto"/>
            </w:tcBorders>
          </w:tcPr>
          <w:p w14:paraId="3CED2C98"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DO</w:t>
            </w:r>
          </w:p>
        </w:tc>
        <w:tc>
          <w:tcPr>
            <w:tcW w:w="693" w:type="pct"/>
            <w:tcBorders>
              <w:top w:val="single" w:sz="4" w:space="0" w:color="auto"/>
              <w:bottom w:val="single" w:sz="4" w:space="0" w:color="auto"/>
            </w:tcBorders>
          </w:tcPr>
          <w:p w14:paraId="71D49710"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mg/L</w:t>
            </w:r>
          </w:p>
        </w:tc>
      </w:tr>
      <w:tr w:rsidR="009919D4" w:rsidRPr="007A5C85" w14:paraId="2CC33118" w14:textId="77777777" w:rsidTr="00D47A52">
        <w:trPr>
          <w:trHeight w:val="57"/>
          <w:jc w:val="center"/>
        </w:trPr>
        <w:tc>
          <w:tcPr>
            <w:tcW w:w="1110" w:type="pct"/>
            <w:tcBorders>
              <w:top w:val="single" w:sz="4" w:space="0" w:color="auto"/>
              <w:bottom w:val="single" w:sz="4" w:space="0" w:color="auto"/>
            </w:tcBorders>
          </w:tcPr>
          <w:p w14:paraId="30E7D98D"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Turbidity</w:t>
            </w:r>
          </w:p>
        </w:tc>
        <w:tc>
          <w:tcPr>
            <w:tcW w:w="2030" w:type="pct"/>
            <w:tcBorders>
              <w:top w:val="single" w:sz="4" w:space="0" w:color="auto"/>
              <w:bottom w:val="single" w:sz="4" w:space="0" w:color="auto"/>
            </w:tcBorders>
          </w:tcPr>
          <w:p w14:paraId="4991B46A"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 xml:space="preserve">Total Suspended Sediment </w:t>
            </w:r>
          </w:p>
        </w:tc>
        <w:tc>
          <w:tcPr>
            <w:tcW w:w="1167" w:type="pct"/>
            <w:tcBorders>
              <w:top w:val="single" w:sz="4" w:space="0" w:color="auto"/>
              <w:bottom w:val="single" w:sz="4" w:space="0" w:color="auto"/>
            </w:tcBorders>
          </w:tcPr>
          <w:p w14:paraId="75C31734"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TSS</w:t>
            </w:r>
          </w:p>
        </w:tc>
        <w:tc>
          <w:tcPr>
            <w:tcW w:w="693" w:type="pct"/>
            <w:tcBorders>
              <w:top w:val="single" w:sz="4" w:space="0" w:color="auto"/>
              <w:bottom w:val="single" w:sz="4" w:space="0" w:color="auto"/>
            </w:tcBorders>
          </w:tcPr>
          <w:p w14:paraId="585E17C8"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mg/L</w:t>
            </w:r>
          </w:p>
        </w:tc>
      </w:tr>
      <w:tr w:rsidR="009919D4" w:rsidRPr="007A5C85" w14:paraId="61F4E316" w14:textId="77777777" w:rsidTr="00D47A52">
        <w:trPr>
          <w:trHeight w:val="57"/>
          <w:jc w:val="center"/>
        </w:trPr>
        <w:tc>
          <w:tcPr>
            <w:tcW w:w="1110" w:type="pct"/>
            <w:tcBorders>
              <w:top w:val="single" w:sz="4" w:space="0" w:color="auto"/>
              <w:bottom w:val="single" w:sz="4" w:space="0" w:color="auto"/>
            </w:tcBorders>
          </w:tcPr>
          <w:p w14:paraId="573F2C9A" w14:textId="77777777" w:rsidR="009919D4" w:rsidRPr="007A5C85" w:rsidRDefault="009919D4" w:rsidP="00D47A52">
            <w:pPr>
              <w:spacing w:before="0" w:after="0"/>
              <w:rPr>
                <w:rStyle w:val="BookTitle"/>
                <w:rFonts w:asciiTheme="minorHAnsi" w:hAnsiTheme="minorHAnsi"/>
              </w:rPr>
            </w:pPr>
          </w:p>
        </w:tc>
        <w:tc>
          <w:tcPr>
            <w:tcW w:w="2030" w:type="pct"/>
            <w:tcBorders>
              <w:top w:val="single" w:sz="4" w:space="0" w:color="auto"/>
              <w:bottom w:val="single" w:sz="4" w:space="0" w:color="auto"/>
            </w:tcBorders>
          </w:tcPr>
          <w:p w14:paraId="2D9EE358"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Light Attenuation</w:t>
            </w:r>
          </w:p>
        </w:tc>
        <w:tc>
          <w:tcPr>
            <w:tcW w:w="1167" w:type="pct"/>
            <w:tcBorders>
              <w:top w:val="single" w:sz="4" w:space="0" w:color="auto"/>
              <w:bottom w:val="single" w:sz="4" w:space="0" w:color="auto"/>
            </w:tcBorders>
          </w:tcPr>
          <w:p w14:paraId="438460D0"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Kd(PAR)</w:t>
            </w:r>
          </w:p>
        </w:tc>
        <w:tc>
          <w:tcPr>
            <w:tcW w:w="693" w:type="pct"/>
            <w:tcBorders>
              <w:top w:val="single" w:sz="4" w:space="0" w:color="auto"/>
              <w:bottom w:val="single" w:sz="4" w:space="0" w:color="auto"/>
            </w:tcBorders>
          </w:tcPr>
          <w:p w14:paraId="4882EE18"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m</w:t>
            </w:r>
            <w:r w:rsidRPr="007A5C85">
              <w:rPr>
                <w:rStyle w:val="BookTitle"/>
                <w:rFonts w:asciiTheme="minorHAnsi" w:hAnsiTheme="minorHAnsi"/>
                <w:vertAlign w:val="superscript"/>
              </w:rPr>
              <w:t>-1</w:t>
            </w:r>
          </w:p>
        </w:tc>
      </w:tr>
      <w:tr w:rsidR="009919D4" w:rsidRPr="007A5C85" w14:paraId="22E93139" w14:textId="77777777" w:rsidTr="00D47A52">
        <w:trPr>
          <w:trHeight w:val="57"/>
          <w:jc w:val="center"/>
        </w:trPr>
        <w:tc>
          <w:tcPr>
            <w:tcW w:w="1110" w:type="pct"/>
            <w:tcBorders>
              <w:top w:val="single" w:sz="4" w:space="0" w:color="auto"/>
              <w:bottom w:val="single" w:sz="4" w:space="0" w:color="auto"/>
            </w:tcBorders>
          </w:tcPr>
          <w:p w14:paraId="0AB8B111" w14:textId="77777777" w:rsidR="009919D4" w:rsidRPr="007A5C85" w:rsidRDefault="009919D4" w:rsidP="00D47A52">
            <w:pPr>
              <w:spacing w:before="0" w:after="0"/>
              <w:rPr>
                <w:rStyle w:val="BookTitle"/>
                <w:rFonts w:asciiTheme="minorHAnsi" w:hAnsiTheme="minorHAnsi"/>
              </w:rPr>
            </w:pPr>
          </w:p>
        </w:tc>
        <w:tc>
          <w:tcPr>
            <w:tcW w:w="2030" w:type="pct"/>
            <w:tcBorders>
              <w:top w:val="single" w:sz="4" w:space="0" w:color="auto"/>
              <w:bottom w:val="single" w:sz="4" w:space="0" w:color="auto"/>
            </w:tcBorders>
          </w:tcPr>
          <w:p w14:paraId="6A6D8621"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Coloured Dissolved Organic Matter</w:t>
            </w:r>
          </w:p>
        </w:tc>
        <w:tc>
          <w:tcPr>
            <w:tcW w:w="1167" w:type="pct"/>
            <w:tcBorders>
              <w:top w:val="single" w:sz="4" w:space="0" w:color="auto"/>
              <w:bottom w:val="single" w:sz="4" w:space="0" w:color="auto"/>
            </w:tcBorders>
          </w:tcPr>
          <w:p w14:paraId="06BF9F98"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CDOM</w:t>
            </w:r>
          </w:p>
        </w:tc>
        <w:tc>
          <w:tcPr>
            <w:tcW w:w="693" w:type="pct"/>
            <w:tcBorders>
              <w:top w:val="single" w:sz="4" w:space="0" w:color="auto"/>
              <w:bottom w:val="single" w:sz="4" w:space="0" w:color="auto"/>
            </w:tcBorders>
          </w:tcPr>
          <w:p w14:paraId="005A4A83"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m</w:t>
            </w:r>
            <w:r w:rsidRPr="007A5C85">
              <w:rPr>
                <w:rStyle w:val="BookTitle"/>
                <w:rFonts w:asciiTheme="minorHAnsi" w:hAnsiTheme="minorHAnsi"/>
                <w:vertAlign w:val="superscript"/>
              </w:rPr>
              <w:t>-1</w:t>
            </w:r>
          </w:p>
        </w:tc>
      </w:tr>
      <w:tr w:rsidR="009919D4" w:rsidRPr="007A5C85" w14:paraId="1C562FF9" w14:textId="77777777" w:rsidTr="00D47A52">
        <w:trPr>
          <w:trHeight w:val="57"/>
          <w:jc w:val="center"/>
        </w:trPr>
        <w:tc>
          <w:tcPr>
            <w:tcW w:w="1110" w:type="pct"/>
            <w:tcBorders>
              <w:top w:val="single" w:sz="4" w:space="0" w:color="auto"/>
              <w:bottom w:val="single" w:sz="4" w:space="0" w:color="auto"/>
            </w:tcBorders>
          </w:tcPr>
          <w:p w14:paraId="671222EF"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Nutrients</w:t>
            </w:r>
          </w:p>
        </w:tc>
        <w:tc>
          <w:tcPr>
            <w:tcW w:w="2030" w:type="pct"/>
            <w:tcBorders>
              <w:top w:val="single" w:sz="4" w:space="0" w:color="auto"/>
              <w:bottom w:val="single" w:sz="4" w:space="0" w:color="auto"/>
            </w:tcBorders>
          </w:tcPr>
          <w:p w14:paraId="3DD32123"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Ammonia as N</w:t>
            </w:r>
          </w:p>
        </w:tc>
        <w:tc>
          <w:tcPr>
            <w:tcW w:w="1167" w:type="pct"/>
            <w:tcBorders>
              <w:top w:val="single" w:sz="4" w:space="0" w:color="auto"/>
              <w:bottom w:val="single" w:sz="4" w:space="0" w:color="auto"/>
            </w:tcBorders>
          </w:tcPr>
          <w:p w14:paraId="67AB0E49"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NH</w:t>
            </w:r>
            <w:r w:rsidRPr="002D69A5">
              <w:rPr>
                <w:rStyle w:val="BookTitle"/>
                <w:rFonts w:asciiTheme="minorHAnsi" w:hAnsiTheme="minorHAnsi"/>
                <w:vertAlign w:val="subscript"/>
              </w:rPr>
              <w:t>4</w:t>
            </w:r>
            <w:r w:rsidR="002D69A5" w:rsidRPr="002D69A5">
              <w:rPr>
                <w:rStyle w:val="BookTitle"/>
                <w:rFonts w:asciiTheme="minorHAnsi" w:hAnsiTheme="minorHAnsi"/>
                <w:vertAlign w:val="superscript"/>
              </w:rPr>
              <w:t>+</w:t>
            </w:r>
          </w:p>
        </w:tc>
        <w:tc>
          <w:tcPr>
            <w:tcW w:w="693" w:type="pct"/>
            <w:tcBorders>
              <w:top w:val="single" w:sz="4" w:space="0" w:color="auto"/>
              <w:bottom w:val="single" w:sz="4" w:space="0" w:color="auto"/>
            </w:tcBorders>
          </w:tcPr>
          <w:p w14:paraId="284FE6CE"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µM</w:t>
            </w:r>
          </w:p>
        </w:tc>
      </w:tr>
      <w:tr w:rsidR="009919D4" w:rsidRPr="007A5C85" w14:paraId="3AAF3E84" w14:textId="77777777" w:rsidTr="00D47A52">
        <w:trPr>
          <w:trHeight w:val="57"/>
          <w:jc w:val="center"/>
        </w:trPr>
        <w:tc>
          <w:tcPr>
            <w:tcW w:w="1110" w:type="pct"/>
            <w:tcBorders>
              <w:top w:val="single" w:sz="4" w:space="0" w:color="auto"/>
              <w:bottom w:val="single" w:sz="4" w:space="0" w:color="auto"/>
            </w:tcBorders>
          </w:tcPr>
          <w:p w14:paraId="317B33B5" w14:textId="77777777" w:rsidR="009919D4" w:rsidRPr="007A5C85" w:rsidRDefault="009919D4" w:rsidP="00D47A52">
            <w:pPr>
              <w:spacing w:before="0" w:after="0"/>
              <w:rPr>
                <w:rStyle w:val="BookTitle"/>
                <w:rFonts w:asciiTheme="minorHAnsi" w:hAnsiTheme="minorHAnsi"/>
              </w:rPr>
            </w:pPr>
          </w:p>
        </w:tc>
        <w:tc>
          <w:tcPr>
            <w:tcW w:w="2030" w:type="pct"/>
            <w:tcBorders>
              <w:top w:val="single" w:sz="4" w:space="0" w:color="auto"/>
              <w:bottom w:val="single" w:sz="4" w:space="0" w:color="auto"/>
            </w:tcBorders>
          </w:tcPr>
          <w:p w14:paraId="5E7B6ED5"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Nitrate</w:t>
            </w:r>
          </w:p>
        </w:tc>
        <w:tc>
          <w:tcPr>
            <w:tcW w:w="1167" w:type="pct"/>
            <w:tcBorders>
              <w:top w:val="single" w:sz="4" w:space="0" w:color="auto"/>
              <w:bottom w:val="single" w:sz="4" w:space="0" w:color="auto"/>
            </w:tcBorders>
          </w:tcPr>
          <w:p w14:paraId="4057D78B"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N0</w:t>
            </w:r>
            <w:r w:rsidRPr="002D69A5">
              <w:rPr>
                <w:rStyle w:val="BookTitle"/>
                <w:rFonts w:asciiTheme="minorHAnsi" w:hAnsiTheme="minorHAnsi"/>
                <w:vertAlign w:val="subscript"/>
              </w:rPr>
              <w:t>3</w:t>
            </w:r>
            <w:r w:rsidR="002D69A5" w:rsidRPr="002D69A5">
              <w:rPr>
                <w:rStyle w:val="BookTitle"/>
                <w:rFonts w:asciiTheme="minorHAnsi" w:hAnsiTheme="minorHAnsi"/>
                <w:vertAlign w:val="superscript"/>
              </w:rPr>
              <w:t>-</w:t>
            </w:r>
          </w:p>
        </w:tc>
        <w:tc>
          <w:tcPr>
            <w:tcW w:w="693" w:type="pct"/>
            <w:tcBorders>
              <w:top w:val="single" w:sz="4" w:space="0" w:color="auto"/>
              <w:bottom w:val="single" w:sz="4" w:space="0" w:color="auto"/>
            </w:tcBorders>
          </w:tcPr>
          <w:p w14:paraId="04F4B422"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µM</w:t>
            </w:r>
          </w:p>
        </w:tc>
      </w:tr>
      <w:tr w:rsidR="009919D4" w:rsidRPr="007A5C85" w14:paraId="0B549B4A" w14:textId="77777777" w:rsidTr="00D47A52">
        <w:trPr>
          <w:trHeight w:val="57"/>
          <w:jc w:val="center"/>
        </w:trPr>
        <w:tc>
          <w:tcPr>
            <w:tcW w:w="1110" w:type="pct"/>
            <w:tcBorders>
              <w:top w:val="single" w:sz="4" w:space="0" w:color="auto"/>
              <w:bottom w:val="single" w:sz="4" w:space="0" w:color="auto"/>
            </w:tcBorders>
          </w:tcPr>
          <w:p w14:paraId="6FFE1056" w14:textId="77777777" w:rsidR="009919D4" w:rsidRPr="007A5C85" w:rsidRDefault="009919D4" w:rsidP="00D47A52">
            <w:pPr>
              <w:spacing w:before="0" w:after="0"/>
              <w:rPr>
                <w:rStyle w:val="BookTitle"/>
                <w:rFonts w:asciiTheme="minorHAnsi" w:hAnsiTheme="minorHAnsi"/>
              </w:rPr>
            </w:pPr>
          </w:p>
        </w:tc>
        <w:tc>
          <w:tcPr>
            <w:tcW w:w="2030" w:type="pct"/>
            <w:tcBorders>
              <w:top w:val="single" w:sz="4" w:space="0" w:color="auto"/>
              <w:bottom w:val="single" w:sz="4" w:space="0" w:color="auto"/>
            </w:tcBorders>
          </w:tcPr>
          <w:p w14:paraId="00C5B0E7"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Nitrite</w:t>
            </w:r>
          </w:p>
        </w:tc>
        <w:tc>
          <w:tcPr>
            <w:tcW w:w="1167" w:type="pct"/>
            <w:tcBorders>
              <w:top w:val="single" w:sz="4" w:space="0" w:color="auto"/>
              <w:bottom w:val="single" w:sz="4" w:space="0" w:color="auto"/>
            </w:tcBorders>
          </w:tcPr>
          <w:p w14:paraId="3B20328F"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NO</w:t>
            </w:r>
            <w:r w:rsidRPr="002D69A5">
              <w:rPr>
                <w:rStyle w:val="BookTitle"/>
                <w:rFonts w:asciiTheme="minorHAnsi" w:hAnsiTheme="minorHAnsi"/>
                <w:vertAlign w:val="subscript"/>
              </w:rPr>
              <w:t>2</w:t>
            </w:r>
            <w:r w:rsidR="002D69A5" w:rsidRPr="002D69A5">
              <w:rPr>
                <w:rStyle w:val="BookTitle"/>
                <w:rFonts w:asciiTheme="minorHAnsi" w:hAnsiTheme="minorHAnsi"/>
                <w:vertAlign w:val="superscript"/>
              </w:rPr>
              <w:t>-</w:t>
            </w:r>
          </w:p>
        </w:tc>
        <w:tc>
          <w:tcPr>
            <w:tcW w:w="693" w:type="pct"/>
            <w:tcBorders>
              <w:top w:val="single" w:sz="4" w:space="0" w:color="auto"/>
              <w:bottom w:val="single" w:sz="4" w:space="0" w:color="auto"/>
            </w:tcBorders>
          </w:tcPr>
          <w:p w14:paraId="5D406AF8"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µM</w:t>
            </w:r>
          </w:p>
        </w:tc>
      </w:tr>
      <w:tr w:rsidR="009919D4" w:rsidRPr="007A5C85" w14:paraId="3E44D379" w14:textId="77777777" w:rsidTr="00D47A52">
        <w:trPr>
          <w:trHeight w:val="57"/>
          <w:jc w:val="center"/>
        </w:trPr>
        <w:tc>
          <w:tcPr>
            <w:tcW w:w="1110" w:type="pct"/>
            <w:tcBorders>
              <w:top w:val="single" w:sz="4" w:space="0" w:color="auto"/>
              <w:bottom w:val="single" w:sz="4" w:space="0" w:color="auto"/>
            </w:tcBorders>
          </w:tcPr>
          <w:p w14:paraId="47D62EA3" w14:textId="77777777" w:rsidR="009919D4" w:rsidRPr="007A5C85" w:rsidRDefault="009919D4" w:rsidP="00D47A52">
            <w:pPr>
              <w:spacing w:before="0" w:after="0"/>
              <w:rPr>
                <w:rStyle w:val="BookTitle"/>
                <w:rFonts w:asciiTheme="minorHAnsi" w:hAnsiTheme="minorHAnsi"/>
              </w:rPr>
            </w:pPr>
          </w:p>
        </w:tc>
        <w:tc>
          <w:tcPr>
            <w:tcW w:w="2030" w:type="pct"/>
            <w:tcBorders>
              <w:top w:val="single" w:sz="4" w:space="0" w:color="auto"/>
              <w:bottom w:val="single" w:sz="4" w:space="0" w:color="auto"/>
            </w:tcBorders>
          </w:tcPr>
          <w:p w14:paraId="7EC80B5D"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Dissolved Inorganic Nitrogen</w:t>
            </w:r>
          </w:p>
        </w:tc>
        <w:tc>
          <w:tcPr>
            <w:tcW w:w="1167" w:type="pct"/>
            <w:tcBorders>
              <w:top w:val="single" w:sz="4" w:space="0" w:color="auto"/>
              <w:bottom w:val="single" w:sz="4" w:space="0" w:color="auto"/>
            </w:tcBorders>
          </w:tcPr>
          <w:p w14:paraId="5B68DB0E"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DIN</w:t>
            </w:r>
          </w:p>
        </w:tc>
        <w:tc>
          <w:tcPr>
            <w:tcW w:w="693" w:type="pct"/>
            <w:tcBorders>
              <w:top w:val="single" w:sz="4" w:space="0" w:color="auto"/>
              <w:bottom w:val="single" w:sz="4" w:space="0" w:color="auto"/>
            </w:tcBorders>
          </w:tcPr>
          <w:p w14:paraId="60A8940E"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µM</w:t>
            </w:r>
          </w:p>
        </w:tc>
      </w:tr>
      <w:tr w:rsidR="009919D4" w:rsidRPr="007A5C85" w14:paraId="1823C18E" w14:textId="77777777" w:rsidTr="00D47A52">
        <w:trPr>
          <w:trHeight w:val="57"/>
          <w:jc w:val="center"/>
        </w:trPr>
        <w:tc>
          <w:tcPr>
            <w:tcW w:w="1110" w:type="pct"/>
            <w:tcBorders>
              <w:top w:val="single" w:sz="4" w:space="0" w:color="auto"/>
              <w:bottom w:val="single" w:sz="4" w:space="0" w:color="auto"/>
            </w:tcBorders>
          </w:tcPr>
          <w:p w14:paraId="7171A27E" w14:textId="77777777" w:rsidR="009919D4" w:rsidRPr="007A5C85" w:rsidRDefault="009919D4" w:rsidP="00D47A52">
            <w:pPr>
              <w:spacing w:before="0" w:after="0"/>
              <w:rPr>
                <w:rStyle w:val="BookTitle"/>
                <w:rFonts w:asciiTheme="minorHAnsi" w:hAnsiTheme="minorHAnsi"/>
              </w:rPr>
            </w:pPr>
          </w:p>
        </w:tc>
        <w:tc>
          <w:tcPr>
            <w:tcW w:w="2030" w:type="pct"/>
            <w:tcBorders>
              <w:top w:val="single" w:sz="4" w:space="0" w:color="auto"/>
              <w:bottom w:val="single" w:sz="4" w:space="0" w:color="auto"/>
            </w:tcBorders>
          </w:tcPr>
          <w:p w14:paraId="2F73BE4D"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Dissolved Inorganic Phosphate</w:t>
            </w:r>
          </w:p>
        </w:tc>
        <w:tc>
          <w:tcPr>
            <w:tcW w:w="1167" w:type="pct"/>
            <w:tcBorders>
              <w:top w:val="single" w:sz="4" w:space="0" w:color="auto"/>
              <w:bottom w:val="single" w:sz="4" w:space="0" w:color="auto"/>
            </w:tcBorders>
          </w:tcPr>
          <w:p w14:paraId="065853A3"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DIP</w:t>
            </w:r>
          </w:p>
        </w:tc>
        <w:tc>
          <w:tcPr>
            <w:tcW w:w="693" w:type="pct"/>
            <w:tcBorders>
              <w:top w:val="single" w:sz="4" w:space="0" w:color="auto"/>
              <w:bottom w:val="single" w:sz="4" w:space="0" w:color="auto"/>
            </w:tcBorders>
          </w:tcPr>
          <w:p w14:paraId="058D4885"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µM</w:t>
            </w:r>
          </w:p>
        </w:tc>
      </w:tr>
      <w:tr w:rsidR="009919D4" w:rsidRPr="007A5C85" w14:paraId="15B81A3C" w14:textId="77777777" w:rsidTr="00D47A52">
        <w:trPr>
          <w:trHeight w:val="57"/>
          <w:jc w:val="center"/>
        </w:trPr>
        <w:tc>
          <w:tcPr>
            <w:tcW w:w="1110" w:type="pct"/>
            <w:tcBorders>
              <w:top w:val="single" w:sz="4" w:space="0" w:color="auto"/>
              <w:bottom w:val="single" w:sz="4" w:space="0" w:color="auto"/>
            </w:tcBorders>
          </w:tcPr>
          <w:p w14:paraId="2EC510A5" w14:textId="77777777" w:rsidR="009919D4" w:rsidRPr="007A5C85" w:rsidRDefault="009919D4" w:rsidP="00D47A52">
            <w:pPr>
              <w:spacing w:before="0" w:after="0"/>
              <w:rPr>
                <w:rStyle w:val="BookTitle"/>
                <w:rFonts w:asciiTheme="minorHAnsi" w:hAnsiTheme="minorHAnsi"/>
              </w:rPr>
            </w:pPr>
          </w:p>
        </w:tc>
        <w:tc>
          <w:tcPr>
            <w:tcW w:w="2030" w:type="pct"/>
            <w:tcBorders>
              <w:top w:val="single" w:sz="4" w:space="0" w:color="auto"/>
              <w:bottom w:val="single" w:sz="4" w:space="0" w:color="auto"/>
            </w:tcBorders>
          </w:tcPr>
          <w:p w14:paraId="591C5C49"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Particulate Phosphorous</w:t>
            </w:r>
          </w:p>
        </w:tc>
        <w:tc>
          <w:tcPr>
            <w:tcW w:w="1167" w:type="pct"/>
            <w:tcBorders>
              <w:top w:val="single" w:sz="4" w:space="0" w:color="auto"/>
              <w:bottom w:val="single" w:sz="4" w:space="0" w:color="auto"/>
            </w:tcBorders>
          </w:tcPr>
          <w:p w14:paraId="300D4E43"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PP</w:t>
            </w:r>
          </w:p>
        </w:tc>
        <w:tc>
          <w:tcPr>
            <w:tcW w:w="693" w:type="pct"/>
            <w:tcBorders>
              <w:top w:val="single" w:sz="4" w:space="0" w:color="auto"/>
              <w:bottom w:val="single" w:sz="4" w:space="0" w:color="auto"/>
            </w:tcBorders>
          </w:tcPr>
          <w:p w14:paraId="09802FD8"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µM</w:t>
            </w:r>
          </w:p>
        </w:tc>
      </w:tr>
      <w:tr w:rsidR="009919D4" w:rsidRPr="007A5C85" w14:paraId="5154816C" w14:textId="77777777" w:rsidTr="00D47A52">
        <w:trPr>
          <w:trHeight w:val="57"/>
          <w:jc w:val="center"/>
        </w:trPr>
        <w:tc>
          <w:tcPr>
            <w:tcW w:w="1110" w:type="pct"/>
            <w:tcBorders>
              <w:top w:val="single" w:sz="4" w:space="0" w:color="auto"/>
              <w:bottom w:val="single" w:sz="4" w:space="0" w:color="auto"/>
            </w:tcBorders>
          </w:tcPr>
          <w:p w14:paraId="52D31C14" w14:textId="77777777" w:rsidR="009919D4" w:rsidRPr="007A5C85" w:rsidRDefault="009919D4" w:rsidP="00D47A52">
            <w:pPr>
              <w:spacing w:before="0" w:after="0"/>
              <w:rPr>
                <w:rStyle w:val="BookTitle"/>
                <w:rFonts w:asciiTheme="minorHAnsi" w:hAnsiTheme="minorHAnsi"/>
              </w:rPr>
            </w:pPr>
          </w:p>
        </w:tc>
        <w:tc>
          <w:tcPr>
            <w:tcW w:w="2030" w:type="pct"/>
            <w:tcBorders>
              <w:top w:val="single" w:sz="4" w:space="0" w:color="auto"/>
              <w:bottom w:val="single" w:sz="4" w:space="0" w:color="auto"/>
            </w:tcBorders>
          </w:tcPr>
          <w:p w14:paraId="07E91285"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Particulate Nitrogen</w:t>
            </w:r>
          </w:p>
        </w:tc>
        <w:tc>
          <w:tcPr>
            <w:tcW w:w="1167" w:type="pct"/>
            <w:tcBorders>
              <w:top w:val="single" w:sz="4" w:space="0" w:color="auto"/>
              <w:bottom w:val="single" w:sz="4" w:space="0" w:color="auto"/>
            </w:tcBorders>
          </w:tcPr>
          <w:p w14:paraId="13783756"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PN</w:t>
            </w:r>
          </w:p>
        </w:tc>
        <w:tc>
          <w:tcPr>
            <w:tcW w:w="693" w:type="pct"/>
            <w:tcBorders>
              <w:top w:val="single" w:sz="4" w:space="0" w:color="auto"/>
              <w:bottom w:val="single" w:sz="4" w:space="0" w:color="auto"/>
            </w:tcBorders>
          </w:tcPr>
          <w:p w14:paraId="05EF8881"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µM</w:t>
            </w:r>
          </w:p>
        </w:tc>
      </w:tr>
      <w:tr w:rsidR="009919D4" w:rsidRPr="007A5C85" w14:paraId="183D7038" w14:textId="77777777" w:rsidTr="00D47A52">
        <w:trPr>
          <w:trHeight w:val="57"/>
          <w:jc w:val="center"/>
        </w:trPr>
        <w:tc>
          <w:tcPr>
            <w:tcW w:w="1110" w:type="pct"/>
            <w:tcBorders>
              <w:top w:val="single" w:sz="4" w:space="0" w:color="auto"/>
              <w:bottom w:val="single" w:sz="4" w:space="0" w:color="auto"/>
            </w:tcBorders>
          </w:tcPr>
          <w:p w14:paraId="31F5EDCB" w14:textId="77777777" w:rsidR="009919D4" w:rsidRPr="007A5C85" w:rsidRDefault="009919D4" w:rsidP="00D47A52">
            <w:pPr>
              <w:spacing w:before="0" w:after="0"/>
              <w:rPr>
                <w:rStyle w:val="BookTitle"/>
                <w:rFonts w:asciiTheme="minorHAnsi" w:hAnsiTheme="minorHAnsi"/>
              </w:rPr>
            </w:pPr>
          </w:p>
        </w:tc>
        <w:tc>
          <w:tcPr>
            <w:tcW w:w="2030" w:type="pct"/>
            <w:tcBorders>
              <w:top w:val="single" w:sz="4" w:space="0" w:color="auto"/>
              <w:bottom w:val="single" w:sz="4" w:space="0" w:color="auto"/>
            </w:tcBorders>
          </w:tcPr>
          <w:p w14:paraId="42B04B41"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Silica</w:t>
            </w:r>
          </w:p>
        </w:tc>
        <w:tc>
          <w:tcPr>
            <w:tcW w:w="1167" w:type="pct"/>
            <w:tcBorders>
              <w:top w:val="single" w:sz="4" w:space="0" w:color="auto"/>
              <w:bottom w:val="single" w:sz="4" w:space="0" w:color="auto"/>
            </w:tcBorders>
          </w:tcPr>
          <w:p w14:paraId="0043D389"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Si</w:t>
            </w:r>
          </w:p>
        </w:tc>
        <w:tc>
          <w:tcPr>
            <w:tcW w:w="693" w:type="pct"/>
            <w:tcBorders>
              <w:top w:val="single" w:sz="4" w:space="0" w:color="auto"/>
              <w:bottom w:val="single" w:sz="4" w:space="0" w:color="auto"/>
            </w:tcBorders>
          </w:tcPr>
          <w:p w14:paraId="4516D6DB"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µM</w:t>
            </w:r>
          </w:p>
        </w:tc>
      </w:tr>
      <w:tr w:rsidR="009919D4" w:rsidRPr="007A5C85" w14:paraId="25ECBFC5" w14:textId="77777777" w:rsidTr="00D47A52">
        <w:trPr>
          <w:trHeight w:val="57"/>
          <w:jc w:val="center"/>
        </w:trPr>
        <w:tc>
          <w:tcPr>
            <w:tcW w:w="1110" w:type="pct"/>
            <w:tcBorders>
              <w:top w:val="single" w:sz="4" w:space="0" w:color="auto"/>
              <w:bottom w:val="single" w:sz="4" w:space="0" w:color="auto"/>
            </w:tcBorders>
          </w:tcPr>
          <w:p w14:paraId="0806E259"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Productivity</w:t>
            </w:r>
          </w:p>
        </w:tc>
        <w:tc>
          <w:tcPr>
            <w:tcW w:w="2030" w:type="pct"/>
            <w:tcBorders>
              <w:top w:val="single" w:sz="4" w:space="0" w:color="auto"/>
              <w:bottom w:val="single" w:sz="4" w:space="0" w:color="auto"/>
            </w:tcBorders>
          </w:tcPr>
          <w:p w14:paraId="0B26272F"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Chlorophyll-a</w:t>
            </w:r>
          </w:p>
        </w:tc>
        <w:tc>
          <w:tcPr>
            <w:tcW w:w="1167" w:type="pct"/>
            <w:tcBorders>
              <w:top w:val="single" w:sz="4" w:space="0" w:color="auto"/>
              <w:bottom w:val="single" w:sz="4" w:space="0" w:color="auto"/>
            </w:tcBorders>
          </w:tcPr>
          <w:p w14:paraId="51B9E80D"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Chl-a</w:t>
            </w:r>
          </w:p>
        </w:tc>
        <w:tc>
          <w:tcPr>
            <w:tcW w:w="693" w:type="pct"/>
            <w:tcBorders>
              <w:top w:val="single" w:sz="4" w:space="0" w:color="auto"/>
              <w:bottom w:val="single" w:sz="4" w:space="0" w:color="auto"/>
            </w:tcBorders>
          </w:tcPr>
          <w:p w14:paraId="64081A7B"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µg/L</w:t>
            </w:r>
          </w:p>
        </w:tc>
      </w:tr>
      <w:tr w:rsidR="009919D4" w:rsidRPr="007A5C85" w14:paraId="6B895695" w14:textId="77777777" w:rsidTr="00D47A52">
        <w:trPr>
          <w:trHeight w:val="57"/>
          <w:jc w:val="center"/>
        </w:trPr>
        <w:tc>
          <w:tcPr>
            <w:tcW w:w="1110" w:type="pct"/>
            <w:tcBorders>
              <w:top w:val="single" w:sz="4" w:space="0" w:color="auto"/>
              <w:bottom w:val="single" w:sz="4" w:space="0" w:color="auto"/>
            </w:tcBorders>
          </w:tcPr>
          <w:p w14:paraId="0685AF4D" w14:textId="77777777" w:rsidR="009919D4" w:rsidRPr="007A5C85" w:rsidRDefault="009919D4" w:rsidP="00D47A52">
            <w:pPr>
              <w:spacing w:before="0" w:after="0"/>
              <w:rPr>
                <w:rStyle w:val="BookTitle"/>
                <w:rFonts w:asciiTheme="minorHAnsi" w:hAnsiTheme="minorHAnsi"/>
              </w:rPr>
            </w:pPr>
          </w:p>
        </w:tc>
        <w:tc>
          <w:tcPr>
            <w:tcW w:w="2030" w:type="pct"/>
            <w:tcBorders>
              <w:top w:val="single" w:sz="4" w:space="0" w:color="auto"/>
              <w:bottom w:val="single" w:sz="4" w:space="0" w:color="auto"/>
            </w:tcBorders>
          </w:tcPr>
          <w:p w14:paraId="51A2E26E"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Phytoplankton counts*</w:t>
            </w:r>
          </w:p>
        </w:tc>
        <w:tc>
          <w:tcPr>
            <w:tcW w:w="1167" w:type="pct"/>
            <w:tcBorders>
              <w:top w:val="single" w:sz="4" w:space="0" w:color="auto"/>
              <w:bottom w:val="single" w:sz="4" w:space="0" w:color="auto"/>
            </w:tcBorders>
          </w:tcPr>
          <w:p w14:paraId="70D57E69"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Phyto</w:t>
            </w:r>
          </w:p>
        </w:tc>
        <w:tc>
          <w:tcPr>
            <w:tcW w:w="693" w:type="pct"/>
            <w:tcBorders>
              <w:top w:val="single" w:sz="4" w:space="0" w:color="auto"/>
              <w:bottom w:val="single" w:sz="4" w:space="0" w:color="auto"/>
            </w:tcBorders>
          </w:tcPr>
          <w:p w14:paraId="495F63ED"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Cells/L</w:t>
            </w:r>
          </w:p>
        </w:tc>
      </w:tr>
      <w:tr w:rsidR="009919D4" w:rsidRPr="007A5C85" w14:paraId="29C99723" w14:textId="77777777" w:rsidTr="00D47A52">
        <w:trPr>
          <w:trHeight w:val="57"/>
          <w:jc w:val="center"/>
        </w:trPr>
        <w:tc>
          <w:tcPr>
            <w:tcW w:w="1110" w:type="pct"/>
            <w:tcBorders>
              <w:top w:val="single" w:sz="4" w:space="0" w:color="auto"/>
              <w:bottom w:val="single" w:sz="4" w:space="0" w:color="auto"/>
            </w:tcBorders>
          </w:tcPr>
          <w:p w14:paraId="0ECB8A04"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Pesticides</w:t>
            </w:r>
          </w:p>
        </w:tc>
        <w:tc>
          <w:tcPr>
            <w:tcW w:w="2030" w:type="pct"/>
            <w:tcBorders>
              <w:top w:val="single" w:sz="4" w:space="0" w:color="auto"/>
              <w:bottom w:val="single" w:sz="4" w:space="0" w:color="auto"/>
            </w:tcBorders>
          </w:tcPr>
          <w:p w14:paraId="317A86E8" w14:textId="77777777" w:rsidR="009919D4" w:rsidRPr="007A5C85" w:rsidRDefault="007A5C85" w:rsidP="00D47A52">
            <w:pPr>
              <w:spacing w:before="0" w:after="0"/>
              <w:rPr>
                <w:rStyle w:val="BookTitle"/>
                <w:rFonts w:asciiTheme="minorHAnsi" w:hAnsiTheme="minorHAnsi"/>
              </w:rPr>
            </w:pPr>
            <w:r>
              <w:rPr>
                <w:rStyle w:val="BookTitle"/>
                <w:rFonts w:asciiTheme="minorHAnsi" w:hAnsiTheme="minorHAnsi"/>
              </w:rPr>
              <w:t>P</w:t>
            </w:r>
            <w:r w:rsidR="009919D4" w:rsidRPr="007A5C85">
              <w:rPr>
                <w:rStyle w:val="BookTitle"/>
                <w:rFonts w:asciiTheme="minorHAnsi" w:hAnsiTheme="minorHAnsi"/>
              </w:rPr>
              <w:t>hotosystem II inhibiting herbicide*</w:t>
            </w:r>
          </w:p>
        </w:tc>
        <w:tc>
          <w:tcPr>
            <w:tcW w:w="1167" w:type="pct"/>
            <w:tcBorders>
              <w:top w:val="single" w:sz="4" w:space="0" w:color="auto"/>
              <w:bottom w:val="single" w:sz="4" w:space="0" w:color="auto"/>
            </w:tcBorders>
          </w:tcPr>
          <w:p w14:paraId="449648C0"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PSII herbicides</w:t>
            </w:r>
          </w:p>
        </w:tc>
        <w:tc>
          <w:tcPr>
            <w:tcW w:w="693" w:type="pct"/>
            <w:tcBorders>
              <w:top w:val="single" w:sz="4" w:space="0" w:color="auto"/>
              <w:bottom w:val="single" w:sz="4" w:space="0" w:color="auto"/>
            </w:tcBorders>
          </w:tcPr>
          <w:p w14:paraId="5471B8C1" w14:textId="77777777" w:rsidR="009919D4" w:rsidRPr="007A5C85" w:rsidRDefault="009919D4" w:rsidP="00D47A52">
            <w:pPr>
              <w:spacing w:before="0" w:after="0"/>
              <w:rPr>
                <w:rStyle w:val="BookTitle"/>
                <w:rFonts w:asciiTheme="minorHAnsi" w:hAnsiTheme="minorHAnsi"/>
              </w:rPr>
            </w:pPr>
            <w:r w:rsidRPr="007A5C85">
              <w:rPr>
                <w:rStyle w:val="BookTitle"/>
                <w:rFonts w:asciiTheme="minorHAnsi" w:hAnsiTheme="minorHAnsi"/>
              </w:rPr>
              <w:t>ng/L</w:t>
            </w:r>
          </w:p>
        </w:tc>
      </w:tr>
      <w:tr w:rsidR="009919D4" w:rsidRPr="007A5C85" w14:paraId="30809769" w14:textId="77777777" w:rsidTr="00D47A52">
        <w:trPr>
          <w:trHeight w:val="57"/>
          <w:jc w:val="center"/>
        </w:trPr>
        <w:tc>
          <w:tcPr>
            <w:tcW w:w="1110" w:type="pct"/>
            <w:tcBorders>
              <w:top w:val="single" w:sz="4" w:space="0" w:color="auto"/>
              <w:bottom w:val="single" w:sz="4" w:space="0" w:color="auto"/>
            </w:tcBorders>
          </w:tcPr>
          <w:p w14:paraId="35B7D715" w14:textId="77777777" w:rsidR="009919D4" w:rsidRPr="007A5C85" w:rsidRDefault="009919D4" w:rsidP="00D47A52">
            <w:pPr>
              <w:spacing w:before="0" w:after="0"/>
              <w:rPr>
                <w:rStyle w:val="BookTitle"/>
                <w:rFonts w:asciiTheme="minorHAnsi" w:hAnsiTheme="minorHAnsi"/>
              </w:rPr>
            </w:pPr>
          </w:p>
        </w:tc>
        <w:tc>
          <w:tcPr>
            <w:tcW w:w="2030" w:type="pct"/>
            <w:tcBorders>
              <w:top w:val="single" w:sz="4" w:space="0" w:color="auto"/>
              <w:bottom w:val="single" w:sz="4" w:space="0" w:color="auto"/>
            </w:tcBorders>
          </w:tcPr>
          <w:p w14:paraId="68C31166" w14:textId="77777777" w:rsidR="009919D4" w:rsidRPr="007A5C85" w:rsidRDefault="009919D4" w:rsidP="00D47A52">
            <w:pPr>
              <w:spacing w:before="0" w:after="0"/>
              <w:rPr>
                <w:rStyle w:val="BookTitle"/>
                <w:rFonts w:asciiTheme="minorHAnsi" w:hAnsiTheme="minorHAnsi"/>
              </w:rPr>
            </w:pPr>
          </w:p>
        </w:tc>
        <w:tc>
          <w:tcPr>
            <w:tcW w:w="1167" w:type="pct"/>
            <w:tcBorders>
              <w:top w:val="single" w:sz="4" w:space="0" w:color="auto"/>
              <w:bottom w:val="single" w:sz="4" w:space="0" w:color="auto"/>
            </w:tcBorders>
          </w:tcPr>
          <w:p w14:paraId="1E7F6EEB" w14:textId="77777777" w:rsidR="009919D4" w:rsidRPr="007A5C85" w:rsidRDefault="009919D4" w:rsidP="00D47A52">
            <w:pPr>
              <w:spacing w:before="0" w:after="0"/>
              <w:rPr>
                <w:rStyle w:val="BookTitle"/>
                <w:rFonts w:asciiTheme="minorHAnsi" w:hAnsiTheme="minorHAnsi"/>
              </w:rPr>
            </w:pPr>
          </w:p>
        </w:tc>
        <w:tc>
          <w:tcPr>
            <w:tcW w:w="693" w:type="pct"/>
            <w:tcBorders>
              <w:top w:val="single" w:sz="4" w:space="0" w:color="auto"/>
              <w:bottom w:val="single" w:sz="4" w:space="0" w:color="auto"/>
            </w:tcBorders>
          </w:tcPr>
          <w:p w14:paraId="19CEE053" w14:textId="77777777" w:rsidR="009919D4" w:rsidRPr="007A5C85" w:rsidRDefault="009919D4" w:rsidP="00D47A52">
            <w:pPr>
              <w:spacing w:before="0" w:after="0"/>
              <w:rPr>
                <w:rStyle w:val="BookTitle"/>
                <w:rFonts w:asciiTheme="minorHAnsi" w:hAnsiTheme="minorHAnsi"/>
              </w:rPr>
            </w:pPr>
          </w:p>
        </w:tc>
      </w:tr>
    </w:tbl>
    <w:p w14:paraId="503D6704" w14:textId="77777777" w:rsidR="0015270F" w:rsidRDefault="0015270F" w:rsidP="0015270F">
      <w:pPr>
        <w:rPr>
          <w:sz w:val="18"/>
          <w:szCs w:val="18"/>
        </w:rPr>
      </w:pPr>
      <w:r w:rsidRPr="0015270F">
        <w:rPr>
          <w:sz w:val="18"/>
          <w:szCs w:val="18"/>
        </w:rPr>
        <w:t xml:space="preserve">* </w:t>
      </w:r>
      <w:r w:rsidR="009919D4">
        <w:rPr>
          <w:sz w:val="18"/>
          <w:szCs w:val="18"/>
        </w:rPr>
        <w:t>Not sampled at all sites</w:t>
      </w:r>
      <w:r w:rsidR="002D69A5">
        <w:rPr>
          <w:sz w:val="18"/>
          <w:szCs w:val="18"/>
        </w:rPr>
        <w:t>.</w:t>
      </w:r>
    </w:p>
    <w:p w14:paraId="5EA5F66B" w14:textId="4766F37E" w:rsidR="0015270F" w:rsidRDefault="0015270F" w:rsidP="00B46AF9">
      <w:pPr>
        <w:pStyle w:val="Heading2"/>
      </w:pPr>
      <w:bookmarkStart w:id="131" w:name="_Toc428793317"/>
      <w:bookmarkStart w:id="132" w:name="_Toc428851336"/>
      <w:bookmarkStart w:id="133" w:name="_Toc443299475"/>
      <w:bookmarkStart w:id="134" w:name="_Toc443299688"/>
      <w:bookmarkStart w:id="135" w:name="_Toc454304708"/>
      <w:r>
        <w:t xml:space="preserve">Data analysis - </w:t>
      </w:r>
      <w:r w:rsidR="00BE1A79">
        <w:t>S</w:t>
      </w:r>
      <w:r>
        <w:t>patial</w:t>
      </w:r>
      <w:bookmarkEnd w:id="131"/>
      <w:bookmarkEnd w:id="132"/>
      <w:bookmarkEnd w:id="133"/>
      <w:bookmarkEnd w:id="134"/>
      <w:bookmarkEnd w:id="135"/>
    </w:p>
    <w:p w14:paraId="1FEB4B47" w14:textId="3533DEE6" w:rsidR="00162359" w:rsidRDefault="00AF1274" w:rsidP="0015270F">
      <w:r>
        <w:t>Two</w:t>
      </w:r>
      <w:r w:rsidR="006D2F0A">
        <w:t xml:space="preserve"> </w:t>
      </w:r>
      <w:r w:rsidR="0015270F">
        <w:t xml:space="preserve">strategies </w:t>
      </w:r>
      <w:r w:rsidR="00861681">
        <w:t>were adopted in order to analyse the sampled data. Firstly, mixing plots were produced for each WQ parameter grouped by sampling events for the main sampled rivers (i.e., rivers with more than 20 samples: Tully and</w:t>
      </w:r>
      <w:r w:rsidR="009919D4">
        <w:t xml:space="preserve"> Russell-Mulgrave). Secondly, </w:t>
      </w:r>
      <w:r w:rsidR="00861681">
        <w:t xml:space="preserve">a correlation table was produced comparing </w:t>
      </w:r>
      <w:r w:rsidR="00861681" w:rsidRPr="00DC605B">
        <w:t>each water quality parameter, grouped</w:t>
      </w:r>
      <w:r w:rsidR="00861681">
        <w:t xml:space="preserve"> by river, against</w:t>
      </w:r>
      <w:r w:rsidR="001D6FE0">
        <w:t xml:space="preserve"> each other and also</w:t>
      </w:r>
      <w:r w:rsidR="00861681">
        <w:t xml:space="preserve"> two supporting parameters (i.e., distance and discharge). Correlations were </w:t>
      </w:r>
      <w:r w:rsidR="00861681" w:rsidRPr="00CD4E47">
        <w:t xml:space="preserve">calculated using the Spearman's rank correlation coefficient because </w:t>
      </w:r>
      <w:r w:rsidR="00861681">
        <w:t xml:space="preserve">the majority of the </w:t>
      </w:r>
      <w:r w:rsidR="00861681" w:rsidRPr="00CD4E47">
        <w:t xml:space="preserve">variables did </w:t>
      </w:r>
      <w:r w:rsidR="00861681">
        <w:t>not present normal distribution (</w:t>
      </w:r>
      <w:r w:rsidR="00434EFC">
        <w:fldChar w:fldCharType="begin"/>
      </w:r>
      <w:r w:rsidR="00434EFC">
        <w:instrText xml:space="preserve"> REF _Ref428787955 \h  \* MERGEFORMAT </w:instrText>
      </w:r>
      <w:r w:rsidR="00434EFC">
        <w:fldChar w:fldCharType="separate"/>
      </w:r>
      <w:r w:rsidR="000E22F3">
        <w:t xml:space="preserve">Table </w:t>
      </w:r>
      <w:r w:rsidR="000E22F3">
        <w:rPr>
          <w:noProof/>
        </w:rPr>
        <w:t>4</w:t>
      </w:r>
      <w:r w:rsidR="000E22F3">
        <w:rPr>
          <w:noProof/>
        </w:rPr>
        <w:noBreakHyphen/>
        <w:t>3</w:t>
      </w:r>
      <w:r w:rsidR="00434EFC">
        <w:fldChar w:fldCharType="end"/>
      </w:r>
      <w:r w:rsidR="00861681">
        <w:t>).</w:t>
      </w:r>
    </w:p>
    <w:p w14:paraId="20B3A58E" w14:textId="3239A0B7" w:rsidR="0015270F" w:rsidRDefault="0015270F" w:rsidP="0095562E">
      <w:pPr>
        <w:pStyle w:val="Caption"/>
      </w:pPr>
      <w:bookmarkStart w:id="136" w:name="_Ref428787955"/>
      <w:bookmarkStart w:id="137" w:name="_Toc454304608"/>
      <w:r>
        <w:t xml:space="preserve">Table </w:t>
      </w:r>
      <w:r w:rsidR="00445BD2">
        <w:fldChar w:fldCharType="begin"/>
      </w:r>
      <w:r w:rsidR="00445BD2">
        <w:instrText xml:space="preserve"> STYLEREF 1 \s </w:instrText>
      </w:r>
      <w:r w:rsidR="00445BD2">
        <w:fldChar w:fldCharType="separate"/>
      </w:r>
      <w:r w:rsidR="000E22F3">
        <w:rPr>
          <w:noProof/>
        </w:rPr>
        <w:t>4</w:t>
      </w:r>
      <w:r w:rsidR="00445BD2">
        <w:fldChar w:fldCharType="end"/>
      </w:r>
      <w:r w:rsidR="00445BD2">
        <w:noBreakHyphen/>
      </w:r>
      <w:r w:rsidR="00445BD2">
        <w:fldChar w:fldCharType="begin"/>
      </w:r>
      <w:r w:rsidR="00445BD2">
        <w:instrText xml:space="preserve"> SEQ Table \* ARABIC \s 1 </w:instrText>
      </w:r>
      <w:r w:rsidR="00445BD2">
        <w:fldChar w:fldCharType="separate"/>
      </w:r>
      <w:r w:rsidR="000E22F3">
        <w:rPr>
          <w:noProof/>
        </w:rPr>
        <w:t>3</w:t>
      </w:r>
      <w:r w:rsidR="00445BD2">
        <w:fldChar w:fldCharType="end"/>
      </w:r>
      <w:bookmarkEnd w:id="136"/>
      <w:r>
        <w:t xml:space="preserve">: </w:t>
      </w:r>
      <w:r w:rsidRPr="0015270F">
        <w:t>Summary of statistical analysis</w:t>
      </w:r>
      <w:r w:rsidR="00BD7FB0">
        <w:t xml:space="preserve"> techniques exploring spatial variation</w:t>
      </w:r>
      <w:r w:rsidRPr="0015270F">
        <w:t xml:space="preserve"> applied to the WQ parameters sampled </w:t>
      </w:r>
      <w:r w:rsidR="00BD7FB0">
        <w:t>within the wet 2012-2013 wet season.</w:t>
      </w:r>
      <w:bookmarkEnd w:id="137"/>
    </w:p>
    <w:tbl>
      <w:tblPr>
        <w:tblpPr w:leftFromText="180" w:rightFromText="180" w:vertAnchor="text" w:horzAnchor="margin" w:tblpY="197"/>
        <w:tblW w:w="9404" w:type="dxa"/>
        <w:tblLook w:val="04A0" w:firstRow="1" w:lastRow="0" w:firstColumn="1" w:lastColumn="0" w:noHBand="0" w:noVBand="1"/>
        <w:tblCaption w:val="Summary of statistical analysis techniques exploring spatial variation applied to the WQ parameters sampled within the wet 2012-2013 wet season"/>
        <w:tblDescription w:val="Summary of statistical analysis techniques exploring spatial variation applied to the WQ parameters sampled within the wet 2012-2013 wet season."/>
      </w:tblPr>
      <w:tblGrid>
        <w:gridCol w:w="1275"/>
        <w:gridCol w:w="3971"/>
        <w:gridCol w:w="4158"/>
      </w:tblGrid>
      <w:tr w:rsidR="002259B1" w:rsidRPr="007A5C85" w14:paraId="0E1E1BE7" w14:textId="77777777" w:rsidTr="002259B1">
        <w:trPr>
          <w:trHeight w:val="170"/>
        </w:trPr>
        <w:tc>
          <w:tcPr>
            <w:tcW w:w="1275" w:type="dxa"/>
            <w:tcBorders>
              <w:top w:val="single" w:sz="4" w:space="0" w:color="auto"/>
              <w:left w:val="nil"/>
              <w:bottom w:val="single" w:sz="4" w:space="0" w:color="auto"/>
              <w:right w:val="nil"/>
            </w:tcBorders>
            <w:shd w:val="clear" w:color="auto" w:fill="auto"/>
            <w:noWrap/>
            <w:vAlign w:val="center"/>
            <w:hideMark/>
          </w:tcPr>
          <w:p w14:paraId="23A728D6" w14:textId="77777777" w:rsidR="002259B1" w:rsidRPr="007A5C85" w:rsidRDefault="002259B1" w:rsidP="002259B1">
            <w:pPr>
              <w:spacing w:before="0" w:after="0"/>
              <w:rPr>
                <w:rStyle w:val="BookTitle"/>
                <w:rFonts w:asciiTheme="minorHAnsi" w:hAnsiTheme="minorHAnsi"/>
              </w:rPr>
            </w:pPr>
            <w:r w:rsidRPr="007A5C85">
              <w:rPr>
                <w:rStyle w:val="BookTitle"/>
                <w:rFonts w:asciiTheme="minorHAnsi" w:hAnsiTheme="minorHAnsi"/>
              </w:rPr>
              <w:t>Statistical approach</w:t>
            </w:r>
          </w:p>
        </w:tc>
        <w:tc>
          <w:tcPr>
            <w:tcW w:w="3971" w:type="dxa"/>
            <w:tcBorders>
              <w:top w:val="single" w:sz="4" w:space="0" w:color="auto"/>
              <w:left w:val="nil"/>
              <w:bottom w:val="single" w:sz="4" w:space="0" w:color="auto"/>
              <w:right w:val="nil"/>
            </w:tcBorders>
            <w:shd w:val="clear" w:color="auto" w:fill="auto"/>
            <w:noWrap/>
            <w:vAlign w:val="center"/>
            <w:hideMark/>
          </w:tcPr>
          <w:p w14:paraId="5ED65DA0" w14:textId="77777777" w:rsidR="002259B1" w:rsidRPr="007A5C85" w:rsidRDefault="002259B1" w:rsidP="002259B1">
            <w:pPr>
              <w:spacing w:before="0" w:after="0"/>
              <w:jc w:val="left"/>
              <w:rPr>
                <w:rStyle w:val="BookTitle"/>
                <w:rFonts w:asciiTheme="minorHAnsi" w:hAnsiTheme="minorHAnsi"/>
              </w:rPr>
            </w:pPr>
            <w:r w:rsidRPr="007A5C85">
              <w:rPr>
                <w:rStyle w:val="BookTitle"/>
                <w:rFonts w:asciiTheme="minorHAnsi" w:hAnsiTheme="minorHAnsi"/>
              </w:rPr>
              <w:t>Data set used and method</w:t>
            </w:r>
          </w:p>
        </w:tc>
        <w:tc>
          <w:tcPr>
            <w:tcW w:w="4158" w:type="dxa"/>
            <w:tcBorders>
              <w:top w:val="single" w:sz="4" w:space="0" w:color="auto"/>
              <w:left w:val="nil"/>
              <w:bottom w:val="single" w:sz="4" w:space="0" w:color="auto"/>
              <w:right w:val="nil"/>
            </w:tcBorders>
            <w:shd w:val="clear" w:color="auto" w:fill="auto"/>
            <w:noWrap/>
            <w:vAlign w:val="center"/>
            <w:hideMark/>
          </w:tcPr>
          <w:p w14:paraId="60D2B2B1" w14:textId="77777777" w:rsidR="002259B1" w:rsidRPr="007A5C85" w:rsidRDefault="002259B1" w:rsidP="002259B1">
            <w:pPr>
              <w:spacing w:before="0" w:after="0"/>
              <w:jc w:val="left"/>
              <w:rPr>
                <w:rStyle w:val="BookTitle"/>
                <w:rFonts w:asciiTheme="minorHAnsi" w:hAnsiTheme="minorHAnsi"/>
              </w:rPr>
            </w:pPr>
            <w:r w:rsidRPr="007A5C85">
              <w:rPr>
                <w:rStyle w:val="BookTitle"/>
                <w:rFonts w:asciiTheme="minorHAnsi" w:hAnsiTheme="minorHAnsi"/>
              </w:rPr>
              <w:t>Potential outcome</w:t>
            </w:r>
          </w:p>
        </w:tc>
      </w:tr>
      <w:tr w:rsidR="002259B1" w:rsidRPr="007A5C85" w14:paraId="1656749E" w14:textId="77777777" w:rsidTr="002259B1">
        <w:trPr>
          <w:trHeight w:val="170"/>
        </w:trPr>
        <w:tc>
          <w:tcPr>
            <w:tcW w:w="1275" w:type="dxa"/>
            <w:tcBorders>
              <w:top w:val="single" w:sz="4" w:space="0" w:color="auto"/>
              <w:left w:val="nil"/>
              <w:right w:val="nil"/>
            </w:tcBorders>
            <w:shd w:val="clear" w:color="auto" w:fill="auto"/>
            <w:noWrap/>
            <w:vAlign w:val="center"/>
          </w:tcPr>
          <w:p w14:paraId="34211A1A" w14:textId="77777777" w:rsidR="002259B1" w:rsidRPr="007A5C85" w:rsidRDefault="002259B1" w:rsidP="002259B1">
            <w:pPr>
              <w:spacing w:before="0" w:after="0"/>
              <w:rPr>
                <w:rStyle w:val="BookTitle"/>
                <w:rFonts w:asciiTheme="minorHAnsi" w:hAnsiTheme="minorHAnsi"/>
              </w:rPr>
            </w:pPr>
            <w:r w:rsidRPr="007A5C85">
              <w:rPr>
                <w:rStyle w:val="BookTitle"/>
                <w:rFonts w:asciiTheme="minorHAnsi" w:hAnsiTheme="minorHAnsi"/>
              </w:rPr>
              <w:t>Mixing plots</w:t>
            </w:r>
          </w:p>
        </w:tc>
        <w:tc>
          <w:tcPr>
            <w:tcW w:w="3971" w:type="dxa"/>
            <w:tcBorders>
              <w:top w:val="single" w:sz="4" w:space="0" w:color="auto"/>
              <w:left w:val="nil"/>
              <w:right w:val="nil"/>
            </w:tcBorders>
            <w:shd w:val="clear" w:color="auto" w:fill="auto"/>
            <w:noWrap/>
            <w:vAlign w:val="center"/>
          </w:tcPr>
          <w:p w14:paraId="74F31F39" w14:textId="77777777" w:rsidR="002259B1" w:rsidRPr="007A5C85" w:rsidRDefault="002259B1" w:rsidP="002259B1">
            <w:pPr>
              <w:spacing w:before="0" w:after="0"/>
              <w:jc w:val="left"/>
              <w:rPr>
                <w:rStyle w:val="BookTitle"/>
                <w:rFonts w:asciiTheme="minorHAnsi" w:hAnsiTheme="minorHAnsi"/>
              </w:rPr>
            </w:pPr>
            <w:r w:rsidRPr="007A5C85">
              <w:rPr>
                <w:rStyle w:val="BookTitle"/>
                <w:rFonts w:asciiTheme="minorHAnsi" w:hAnsiTheme="minorHAnsi"/>
              </w:rPr>
              <w:t>2013-2014 WQ data grouped by sampling events against salinity. Lower salinity point taken by average NRM value &lt; 5 PSU.</w:t>
            </w:r>
          </w:p>
        </w:tc>
        <w:tc>
          <w:tcPr>
            <w:tcW w:w="4158" w:type="dxa"/>
            <w:tcBorders>
              <w:top w:val="single" w:sz="4" w:space="0" w:color="auto"/>
              <w:left w:val="nil"/>
              <w:right w:val="nil"/>
            </w:tcBorders>
            <w:shd w:val="clear" w:color="auto" w:fill="auto"/>
            <w:noWrap/>
            <w:vAlign w:val="center"/>
          </w:tcPr>
          <w:p w14:paraId="2E01CE5C" w14:textId="77777777" w:rsidR="002259B1" w:rsidRPr="007A5C85" w:rsidRDefault="002259B1" w:rsidP="002259B1">
            <w:pPr>
              <w:spacing w:before="0" w:after="0"/>
              <w:jc w:val="left"/>
              <w:rPr>
                <w:rStyle w:val="BookTitle"/>
                <w:rFonts w:asciiTheme="minorHAnsi" w:hAnsiTheme="minorHAnsi"/>
              </w:rPr>
            </w:pPr>
            <w:r w:rsidRPr="007A5C85">
              <w:rPr>
                <w:rStyle w:val="BookTitle"/>
                <w:rFonts w:asciiTheme="minorHAnsi" w:hAnsiTheme="minorHAnsi"/>
              </w:rPr>
              <w:t>Scatter plots identifying superficial mixing profiles and WQ parameter reduction from a potential freshwater value.</w:t>
            </w:r>
          </w:p>
        </w:tc>
      </w:tr>
      <w:tr w:rsidR="002259B1" w:rsidRPr="007A5C85" w14:paraId="1EA31A86" w14:textId="77777777" w:rsidTr="002259B1">
        <w:trPr>
          <w:trHeight w:val="170"/>
        </w:trPr>
        <w:tc>
          <w:tcPr>
            <w:tcW w:w="1275" w:type="dxa"/>
            <w:tcBorders>
              <w:left w:val="nil"/>
              <w:bottom w:val="nil"/>
              <w:right w:val="nil"/>
            </w:tcBorders>
            <w:shd w:val="clear" w:color="auto" w:fill="auto"/>
            <w:noWrap/>
            <w:vAlign w:val="center"/>
          </w:tcPr>
          <w:p w14:paraId="0DC49909" w14:textId="77777777" w:rsidR="002259B1" w:rsidRPr="007A5C85" w:rsidRDefault="002259B1" w:rsidP="002259B1">
            <w:pPr>
              <w:spacing w:before="0" w:after="0"/>
              <w:rPr>
                <w:rStyle w:val="BookTitle"/>
                <w:rFonts w:asciiTheme="minorHAnsi" w:hAnsiTheme="minorHAnsi"/>
              </w:rPr>
            </w:pPr>
          </w:p>
        </w:tc>
        <w:tc>
          <w:tcPr>
            <w:tcW w:w="3971" w:type="dxa"/>
            <w:tcBorders>
              <w:left w:val="nil"/>
              <w:bottom w:val="nil"/>
              <w:right w:val="nil"/>
            </w:tcBorders>
            <w:shd w:val="clear" w:color="auto" w:fill="auto"/>
            <w:noWrap/>
            <w:vAlign w:val="center"/>
          </w:tcPr>
          <w:p w14:paraId="4A2F9442" w14:textId="77777777" w:rsidR="002259B1" w:rsidRPr="007A5C85" w:rsidRDefault="002259B1" w:rsidP="002259B1">
            <w:pPr>
              <w:spacing w:before="0" w:after="0"/>
              <w:jc w:val="left"/>
              <w:rPr>
                <w:rStyle w:val="BookTitle"/>
                <w:rFonts w:asciiTheme="minorHAnsi" w:hAnsiTheme="minorHAnsi"/>
              </w:rPr>
            </w:pPr>
          </w:p>
        </w:tc>
        <w:tc>
          <w:tcPr>
            <w:tcW w:w="4158" w:type="dxa"/>
            <w:tcBorders>
              <w:left w:val="nil"/>
              <w:bottom w:val="nil"/>
              <w:right w:val="nil"/>
            </w:tcBorders>
            <w:shd w:val="clear" w:color="auto" w:fill="auto"/>
            <w:noWrap/>
            <w:vAlign w:val="center"/>
          </w:tcPr>
          <w:p w14:paraId="1E578557" w14:textId="77777777" w:rsidR="002259B1" w:rsidRPr="007A5C85" w:rsidRDefault="002259B1" w:rsidP="002259B1">
            <w:pPr>
              <w:spacing w:before="0" w:after="0"/>
              <w:jc w:val="left"/>
              <w:rPr>
                <w:rStyle w:val="BookTitle"/>
                <w:rFonts w:asciiTheme="minorHAnsi" w:hAnsiTheme="minorHAnsi"/>
              </w:rPr>
            </w:pPr>
          </w:p>
        </w:tc>
      </w:tr>
      <w:tr w:rsidR="002259B1" w:rsidRPr="007A5C85" w14:paraId="4F8BC7F7" w14:textId="77777777" w:rsidTr="002259B1">
        <w:trPr>
          <w:trHeight w:val="170"/>
        </w:trPr>
        <w:tc>
          <w:tcPr>
            <w:tcW w:w="1275" w:type="dxa"/>
            <w:tcBorders>
              <w:top w:val="nil"/>
              <w:left w:val="nil"/>
              <w:right w:val="nil"/>
            </w:tcBorders>
            <w:shd w:val="clear" w:color="auto" w:fill="auto"/>
            <w:noWrap/>
            <w:vAlign w:val="center"/>
            <w:hideMark/>
          </w:tcPr>
          <w:p w14:paraId="723D37D4" w14:textId="77777777" w:rsidR="002259B1" w:rsidRPr="007A5C85" w:rsidRDefault="002259B1" w:rsidP="002259B1">
            <w:pPr>
              <w:spacing w:before="0" w:after="0"/>
              <w:rPr>
                <w:rStyle w:val="BookTitle"/>
                <w:rFonts w:asciiTheme="minorHAnsi" w:hAnsiTheme="minorHAnsi"/>
              </w:rPr>
            </w:pPr>
            <w:r w:rsidRPr="007A5C85">
              <w:rPr>
                <w:rStyle w:val="BookTitle"/>
                <w:rFonts w:asciiTheme="minorHAnsi" w:hAnsiTheme="minorHAnsi"/>
              </w:rPr>
              <w:t>Correlation table</w:t>
            </w:r>
          </w:p>
        </w:tc>
        <w:tc>
          <w:tcPr>
            <w:tcW w:w="3971" w:type="dxa"/>
            <w:tcBorders>
              <w:top w:val="nil"/>
              <w:left w:val="nil"/>
              <w:right w:val="nil"/>
            </w:tcBorders>
            <w:shd w:val="clear" w:color="auto" w:fill="auto"/>
            <w:noWrap/>
            <w:vAlign w:val="center"/>
            <w:hideMark/>
          </w:tcPr>
          <w:p w14:paraId="3193C637" w14:textId="77777777" w:rsidR="002259B1" w:rsidRPr="007A5C85" w:rsidRDefault="002259B1" w:rsidP="002259B1">
            <w:pPr>
              <w:spacing w:before="0" w:after="0"/>
              <w:jc w:val="left"/>
              <w:rPr>
                <w:rStyle w:val="BookTitle"/>
                <w:rFonts w:asciiTheme="minorHAnsi" w:hAnsiTheme="minorHAnsi"/>
              </w:rPr>
            </w:pPr>
            <w:r w:rsidRPr="007A5C85">
              <w:rPr>
                <w:rStyle w:val="BookTitle"/>
                <w:rFonts w:asciiTheme="minorHAnsi" w:hAnsiTheme="minorHAnsi"/>
              </w:rPr>
              <w:t>The Spearman's rank correlation was computed for all 2013-2014 WQ and also distance and river discharge.</w:t>
            </w:r>
          </w:p>
        </w:tc>
        <w:tc>
          <w:tcPr>
            <w:tcW w:w="4158" w:type="dxa"/>
            <w:tcBorders>
              <w:top w:val="nil"/>
              <w:left w:val="nil"/>
              <w:right w:val="nil"/>
            </w:tcBorders>
            <w:shd w:val="clear" w:color="auto" w:fill="auto"/>
            <w:noWrap/>
            <w:vAlign w:val="center"/>
            <w:hideMark/>
          </w:tcPr>
          <w:p w14:paraId="0D27EBBF" w14:textId="77777777" w:rsidR="002259B1" w:rsidRPr="007A5C85" w:rsidRDefault="002259B1" w:rsidP="002259B1">
            <w:pPr>
              <w:spacing w:before="0" w:after="0"/>
              <w:jc w:val="left"/>
              <w:rPr>
                <w:rStyle w:val="BookTitle"/>
                <w:rFonts w:asciiTheme="minorHAnsi" w:hAnsiTheme="minorHAnsi"/>
              </w:rPr>
            </w:pPr>
            <w:r w:rsidRPr="007A5C85">
              <w:rPr>
                <w:rStyle w:val="BookTitle"/>
                <w:rFonts w:asciiTheme="minorHAnsi" w:hAnsiTheme="minorHAnsi"/>
              </w:rPr>
              <w:t>Define correlated WQ parameters between WQ condition and with river discharge and distance.</w:t>
            </w:r>
          </w:p>
        </w:tc>
      </w:tr>
      <w:tr w:rsidR="002259B1" w:rsidRPr="007A5C85" w14:paraId="4B689CFA" w14:textId="77777777" w:rsidTr="002259B1">
        <w:trPr>
          <w:trHeight w:val="52"/>
        </w:trPr>
        <w:tc>
          <w:tcPr>
            <w:tcW w:w="1275" w:type="dxa"/>
            <w:tcBorders>
              <w:top w:val="nil"/>
              <w:left w:val="nil"/>
              <w:bottom w:val="single" w:sz="4" w:space="0" w:color="auto"/>
              <w:right w:val="nil"/>
            </w:tcBorders>
            <w:shd w:val="clear" w:color="auto" w:fill="auto"/>
            <w:noWrap/>
            <w:vAlign w:val="center"/>
          </w:tcPr>
          <w:p w14:paraId="408336CE" w14:textId="77777777" w:rsidR="002259B1" w:rsidRPr="007A5C85" w:rsidRDefault="002259B1" w:rsidP="002259B1">
            <w:pPr>
              <w:spacing w:before="0" w:after="0"/>
              <w:rPr>
                <w:rStyle w:val="BookTitle"/>
                <w:rFonts w:asciiTheme="minorHAnsi" w:hAnsiTheme="minorHAnsi"/>
              </w:rPr>
            </w:pPr>
          </w:p>
        </w:tc>
        <w:tc>
          <w:tcPr>
            <w:tcW w:w="3971" w:type="dxa"/>
            <w:tcBorders>
              <w:top w:val="nil"/>
              <w:left w:val="nil"/>
              <w:bottom w:val="single" w:sz="4" w:space="0" w:color="auto"/>
              <w:right w:val="nil"/>
            </w:tcBorders>
            <w:shd w:val="clear" w:color="auto" w:fill="auto"/>
            <w:noWrap/>
            <w:vAlign w:val="center"/>
          </w:tcPr>
          <w:p w14:paraId="04DA6225" w14:textId="77777777" w:rsidR="002259B1" w:rsidRPr="007A5C85" w:rsidRDefault="002259B1" w:rsidP="002259B1">
            <w:pPr>
              <w:spacing w:before="0" w:after="0"/>
              <w:rPr>
                <w:rStyle w:val="BookTitle"/>
                <w:rFonts w:asciiTheme="minorHAnsi" w:hAnsiTheme="minorHAnsi"/>
              </w:rPr>
            </w:pPr>
          </w:p>
        </w:tc>
        <w:tc>
          <w:tcPr>
            <w:tcW w:w="4158" w:type="dxa"/>
            <w:tcBorders>
              <w:top w:val="nil"/>
              <w:left w:val="nil"/>
              <w:bottom w:val="single" w:sz="4" w:space="0" w:color="auto"/>
              <w:right w:val="nil"/>
            </w:tcBorders>
            <w:shd w:val="clear" w:color="auto" w:fill="auto"/>
            <w:noWrap/>
            <w:vAlign w:val="center"/>
          </w:tcPr>
          <w:p w14:paraId="48F3C8BB" w14:textId="77777777" w:rsidR="002259B1" w:rsidRPr="007A5C85" w:rsidRDefault="002259B1" w:rsidP="002259B1">
            <w:pPr>
              <w:spacing w:before="0" w:after="0"/>
              <w:rPr>
                <w:rStyle w:val="BookTitle"/>
                <w:rFonts w:asciiTheme="minorHAnsi" w:hAnsiTheme="minorHAnsi"/>
              </w:rPr>
            </w:pPr>
          </w:p>
        </w:tc>
      </w:tr>
    </w:tbl>
    <w:p w14:paraId="77C4C840" w14:textId="77777777" w:rsidR="0015270F" w:rsidRPr="0015270F" w:rsidRDefault="0015270F" w:rsidP="00B46AF9">
      <w:pPr>
        <w:pStyle w:val="Heading2"/>
      </w:pPr>
      <w:bookmarkStart w:id="138" w:name="_Toc428793318"/>
      <w:bookmarkStart w:id="139" w:name="_Toc428851337"/>
      <w:bookmarkStart w:id="140" w:name="_Toc443299476"/>
      <w:bookmarkStart w:id="141" w:name="_Toc443299689"/>
      <w:bookmarkStart w:id="142" w:name="_Toc454304709"/>
      <w:r w:rsidRPr="0015270F">
        <w:t>Data analysis – Temporal</w:t>
      </w:r>
      <w:bookmarkEnd w:id="138"/>
      <w:bookmarkEnd w:id="139"/>
      <w:bookmarkEnd w:id="140"/>
      <w:bookmarkEnd w:id="141"/>
      <w:bookmarkEnd w:id="142"/>
    </w:p>
    <w:p w14:paraId="53432860" w14:textId="73F9D323" w:rsidR="009919D4" w:rsidRPr="009919D4" w:rsidRDefault="009919D4" w:rsidP="009919D4">
      <w:pPr>
        <w:rPr>
          <w:lang w:val="en-US"/>
        </w:rPr>
      </w:pPr>
      <w:r w:rsidRPr="009919D4">
        <w:rPr>
          <w:lang w:val="en-US"/>
        </w:rPr>
        <w:t xml:space="preserve">Two strategies were used to investigate the link between river discharge and the WQ parameters sampled </w:t>
      </w:r>
      <w:r w:rsidRPr="008029CF">
        <w:t xml:space="preserve">at </w:t>
      </w:r>
      <w:r>
        <w:t xml:space="preserve">the GBR </w:t>
      </w:r>
      <w:r w:rsidRPr="008029CF">
        <w:t xml:space="preserve">surface waters over </w:t>
      </w:r>
      <w:r w:rsidRPr="009919D4">
        <w:rPr>
          <w:lang w:val="en-US"/>
        </w:rPr>
        <w:t xml:space="preserve">the last 9 wet seasons under the MMP (data sampled form </w:t>
      </w:r>
      <w:r>
        <w:t xml:space="preserve">December 2005 to April 2014, </w:t>
      </w:r>
      <w:r w:rsidRPr="008029CF">
        <w:t>inclusive</w:t>
      </w:r>
      <w:r w:rsidRPr="009919D4">
        <w:rPr>
          <w:lang w:val="en-US"/>
        </w:rPr>
        <w:t xml:space="preserve">). Firstly, regional correlation between WQ parameters against river discharge and salinity were determined by the Spearman's rank correlation coefficient. </w:t>
      </w:r>
      <w:r w:rsidRPr="009919D4">
        <w:rPr>
          <w:lang w:val="en-US"/>
        </w:rPr>
        <w:lastRenderedPageBreak/>
        <w:t xml:space="preserve">A non-parametric correlation was selected because the data set did not presented normal distribution even after data transformation. Secondly, temporal trend in the WQ parameters GBR wide were investigated </w:t>
      </w:r>
      <w:r w:rsidRPr="008029CF">
        <w:t>using Generali</w:t>
      </w:r>
      <w:r w:rsidR="00554012">
        <w:t>s</w:t>
      </w:r>
      <w:r w:rsidRPr="008029CF">
        <w:t xml:space="preserve">ed Additive Mixed Models </w:t>
      </w:r>
      <w:r w:rsidRPr="008029CF">
        <w:fldChar w:fldCharType="begin"/>
      </w:r>
      <w:r w:rsidRPr="008029CF">
        <w:instrText xml:space="preserve"> ADDIN ZOTERO_ITEM CSL_CITATION {"citationID":"2fl56qd47i","properties":{"formattedCitation":"(Crawley, 2007)","plainCitation":"(Crawley, 2007)"},"citationItems":[{"id":60,"uris":["http://zotero.org/users/2324349/items/QR8T7IEI"],"uri":["http://zotero.org/users/2324349/items/QR8T7IEI"],"itemData":{"id":60,"type":"book","title":"The R Book","publisher":"John Wiley &amp; Sons, Ltd","publisher-place":"Imperial College London at Silwood Park, UK","number-of-pages":"942","source":"www.bookdepository.com","event-place":"Imperial College London at Silwood Park, UK","URL":"http://www.bookdepository.com/R-Book-Mick-Crawley/9780470973929","author":[{"family":"Crawley","given":"Michael J."}],"issued":{"date-parts":[["2007"]]},"accessed":{"date-parts":[["2015",5,21]]}}}],"schema":"https://github.com/citation-style-language/schema/raw/master/csl-citation.json"} </w:instrText>
      </w:r>
      <w:r w:rsidRPr="008029CF">
        <w:fldChar w:fldCharType="separate"/>
      </w:r>
      <w:r w:rsidRPr="008029CF">
        <w:t>(GAMM, Crawley, 2007)</w:t>
      </w:r>
      <w:r w:rsidRPr="008029CF">
        <w:fldChar w:fldCharType="end"/>
      </w:r>
      <w:r w:rsidRPr="008029CF">
        <w:t xml:space="preserve"> in R language </w:t>
      </w:r>
      <w:r w:rsidRPr="008029CF">
        <w:fldChar w:fldCharType="begin"/>
      </w:r>
      <w:r w:rsidRPr="008029CF">
        <w:instrText xml:space="preserve"> ADDIN ZOTERO_ITEM CSL_CITATION {"citationID":"xbR7D09C","properties":{"formattedCitation":"(R Development Core Team, 2015)","plainCitation":"(R Development Core Team, 2015)"},"citationItems":[{"id":38,"uris":["http://zotero.org/users/2324349/items/CMEWUF68"],"uri":["http://zotero.org/users/2324349/items/CMEWUF68"],"itemData":{"id":38,"type":"webpage","title":"R: a language and environment for statistical computing","container-title":"GBIF.ORG","genre":"Text","abstract":"R is a free software environment for statistical computing and graphics. It can be used to generate species distribution models using as a base data such as those made available through GBIF.","URL":"http://www.gbif.org/resource/81287","shortTitle":"R","language":"und","author":[{"family":"R Development Core Team","given":""}],"issued":{"date-parts":[["2015",2,10]]},"accessed":{"date-parts":[["2015",5,20]]}}}],"schema":"https://github.com/citation-style-language/schema/raw/master/csl-citation.json"} </w:instrText>
      </w:r>
      <w:r w:rsidRPr="008029CF">
        <w:fldChar w:fldCharType="separate"/>
      </w:r>
      <w:r w:rsidRPr="008029CF">
        <w:t>(R Development Core Team, 2015)</w:t>
      </w:r>
      <w:r w:rsidRPr="008029CF">
        <w:fldChar w:fldCharType="end"/>
      </w:r>
      <w:r w:rsidRPr="008029CF">
        <w:t>.</w:t>
      </w:r>
    </w:p>
    <w:p w14:paraId="5270BEB8" w14:textId="77777777" w:rsidR="009919D4" w:rsidRDefault="009919D4" w:rsidP="009919D4">
      <w:r w:rsidRPr="001D6FE0">
        <w:t xml:space="preserve">When comparing multi-annual data sets for temporal variation, it is important to consider that differences can be imposed on temporal trends due to inter-annual environmental changes and to differences in the sampling frequency rate and/or in the size of the covered sampling area. Therefore, in order to identify possible </w:t>
      </w:r>
      <w:r w:rsidRPr="00773E3D">
        <w:t>link</w:t>
      </w:r>
      <w:r>
        <w:t>age</w:t>
      </w:r>
      <w:r w:rsidRPr="00773E3D">
        <w:t xml:space="preserve"> between river discharge and the WQ parameters</w:t>
      </w:r>
      <w:r>
        <w:t xml:space="preserve"> at regional scale</w:t>
      </w:r>
      <w:r w:rsidRPr="001D6FE0">
        <w:t xml:space="preserve">, we select transects that were sampled more than 3 times from the WQ parameters over the last 9 wet seasons. For this analysis we constrain the list of WQ parameters to </w:t>
      </w:r>
      <w:r w:rsidRPr="008029CF">
        <w:t xml:space="preserve">light attenuation coefficient (Kd), coloured dissolved organic matter (CDOM), TSS, </w:t>
      </w:r>
      <w:r w:rsidR="007A5C85">
        <w:t>C</w:t>
      </w:r>
      <w:r w:rsidRPr="008029CF">
        <w:t>hl-a, PN, DIN, PP, DIP and Si, which are the main WQ components driving corals and seagrass communities in the Great Barrier Reef ecosystems (Brodie et al., 201</w:t>
      </w:r>
      <w:r w:rsidR="00C6470A">
        <w:t>3</w:t>
      </w:r>
      <w:r w:rsidRPr="008029CF">
        <w:t>).</w:t>
      </w:r>
      <w:r>
        <w:t xml:space="preserve"> </w:t>
      </w:r>
      <w:r w:rsidRPr="001D6FE0">
        <w:t xml:space="preserve">Four transects fitted the selection criteria (i.e., </w:t>
      </w:r>
      <w:r w:rsidR="00146710">
        <w:t>Frankland Island group</w:t>
      </w:r>
      <w:r w:rsidRPr="001D6FE0">
        <w:t>, Tully to Sisters, Burdekin to Palm Island and Fitzroy to Keppels), which covered 3 NRM regions: Wet</w:t>
      </w:r>
      <w:r>
        <w:t xml:space="preserve"> Tropics, Burdekin and Fitzroy.</w:t>
      </w:r>
    </w:p>
    <w:p w14:paraId="4A517C80" w14:textId="40A6563B" w:rsidR="00A12002" w:rsidRPr="008029CF" w:rsidRDefault="009919D4" w:rsidP="009919D4">
      <w:r>
        <w:t>For the investigation of t</w:t>
      </w:r>
      <w:r w:rsidRPr="008029CF">
        <w:t xml:space="preserve">emporal trends on the WQ components </w:t>
      </w:r>
      <w:r>
        <w:t>the data set was</w:t>
      </w:r>
      <w:r w:rsidRPr="008029CF">
        <w:t xml:space="preserve"> constrained to the Central and Southern </w:t>
      </w:r>
      <w:r w:rsidR="007A5C85">
        <w:t>GBR</w:t>
      </w:r>
      <w:r w:rsidRPr="008029CF">
        <w:t xml:space="preserve"> regions because of their better temporal and spatial coverage. The </w:t>
      </w:r>
      <w:r>
        <w:t xml:space="preserve">same set of WQ parameters presented above were investigated by the </w:t>
      </w:r>
      <w:r w:rsidRPr="008029CF">
        <w:t>GAMM</w:t>
      </w:r>
      <w:r>
        <w:t xml:space="preserve">, which was </w:t>
      </w:r>
      <w:r w:rsidRPr="008029CF">
        <w:t>performed in two steps. Firstly, a multiple regression analysis using non-par</w:t>
      </w:r>
      <w:r w:rsidR="00554012">
        <w:t>ametric smoothers in a Generalis</w:t>
      </w:r>
      <w:r w:rsidRPr="008029CF">
        <w:t xml:space="preserve">ed Additive Model </w:t>
      </w:r>
      <w:r w:rsidRPr="008029CF">
        <w:fldChar w:fldCharType="begin"/>
      </w:r>
      <w:r w:rsidRPr="008029CF">
        <w:instrText xml:space="preserve"> ADDIN ZOTERO_ITEM CSL_CITATION {"citationID":"UQONisM1","properties":{"formattedCitation":"(GAMM, R Development Core Team, 2015)","plainCitation":"(GAMM, R Development Core Team, 2015)"},"citationItems":[{"id":38,"uris":["http://zotero.org/users/2324349/items/CMEWUF68"],"uri":["http://zotero.org/users/2324349/items/CMEWUF68"],"itemData":{"id":38,"type":"webpage","title":"R: a language and environment for statistical computing","container-title":"GBIF.ORG","genre":"Text","abstract":"R is a free software environment for statistical computing and graphics. It can be used to generate species distribution models using as a base data such as those made available through GBIF.","URL":"http://www.gbif.org/resource/81287","shortTitle":"R","language":"und","author":[{"family":"R Development Core Team","given":""}],"issued":{"date-parts":[["2015",2,10]]},"accessed":{"date-parts":[["2015",5,20]]}},"prefix":"GAMM, "}],"schema":"https://github.com/citation-style-language/schema/raw/master/csl-citation.json"} </w:instrText>
      </w:r>
      <w:r w:rsidRPr="008029CF">
        <w:fldChar w:fldCharType="separate"/>
      </w:r>
      <w:r w:rsidRPr="008029CF">
        <w:t>(GAM, R Development Core Team, 2015)</w:t>
      </w:r>
      <w:r w:rsidRPr="008029CF">
        <w:fldChar w:fldCharType="end"/>
      </w:r>
      <w:r w:rsidRPr="008029CF">
        <w:t xml:space="preserve"> was performed to choose a set of predictors that best explain each WQ component. Mean of 5-days river discharge, distance between </w:t>
      </w:r>
      <w:r w:rsidR="00A12002" w:rsidRPr="008029CF">
        <w:t xml:space="preserve">the sampling site and the nearest river mouth, and surface salinity were used as predictors in the multiple regression analyses. In order to select the most appropriated smooth terms (or predictors) residual maximum likelihood (REML) method was applied. This method uses a likelihood function calculated from a transformed set of data, so that irrelevant predictors have no effect in the model </w:t>
      </w:r>
      <w:r w:rsidR="005935D5" w:rsidRPr="008029CF">
        <w:fldChar w:fldCharType="begin"/>
      </w:r>
      <w:r w:rsidR="00A12002" w:rsidRPr="008029CF">
        <w:instrText xml:space="preserve"> ADDIN ZOTERO_ITEM CSL_CITATION {"citationID":"pPutF3aP","properties":{"formattedCitation":"(R Development Core Team, 2015)","plainCitation":"(R Development Core Team, 2015)"},"citationItems":[{"id":38,"uris":["http://zotero.org/users/2324349/items/CMEWUF68"],"uri":["http://zotero.org/users/2324349/items/CMEWUF68"],"itemData":{"id":38,"type":"webpage","title":"R: a language and environment for statistical computing","container-title":"GBIF.ORG","genre":"Text","abstract":"R is a free software environment for statistical computing and graphics. It can be used to generate species distribution models using as a base data such as those made available through GBIF.","URL":"http://www.gbif.org/resource/81287","shortTitle":"R","language":"und","author":[{"family":"R Development Core Team","given":""}],"issued":{"date-parts":[["2015",2,10]]},"accessed":{"date-parts":[["2015",5,20]]}}}],"schema":"https://github.com/citation-style-language/schema/raw/master/csl-citation.json"} </w:instrText>
      </w:r>
      <w:r w:rsidR="005935D5" w:rsidRPr="008029CF">
        <w:fldChar w:fldCharType="separate"/>
      </w:r>
      <w:r w:rsidR="00A12002" w:rsidRPr="008029CF">
        <w:t>(R Development Core Team, 2015)</w:t>
      </w:r>
      <w:r w:rsidR="005935D5" w:rsidRPr="008029CF">
        <w:fldChar w:fldCharType="end"/>
      </w:r>
      <w:r w:rsidR="00A12002" w:rsidRPr="008029CF">
        <w:t xml:space="preserve">. This method is similar to a stepwise regression analysis but where one uses, in this case, cubic spline to fit each predictor rather than a straight line. In order to investigate among the predictors those more influential in the GAM analysis, the relative importance analysis </w:t>
      </w:r>
      <w:r w:rsidR="005935D5" w:rsidRPr="008029CF">
        <w:fldChar w:fldCharType="begin"/>
      </w:r>
      <w:r w:rsidR="00A12002" w:rsidRPr="008029CF">
        <w:instrText xml:space="preserve"> ADDIN ZOTERO_ITEM CSL_CITATION {"citationID":"1vnec69thc","properties":{"formattedCitation":"{\\rtf (Gr\\uc0\\u246{}mping, 2006)}","plainCitation":"(Grömping, 2006)"},"citationItems":[{"id":150,"uris":["http://zotero.org/users/2324349/items/ANXQFAFK"],"uri":["http://zotero.org/users/2324349/items/ANXQFAFK"],"itemData":{"id":150,"type":"article-journal","title":"Relative Importance for Linear Regression in R: The Package relaimpo.","container-title":"Journal of Statistical Software","page":"1-17","volume":"17","issue":"1","author":[{"family":"Grömping","given":"G."}],"issued":{"date-parts":[["2006"]]}}}],"schema":"https://github.com/citation-style-language/schema/raw/master/csl-citation.json"} </w:instrText>
      </w:r>
      <w:r w:rsidR="005935D5" w:rsidRPr="008029CF">
        <w:fldChar w:fldCharType="separate"/>
      </w:r>
      <w:r w:rsidR="00A12002" w:rsidRPr="008029CF">
        <w:t>(Grömping, 2006)</w:t>
      </w:r>
      <w:r w:rsidR="005935D5" w:rsidRPr="008029CF">
        <w:fldChar w:fldCharType="end"/>
      </w:r>
      <w:r w:rsidR="00A12002" w:rsidRPr="008029CF">
        <w:t xml:space="preserve"> was performed.</w:t>
      </w:r>
    </w:p>
    <w:p w14:paraId="3322044E" w14:textId="77777777" w:rsidR="00A12002" w:rsidRPr="008029CF" w:rsidRDefault="00A12002" w:rsidP="00A12002">
      <w:r w:rsidRPr="008029CF">
        <w:t>Secondly, the set of predictors selected from the multiple regression analysis was used in a GAMM</w:t>
      </w:r>
      <w:r w:rsidR="002D69A5">
        <w:t xml:space="preserve"> </w:t>
      </w:r>
      <w:r w:rsidRPr="008029CF">
        <w:t>to investigate temporal trends in each WQ component. In these temporal trend models, time (i.e., Sample Date) was used as fixed effect, which is the variable that influences the mean of the WQ component, and the other selected predictors were used as random effects, i.e., what influences the variance of the WQ component.</w:t>
      </w:r>
    </w:p>
    <w:p w14:paraId="3B0BFAF4" w14:textId="3C0DCE74" w:rsidR="004665A8" w:rsidRPr="0015270F" w:rsidRDefault="00CE4005" w:rsidP="00B46AF9">
      <w:pPr>
        <w:pStyle w:val="Heading2"/>
      </w:pPr>
      <w:bookmarkStart w:id="143" w:name="_Toc443299477"/>
      <w:bookmarkStart w:id="144" w:name="_Toc443299690"/>
      <w:bookmarkStart w:id="145" w:name="_Toc454304710"/>
      <w:r>
        <w:t xml:space="preserve">Data analysis </w:t>
      </w:r>
      <w:r w:rsidR="00BE1A79">
        <w:t>–</w:t>
      </w:r>
      <w:r>
        <w:t xml:space="preserve"> </w:t>
      </w:r>
      <w:r w:rsidR="00BE1A79">
        <w:t>Load d</w:t>
      </w:r>
      <w:r w:rsidR="00F3747D">
        <w:t>ispersion</w:t>
      </w:r>
      <w:r>
        <w:t xml:space="preserve"> maps</w:t>
      </w:r>
      <w:bookmarkEnd w:id="143"/>
      <w:bookmarkEnd w:id="144"/>
      <w:bookmarkEnd w:id="145"/>
    </w:p>
    <w:p w14:paraId="55A73B94" w14:textId="77777777" w:rsidR="006B1B41" w:rsidRPr="00AA5B9E" w:rsidRDefault="006B1B41" w:rsidP="006B1B41">
      <w:r w:rsidRPr="00AA5B9E">
        <w:rPr>
          <w:rFonts w:cs="Courier New"/>
        </w:rPr>
        <w:t>An ocean colour based model was developed to estimate the superficial dispersion of dissolved inorganic nitrogen (DIN</w:t>
      </w:r>
      <w:r w:rsidR="00F3747D" w:rsidRPr="00AA5B9E">
        <w:rPr>
          <w:rFonts w:cs="Courier New"/>
        </w:rPr>
        <w:t>,</w:t>
      </w:r>
      <m:oMath>
        <m:r>
          <m:rPr>
            <m:sty m:val="p"/>
          </m:rPr>
          <w:rPr>
            <w:rFonts w:ascii="Cambria Math" w:hAnsi="Cambria Math" w:cs="Courier New"/>
          </w:rPr>
          <m:t xml:space="preserve"> </m:t>
        </m:r>
        <m:sSubSup>
          <m:sSubSupPr>
            <m:ctrlPr>
              <w:rPr>
                <w:rFonts w:ascii="Cambria Math" w:hAnsi="Cambria Math" w:cs="Courier New"/>
              </w:rPr>
            </m:ctrlPr>
          </m:sSubSupPr>
          <m:e>
            <m:r>
              <m:rPr>
                <m:sty m:val="p"/>
              </m:rPr>
              <w:rPr>
                <w:rFonts w:ascii="Cambria Math" w:hAnsi="Cambria Math" w:cs="Courier New"/>
              </w:rPr>
              <m:t>NH</m:t>
            </m:r>
          </m:e>
          <m:sub>
            <m:r>
              <m:rPr>
                <m:sty m:val="p"/>
              </m:rPr>
              <w:rPr>
                <w:rFonts w:ascii="Cambria Math" w:hAnsi="Cambria Math" w:cs="Courier New"/>
              </w:rPr>
              <m:t>4</m:t>
            </m:r>
          </m:sub>
          <m:sup>
            <m:r>
              <m:rPr>
                <m:sty m:val="p"/>
              </m:rPr>
              <w:rPr>
                <w:rFonts w:ascii="Cambria Math" w:hAnsi="Cambria Math" w:cs="Courier New"/>
              </w:rPr>
              <m:t>+</m:t>
            </m:r>
          </m:sup>
        </m:sSubSup>
        <m:r>
          <m:rPr>
            <m:sty m:val="p"/>
          </m:rPr>
          <w:rPr>
            <w:rFonts w:ascii="Cambria Math" w:hAnsi="Cambria Math" w:cs="Courier New"/>
          </w:rPr>
          <m:t>+</m:t>
        </m:r>
        <m:sSubSup>
          <m:sSubSupPr>
            <m:ctrlPr>
              <w:rPr>
                <w:rFonts w:ascii="Cambria Math" w:hAnsi="Cambria Math" w:cs="Courier New"/>
              </w:rPr>
            </m:ctrlPr>
          </m:sSubSupPr>
          <m:e>
            <m:r>
              <m:rPr>
                <m:sty m:val="p"/>
              </m:rPr>
              <w:rPr>
                <w:rFonts w:ascii="Cambria Math" w:hAnsi="Cambria Math" w:cs="Courier New"/>
              </w:rPr>
              <m:t>NO</m:t>
            </m:r>
          </m:e>
          <m:sub>
            <m:r>
              <m:rPr>
                <m:sty m:val="p"/>
              </m:rPr>
              <w:rPr>
                <w:rFonts w:ascii="Cambria Math" w:hAnsi="Cambria Math" w:cs="Courier New"/>
              </w:rPr>
              <m:t>2</m:t>
            </m:r>
          </m:sub>
          <m:sup>
            <m:r>
              <m:rPr>
                <m:sty m:val="p"/>
              </m:rPr>
              <w:rPr>
                <w:rFonts w:ascii="Cambria Math" w:hAnsi="Cambria Math" w:cs="Courier New"/>
              </w:rPr>
              <m:t>-</m:t>
            </m:r>
          </m:sup>
        </m:sSubSup>
        <m:r>
          <m:rPr>
            <m:sty m:val="p"/>
          </m:rPr>
          <w:rPr>
            <w:rFonts w:ascii="Cambria Math" w:hAnsi="Cambria Math" w:cs="Courier New"/>
          </w:rPr>
          <m:t>+</m:t>
        </m:r>
        <m:sSubSup>
          <m:sSubSupPr>
            <m:ctrlPr>
              <w:rPr>
                <w:rFonts w:ascii="Cambria Math" w:hAnsi="Cambria Math" w:cs="Courier New"/>
              </w:rPr>
            </m:ctrlPr>
          </m:sSubSupPr>
          <m:e>
            <m:r>
              <m:rPr>
                <m:sty m:val="p"/>
              </m:rPr>
              <w:rPr>
                <w:rFonts w:ascii="Cambria Math" w:hAnsi="Cambria Math" w:cs="Courier New"/>
              </w:rPr>
              <m:t>NO</m:t>
            </m:r>
          </m:e>
          <m:sub>
            <m:r>
              <m:rPr>
                <m:sty m:val="p"/>
              </m:rPr>
              <w:rPr>
                <w:rFonts w:ascii="Cambria Math" w:hAnsi="Cambria Math" w:cs="Courier New"/>
              </w:rPr>
              <m:t>3</m:t>
            </m:r>
          </m:sub>
          <m:sup>
            <m:r>
              <m:rPr>
                <m:sty m:val="p"/>
              </m:rPr>
              <w:rPr>
                <w:rFonts w:ascii="Cambria Math" w:hAnsi="Cambria Math" w:cs="Courier New"/>
              </w:rPr>
              <m:t>-</m:t>
            </m:r>
          </m:sup>
        </m:sSubSup>
      </m:oMath>
      <w:r w:rsidRPr="00AA5B9E">
        <w:rPr>
          <w:rFonts w:cs="Courier New"/>
        </w:rPr>
        <w:t xml:space="preserve">) delivered by river plumes to the GBR coastal waters was developed (da Silva et al, in prep). This model, built on Álvarez-Romero et al. </w:t>
      </w:r>
      <w:r w:rsidRPr="00AA5B9E">
        <w:rPr>
          <w:rFonts w:cs="Courier New"/>
        </w:rPr>
        <w:fldChar w:fldCharType="begin"/>
      </w:r>
      <w:r w:rsidRPr="00AA5B9E">
        <w:rPr>
          <w:rFonts w:cs="Courier New"/>
        </w:rPr>
        <w:instrText xml:space="preserve"> ADDIN ZOTERO_ITEM CSL_CITATION {"citationID":"Jg0INjCJ","properties":{"formattedCitation":"(2013)","plainCitation":"(2013)"},"citationItems":[{"id":1,"uris":["http://zotero.org/users/2324349/items/TQTS3DE2"],"uri":["http://zotero.org/users/2324349/items/TQTS3DE2"],"itemData":{"id":1,"type":"article-journal","title":"A novel approach to model exposure of coastal-marine ecosystems to riverine flood plumes based on remote sensing techniques","container-title":"Journal of Environmental Management","page":"194-207","volume":"119","source":"ScienceDirect","abstract":"Increased loads of land-based pollutants are a major threat to coastal-marine ecosystems. Identifying the affected marine areas and the scale of influence on ecosystems is critical to assess the impacts of degraded water quality and to inform planning for catchment management and marine conservation. Studies using remotely-sensed data have contributed to our understanding of the occurrence and influence of river plumes, and to our ability to assess exposure of marine ecosystems to land-based pollutants. However, refinement of plume modeling techniques is required to improve risk assessments. We developed a novel, complementary, approach to model exposure of coastal-marine ecosystems to land-based pollutants. We used supervised classification of MODIS-Aqua true-color satellite imagery to map the extent of plumes and to qualitatively assess the dispersal of pollutants in plumes. We used the Great Barrier Reef (GBR), the world's largest coral reef system, to test our approach. We combined frequency of plume occurrence with spatially distributed loads (based on a cost-distance function) to create maps of exposure to suspended sediment and dissolved inorganic nitrogen. We then compared annual exposure maps (2007–2011) to assess inter-annual variability in the exposure of coral reefs and seagrass beds to these pollutants. We found this method useful to map plumes and qualitatively assess exposure to land-based pollutants. We observed inter-annual variation in exposure of ecosystems to pollutants in the GBR, stressing the need to incorporate a temporal component into plume exposure/risk models. Our study contributes to our understanding of plume spatial–temporal dynamics of the GBR and offers a method that can also be applied to monitor exposure of coastal-marine ecosystems to plumes and explore their ecological influences.","DOI":"10.1016/j.jenvman.2013.01.036","ISSN":"0301-4797","journalAbbreviation":"Journal of Environmental Management","author":[{"family":"Álvarez-Romero","given":"Jorge G."},{"family":"Devlin","given":"Michelle"},{"family":"Teixeira da Silva","given":"Eduardo"},{"family":"Petus","given":"Caroline"},{"family":"Ban","given":"Natalie C."},{"family":"Pressey","given":"Robert L."},{"family":"Kool","given":"Johnathan"},{"family":"Roberts","given":"Jason J."},{"family":"Cerdeira-Estrada","given":"Sergio"},{"family":"Wenger","given":"Amelia S."},{"family":"Brodie","given":"Jon"}],"issued":{"date-parts":[["2013",4,15]]}},"suppress-author":true}],"schema":"https://github.com/citation-style-language/schema/raw/master/csl-citation.json"} </w:instrText>
      </w:r>
      <w:r w:rsidRPr="00AA5B9E">
        <w:rPr>
          <w:rFonts w:cs="Courier New"/>
        </w:rPr>
        <w:fldChar w:fldCharType="separate"/>
      </w:r>
      <w:r w:rsidRPr="00AA5B9E">
        <w:rPr>
          <w:rFonts w:cs="Courier New"/>
        </w:rPr>
        <w:t>(2013)</w:t>
      </w:r>
      <w:r w:rsidRPr="00AA5B9E">
        <w:rPr>
          <w:rFonts w:cs="Courier New"/>
        </w:rPr>
        <w:fldChar w:fldCharType="end"/>
      </w:r>
      <w:r w:rsidRPr="00AA5B9E">
        <w:rPr>
          <w:rFonts w:cs="Courier New"/>
        </w:rPr>
        <w:t xml:space="preserve">, combines in-situ data form the Marine Monitoring Program (MMP), Moderate Resolution Imaging Spectroradiometer (MODIS, satellite imagery) and end-of-catchments DIN loads from the main GBR watershed. In the model, loads provide the amount of DIN delivered along the GBR; the in-situ data provides the DIN mass variation as river plume moves away from the river mouth, and the satellite imagery provides the direction and intensity DIN mass is dispersed over the GBR lagoon. </w:t>
      </w:r>
      <w:r w:rsidRPr="00AA5B9E">
        <w:t xml:space="preserve">This model produces map of the dispersion of land-sourced DIN discharged by the GBR rivers and express it as mass per area. </w:t>
      </w:r>
    </w:p>
    <w:p w14:paraId="0BA58DE9" w14:textId="77777777" w:rsidR="006B1B41" w:rsidRPr="00AA5B9E" w:rsidRDefault="006B1B41" w:rsidP="006B1B41">
      <w:r w:rsidRPr="00AA5B9E">
        <w:lastRenderedPageBreak/>
        <w:t xml:space="preserve">The main modifications applied to the method presented in </w:t>
      </w:r>
      <w:r w:rsidRPr="00AA5B9E">
        <w:fldChar w:fldCharType="begin"/>
      </w:r>
      <w:r w:rsidRPr="00AA5B9E">
        <w:instrText xml:space="preserve"> ADDIN EN.CITE &lt;EndNote&gt;&lt;Cite AuthorYear="1"&gt;&lt;Author&gt;Álvarez-Romero&lt;/Author&gt;&lt;Year&gt;2013&lt;/Year&gt;&lt;RecNum&gt;1084&lt;/RecNum&gt;&lt;DisplayText&gt;Álvarez-Romero et al. (2013)&lt;/DisplayText&gt;&lt;record&gt;&lt;rec-number&gt;1084&lt;/rec-number&gt;&lt;foreign-keys&gt;&lt;key app="EN" db-id="tsw9ppz0wtsernexad8pdrfqzrvpraxppard"&gt;1084&lt;/key&gt;&lt;/foreign-keys&gt;&lt;ref-type name="Journal Article"&gt;17&lt;/ref-type&gt;&lt;contributors&gt;&lt;authors&gt;&lt;author&gt;Álvarez-Romero, Jorge G.&lt;/author&gt;&lt;author&gt;Devlin, Michelle&lt;/author&gt;&lt;author&gt;Teixeira da Silva, Eduardo&lt;/author&gt;&lt;author&gt;Petus, Caroline&lt;/author&gt;&lt;author&gt;Ban, Natalie C.&lt;/author&gt;&lt;author&gt;Pressey, Robert L.&lt;/author&gt;&lt;author&gt;Kool, Johnathan&lt;/author&gt;&lt;author&gt;Roberts, Jason J.&lt;/author&gt;&lt;author&gt;Cerdeira-Estrada, Sergio&lt;/author&gt;&lt;author&gt;Wenger, Amelia S.&lt;/author&gt;&lt;author&gt;Brodie, Jon&lt;/author&gt;&lt;/authors&gt;&lt;/contributors&gt;&lt;titles&gt;&lt;title&gt;A novel approach to model exposure of coastal-marine ecosystems to riverine flood plumes based on remote sensing techniques&lt;/title&gt;&lt;secondary-title&gt;Journal of Environmental Management&lt;/secondary-title&gt;&lt;/titles&gt;&lt;periodical&gt;&lt;full-title&gt;Journal of Environmental Management&lt;/full-title&gt;&lt;/periodical&gt;&lt;pages&gt;194-207&lt;/pages&gt;&lt;volume&gt;119&lt;/volume&gt;&lt;number&gt;0&lt;/number&gt;&lt;keywords&gt;&lt;keyword&gt;Marine spatial planning&lt;/keyword&gt;&lt;keyword&gt;River plume&lt;/keyword&gt;&lt;keyword&gt;Flood plume&lt;/keyword&gt;&lt;keyword&gt;Land-based pollution&lt;/keyword&gt;&lt;keyword&gt;Marine water quality&lt;/keyword&gt;&lt;keyword&gt;Marine conservation&lt;/keyword&gt;&lt;/keywords&gt;&lt;dates&gt;&lt;year&gt;2013&lt;/year&gt;&lt;pub-dates&gt;&lt;date&gt;4/15/&lt;/date&gt;&lt;/pub-dates&gt;&lt;/dates&gt;&lt;isbn&gt;0301-4797&lt;/isbn&gt;&lt;urls&gt;&lt;related-urls&gt;&lt;url&gt;http://www.sciencedirect.com/science/article/pii/S0301479713000789&lt;/url&gt;&lt;/related-urls&gt;&lt;/urls&gt;&lt;electronic-resource-num&gt;http://dx.doi.org/10.1016/j.jenvman.2013.01.036&lt;/electronic-resource-num&gt;&lt;/record&gt;&lt;/Cite&gt;&lt;/EndNote&gt;</w:instrText>
      </w:r>
      <w:r w:rsidRPr="00AA5B9E">
        <w:fldChar w:fldCharType="separate"/>
      </w:r>
      <w:hyperlink w:anchor="_ENREF_1" w:tooltip="Álvarez-Romero, 2013 #1084" w:history="1">
        <w:r w:rsidRPr="00AA5B9E">
          <w:rPr>
            <w:noProof/>
          </w:rPr>
          <w:t>Álvarez-Romero et al. (2013</w:t>
        </w:r>
      </w:hyperlink>
      <w:r w:rsidRPr="00AA5B9E">
        <w:rPr>
          <w:noProof/>
        </w:rPr>
        <w:t>)</w:t>
      </w:r>
      <w:r w:rsidRPr="00AA5B9E">
        <w:fldChar w:fldCharType="end"/>
      </w:r>
      <w:r w:rsidRPr="00AA5B9E">
        <w:t xml:space="preserve"> were: The qualitative assessment of pollutant dispersion in river plumes was replaced by a relationship between </w:t>
      </w:r>
      <w:r w:rsidRPr="00AA5B9E">
        <w:rPr>
          <w:i/>
        </w:rPr>
        <w:t>in-situ</w:t>
      </w:r>
      <w:r w:rsidRPr="00AA5B9E">
        <w:t xml:space="preserve"> DIN concentration and the six plume water types. Second, the DIN load was dispersed over the whole plume domain proportionally to the </w:t>
      </w:r>
      <w:r w:rsidRPr="00AA5B9E">
        <w:rPr>
          <w:i/>
        </w:rPr>
        <w:t>in-situ</w:t>
      </w:r>
      <w:r w:rsidRPr="00AA5B9E">
        <w:t xml:space="preserve"> DIN concentration measured within the first 0.5 m depth. Third, the DIN dispersion was not constrained to the maximum plume extent, but to a potential maximum </w:t>
      </w:r>
      <w:r w:rsidR="00A27E0F" w:rsidRPr="00AA5B9E">
        <w:t xml:space="preserve">annual plume </w:t>
      </w:r>
      <w:r w:rsidRPr="00AA5B9E">
        <w:t xml:space="preserve">extent from a hydrodynamic model simulation </w:t>
      </w:r>
      <w:r w:rsidRPr="00AA5B9E">
        <w:fldChar w:fldCharType="begin"/>
      </w:r>
      <w:r w:rsidRPr="00AA5B9E">
        <w:instrText xml:space="preserve"> ADDIN ZOTERO_ITEM CSL_CITATION {"citationID":"1n7n2hl8dr","properties":{"formattedCitation":"(Luick et al., 2007)","plainCitation":"(Luick et al., 2007)"},"citationItems":[{"id":122,"uris":["http://zotero.org/users/2324349/items/6GZ2FM2Z"],"uri":["http://zotero.org/users/2324349/items/6GZ2FM2Z"],"itemData":{"id":122,"type":"article-journal","title":"Circulation in the Great Barrier Reef Lagoon using numerical tracers and in situ data","container-title":"Continental Shelf Research","page":"757-778","volume":"27","issue":"6","source":"ScienceDirect","abstract":"Numerical hydrodynamic models of the northeastern Queensland shelf, forced by regional winds and modelled boundary currents in the northern Coral Sea, are used to provide improved estimates of general flow trajectories and water residence times within the Great Barrier Reef (GBR) shelf system. Model performance was checked against a limited set of current metre records obtained at Lark Reef (16°S) and the Ribbon Reefs (15.5°S). Estimates of water parcel trajectories are derived from a series of numerical tracer experiments, with daily releases of neutrally buoyant, un-reactive particles at 320 sites along the coast between Cape York (10.7°S) and Hervey Bay (25°S). Flow trajectories and residence times for tracer particles introduced to the GBR lagoon in the southern—ca. 22°S, central—19°S, and northern reef—14°S are emphasised. For purposes of the analysis, the year was divided into two seasons based on mean alongshore current direction. Most coastal sourced tracers entering the central GBR lagoon between 16° and 20°S during the northward-current season (January–August) primarily encounter the outer-shelf reef matrix after exiting the lagoon at its northern “head” (nominally 16°S), after 50–150 days. Up to 70% of tracer particles entering in the southward-current season (August–December) eventually crossed the lagoon to the outer-shelf reef matrix, with median crossing times between 20 and 330 days. During favourable wind conditions, tracers introduced at the coast may move rapidly across the lagoon into the reef matrix. The tracer experiments indicate that most coastal-sourced tracers entering the GBR lagoon remain near the coast for extended periods of time, moving north and south in a coastal band. Residence times for conservative tracer particles (and implied residence times for water-borne materials) within the GBR shelf system ranged from ca. 1 month to 1 year—time frames that are very long relative to development times of planktonic larvae and cycling times for nutrient materials in the water column, implying they are transformed long before reaching the outer reef matrix.","DOI":"10.1016/j.csr.2006.11.020","ISSN":"0278-4343","journalAbbreviation":"Continental Shelf Research","author":[{"family":"Luick","given":"John L."},{"family":"Mason","given":"Luciano"},{"family":"Hardy","given":"Thomas"},{"family":"Furnas","given":"Miles J."}],"issued":{"date-parts":[["2007",3,15]]}}}],"schema":"https://github.com/citation-style-language/schema/raw/master/csl-citation.json"} </w:instrText>
      </w:r>
      <w:r w:rsidRPr="00AA5B9E">
        <w:fldChar w:fldCharType="separate"/>
      </w:r>
      <w:r w:rsidRPr="00AA5B9E">
        <w:rPr>
          <w:rFonts w:ascii="Calibri" w:hAnsi="Calibri"/>
        </w:rPr>
        <w:t>(Luick et al., 2007)</w:t>
      </w:r>
      <w:r w:rsidRPr="00AA5B9E">
        <w:fldChar w:fldCharType="end"/>
      </w:r>
      <w:r w:rsidRPr="00AA5B9E">
        <w:t xml:space="preserve">. And fourth, the cost-distance function used in </w:t>
      </w:r>
      <w:r w:rsidRPr="00AA5B9E">
        <w:fldChar w:fldCharType="begin"/>
      </w:r>
      <w:r w:rsidRPr="00AA5B9E">
        <w:instrText xml:space="preserve"> ADDIN EN.CITE &lt;EndNote&gt;&lt;Cite AuthorYear="1"&gt;&lt;Author&gt;Álvarez-Romero&lt;/Author&gt;&lt;Year&gt;2013&lt;/Year&gt;&lt;RecNum&gt;1084&lt;/RecNum&gt;&lt;DisplayText&gt;Álvarez-Romero et al. (2013)&lt;/DisplayText&gt;&lt;record&gt;&lt;rec-number&gt;1084&lt;/rec-number&gt;&lt;foreign-keys&gt;&lt;key app="EN" db-id="tsw9ppz0wtsernexad8pdrfqzrvpraxppard"&gt;1084&lt;/key&gt;&lt;/foreign-keys&gt;&lt;ref-type name="Journal Article"&gt;17&lt;/ref-type&gt;&lt;contributors&gt;&lt;authors&gt;&lt;author&gt;Álvarez-Romero, Jorge G.&lt;/author&gt;&lt;author&gt;Devlin, Michelle&lt;/author&gt;&lt;author&gt;Teixeira da Silva, Eduardo&lt;/author&gt;&lt;author&gt;Petus, Caroline&lt;/author&gt;&lt;author&gt;Ban, Natalie C.&lt;/author&gt;&lt;author&gt;Pressey, Robert L.&lt;/author&gt;&lt;author&gt;Kool, Johnathan&lt;/author&gt;&lt;author&gt;Roberts, Jason J.&lt;/author&gt;&lt;author&gt;Cerdeira-Estrada, Sergio&lt;/author&gt;&lt;author&gt;Wenger, Amelia S.&lt;/author&gt;&lt;author&gt;Brodie, Jon&lt;/author&gt;&lt;/authors&gt;&lt;/contributors&gt;&lt;titles&gt;&lt;title&gt;A novel approach to model exposure of coastal-marine ecosystems to riverine flood plumes based on remote sensing techniques&lt;/title&gt;&lt;secondary-title&gt;Journal of Environmental Management&lt;/secondary-title&gt;&lt;/titles&gt;&lt;periodical&gt;&lt;full-title&gt;Journal of Environmental Management&lt;/full-title&gt;&lt;/periodical&gt;&lt;pages&gt;194-207&lt;/pages&gt;&lt;volume&gt;119&lt;/volume&gt;&lt;number&gt;0&lt;/number&gt;&lt;keywords&gt;&lt;keyword&gt;Marine spatial planning&lt;/keyword&gt;&lt;keyword&gt;River plume&lt;/keyword&gt;&lt;keyword&gt;Flood plume&lt;/keyword&gt;&lt;keyword&gt;Land-based pollution&lt;/keyword&gt;&lt;keyword&gt;Marine water quality&lt;/keyword&gt;&lt;keyword&gt;Marine conservation&lt;/keyword&gt;&lt;/keywords&gt;&lt;dates&gt;&lt;year&gt;2013&lt;/year&gt;&lt;pub-dates&gt;&lt;date&gt;4/15/&lt;/date&gt;&lt;/pub-dates&gt;&lt;/dates&gt;&lt;isbn&gt;0301-4797&lt;/isbn&gt;&lt;urls&gt;&lt;related-urls&gt;&lt;url&gt;http://www.sciencedirect.com/science/article/pii/S0301479713000789&lt;/url&gt;&lt;/related-urls&gt;&lt;/urls&gt;&lt;electronic-resource-num&gt;http://dx.doi.org/10.1016/j.jenvman.2013.01.036&lt;/electronic-resource-num&gt;&lt;/record&gt;&lt;/Cite&gt;&lt;/EndNote&gt;</w:instrText>
      </w:r>
      <w:r w:rsidRPr="00AA5B9E">
        <w:fldChar w:fldCharType="separate"/>
      </w:r>
      <w:hyperlink w:anchor="_ENREF_1" w:tooltip="Álvarez-Romero, 2013 #1084" w:history="1">
        <w:r w:rsidRPr="00AA5B9E">
          <w:rPr>
            <w:noProof/>
          </w:rPr>
          <w:t>Álvarez-Romero et al. (2013</w:t>
        </w:r>
      </w:hyperlink>
      <w:r w:rsidRPr="00AA5B9E">
        <w:rPr>
          <w:noProof/>
        </w:rPr>
        <w:t>)</w:t>
      </w:r>
      <w:r w:rsidRPr="00AA5B9E">
        <w:fldChar w:fldCharType="end"/>
      </w:r>
      <w:r w:rsidRPr="00AA5B9E">
        <w:t xml:space="preserve"> to represent the individual river plume area was replaced by the path-distance function, also available in ArcMap Spatial Analyst </w:t>
      </w:r>
      <w:r w:rsidRPr="00AA5B9E">
        <w:fldChar w:fldCharType="begin"/>
      </w:r>
      <w:r w:rsidRPr="00AA5B9E">
        <w:instrText xml:space="preserve"> ADDIN EN.CITE &lt;EndNote&gt;&lt;Cite&gt;&lt;Author&gt;ESRI&lt;/Author&gt;&lt;Year&gt;2010&lt;/Year&gt;&lt;RecNum&gt;1270&lt;/RecNum&gt;&lt;DisplayText&gt;(ESRI 2010)&lt;/DisplayText&gt;&lt;record&gt;&lt;rec-number&gt;1270&lt;/rec-number&gt;&lt;foreign-keys&gt;&lt;key app="EN" db-id="tsw9ppz0wtsernexad8pdrfqzrvpraxppard"&gt;1270&lt;/key&gt;&lt;/foreign-keys&gt;&lt;ref-type name="Computer Program"&gt;9&lt;/ref-type&gt;&lt;contributors&gt;&lt;authors&gt;&lt;author&gt;ESRI&lt;/author&gt;&lt;/authors&gt;&lt;/contributors&gt;&lt;titles&gt;&lt;title&gt;ArcGIS 10.0. Environmental Systems Research Institute (ESRI)&lt;/title&gt;&lt;/titles&gt;&lt;dates&gt;&lt;year&gt;2010&lt;/year&gt;&lt;/dates&gt;&lt;publisher&gt;Redlands, CA.&lt;/publisher&gt;&lt;urls&gt;&lt;/urls&gt;&lt;/record&gt;&lt;/Cite&gt;&lt;/EndNote&gt;</w:instrText>
      </w:r>
      <w:r w:rsidRPr="00AA5B9E">
        <w:fldChar w:fldCharType="separate"/>
      </w:r>
      <w:r w:rsidRPr="00AA5B9E">
        <w:rPr>
          <w:noProof/>
        </w:rPr>
        <w:t>(</w:t>
      </w:r>
      <w:hyperlink w:anchor="_ENREF_8" w:tooltip="ESRI, 2010 #1270" w:history="1">
        <w:r w:rsidRPr="00AA5B9E">
          <w:rPr>
            <w:noProof/>
          </w:rPr>
          <w:t>ESRI 2010</w:t>
        </w:r>
      </w:hyperlink>
      <w:r w:rsidRPr="00AA5B9E">
        <w:rPr>
          <w:noProof/>
        </w:rPr>
        <w:t>)</w:t>
      </w:r>
      <w:r w:rsidRPr="00AA5B9E">
        <w:fldChar w:fldCharType="end"/>
      </w:r>
      <w:r w:rsidRPr="00AA5B9E">
        <w:t>.</w:t>
      </w:r>
    </w:p>
    <w:p w14:paraId="6941E1C2" w14:textId="77777777" w:rsidR="006B1B41" w:rsidRPr="00AA5B9E" w:rsidRDefault="006B1B41" w:rsidP="006B1B41">
      <w:r w:rsidRPr="00AA5B9E">
        <w:t xml:space="preserve">The path-distance function allows applying a main direction to the plume movement, whereas in the cost distance it moves evenly in all directions. On the computation of the path-distance, the reciprocal of the </w:t>
      </w:r>
      <w:r w:rsidR="00AD1ED7" w:rsidRPr="00AA5B9E">
        <w:t>plume frequency</w:t>
      </w:r>
      <w:r w:rsidRPr="00AA5B9E">
        <w:t xml:space="preserve"> per wet season, the coordinates of the river mouth and a surface raster indicating the plume main direction of propagation were taken into account. The path-distance function produced one modelled plume per river (</w:t>
      </w:r>
      <w:r w:rsidRPr="00AA5B9E">
        <w:rPr>
          <w:rFonts w:cs="Courier New"/>
        </w:rPr>
        <w:t>ocean colour plume map</w:t>
      </w:r>
      <w:r w:rsidRPr="00AA5B9E">
        <w:t xml:space="preserve">), with values staring from zero at the river mouth (source of the pollutant) and increasing up to the </w:t>
      </w:r>
      <w:r w:rsidR="00A27E0F" w:rsidRPr="00AA5B9E">
        <w:t>maximum annual plume extent</w:t>
      </w:r>
      <w:r w:rsidRPr="00AA5B9E">
        <w:t>. These modelled plumes preserve the information of the shape of the mode of the colour class in the plume maps and the main direction of plume propagation. To account for the prevailing wind direction in the wet season and Coriolis’ effect on water mass movement, the direction of plume propagation was set as 315˚ Azimuth.</w:t>
      </w:r>
    </w:p>
    <w:p w14:paraId="1F7EBF92" w14:textId="77777777" w:rsidR="006B1B41" w:rsidRPr="00AA5B9E" w:rsidRDefault="006B1B41" w:rsidP="006B1B41">
      <w:pPr>
        <w:rPr>
          <w:rFonts w:cs="Courier New"/>
        </w:rPr>
      </w:pPr>
      <w:r w:rsidRPr="00AA5B9E">
        <w:rPr>
          <w:rFonts w:cs="Courier New"/>
        </w:rPr>
        <w:t xml:space="preserve">DIN dispersion maps were produced in three steps: First, DIN concentrations measured within the river flood plume waters were matched up to each six colour classes of the river plume maps. The match-ups were done at weekly basis, which is the smallest temporal resolution of the river plume maps </w:t>
      </w:r>
      <w:r w:rsidRPr="00AA5B9E">
        <w:rPr>
          <w:rFonts w:cs="Courier New"/>
        </w:rPr>
        <w:fldChar w:fldCharType="begin"/>
      </w:r>
      <w:r w:rsidRPr="00AA5B9E">
        <w:rPr>
          <w:rFonts w:cs="Courier New"/>
        </w:rPr>
        <w:instrText xml:space="preserve"> ADDIN ZOTERO_ITEM CSL_CITATION {"citationID":"1svneg5ent","properties":{"formattedCitation":"{\\rtf (\\uc0\\u193{}lvarez-Romero et al., 2013)}","plainCitation":"(Álvarez-Romero et al., 2013)"},"citationItems":[{"id":1,"uris":["http://zotero.org/users/2324349/items/TQTS3DE2"],"uri":["http://zotero.org/users/2324349/items/TQTS3DE2"],"itemData":{"id":1,"type":"article-journal","title":"A novel approach to model exposure of coastal-marine ecosystems to riverine flood plumes based on remote sensing techniques","container-title":"Journal of Environmental Management","page":"194-207","volume":"119","source":"ScienceDirect","abstract":"Increased loads of land-based pollutants are a major threat to coastal-marine ecosystems. Identifying the affected marine areas and the scale of influence on ecosystems is critical to assess the impacts of degraded water quality and to inform planning for catchment management and marine conservation. Studies using remotely-sensed data have contributed to our understanding of the occurrence and influence of river plumes, and to our ability to assess exposure of marine ecosystems to land-based pollutants. However, refinement of plume modeling techniques is required to improve risk assessments. We developed a novel, complementary, approach to model exposure of coastal-marine ecosystems to land-based pollutants. We used supervised classification of MODIS-Aqua true-color satellite imagery to map the extent of plumes and to qualitatively assess the dispersal of pollutants in plumes. We used the Great Barrier Reef (GBR), the world's largest coral reef system, to test our approach. We combined frequency of plume occurrence with spatially distributed loads (based on a cost-distance function) to create maps of exposure to suspended sediment and dissolved inorganic nitrogen. We then compared annual exposure maps (2007–2011) to assess inter-annual variability in the exposure of coral reefs and seagrass beds to these pollutants. We found this method useful to map plumes and qualitatively assess exposure to land-based pollutants. We observed inter-annual variation in exposure of ecosystems to pollutants in the GBR, stressing the need to incorporate a temporal component into plume exposure/risk models. Our study contributes to our understanding of plume spatial–temporal dynamics of the GBR and offers a method that can also be applied to monitor exposure of coastal-marine ecosystems to plumes and explore their ecological influences.","DOI":"10.1016/j.jenvman.2013.01.036","ISSN":"0301-4797","journalAbbreviation":"Journal of Environmental Management","author":[{"family":"Álvarez-Romero","given":"Jorge G."},{"family":"Devlin","given":"Michelle"},{"family":"Teixeira da Silva","given":"Eduardo"},{"family":"Petus","given":"Caroline"},{"family":"Ban","given":"Natalie C."},{"family":"Pressey","given":"Robert L."},{"family":"Kool","given":"Johnathan"},{"family":"Roberts","given":"Jason J."},{"family":"Cerdeira-Estrada","given":"Sergio"},{"family":"Wenger","given":"Amelia S."},{"family":"Brodie","given":"Jon"}],"issued":{"date-parts":[["2013",4,15]]}}}],"schema":"https://github.com/citation-style-language/schema/raw/master/csl-citation.json"} </w:instrText>
      </w:r>
      <w:r w:rsidRPr="00AA5B9E">
        <w:rPr>
          <w:rFonts w:cs="Courier New"/>
        </w:rPr>
        <w:fldChar w:fldCharType="separate"/>
      </w:r>
      <w:r w:rsidRPr="00AA5B9E">
        <w:rPr>
          <w:rFonts w:cs="Courier New"/>
        </w:rPr>
        <w:t>(Álvarez-Romero et al., 2013)</w:t>
      </w:r>
      <w:r w:rsidRPr="00AA5B9E">
        <w:rPr>
          <w:rFonts w:cs="Courier New"/>
        </w:rPr>
        <w:fldChar w:fldCharType="end"/>
      </w:r>
      <w:r w:rsidRPr="00AA5B9E">
        <w:rPr>
          <w:rFonts w:cs="Courier New"/>
        </w:rPr>
        <w:t xml:space="preserve">. Data match-ups were performed using </w:t>
      </w:r>
      <w:r w:rsidRPr="00AA5B9E">
        <w:rPr>
          <w:rFonts w:cs="Courier New"/>
          <w:i/>
        </w:rPr>
        <w:t>extract</w:t>
      </w:r>
      <w:r w:rsidRPr="00AA5B9E">
        <w:rPr>
          <w:rFonts w:cs="Courier New"/>
        </w:rPr>
        <w:t xml:space="preserve"> in raster package </w:t>
      </w:r>
      <w:r w:rsidRPr="00AA5B9E">
        <w:rPr>
          <w:rFonts w:cs="Courier New"/>
        </w:rPr>
        <w:fldChar w:fldCharType="begin"/>
      </w:r>
      <w:r w:rsidRPr="00AA5B9E">
        <w:rPr>
          <w:rFonts w:cs="Courier New"/>
        </w:rPr>
        <w:instrText xml:space="preserve"> ADDIN ZOTERO_ITEM CSL_CITATION {"citationID":"jhjkun8a3","properties":{"formattedCitation":"(Hijmans et al., 2015)","plainCitation":"(Hijmans et al., 2015)"},"citationItems":[{"id":32,"uris":["http://zotero.org/users/2324349/items/NHNDRKGI"],"uri":["http://zotero.org/users/2324349/items/NHNDRKGI"],"itemData":{"id":32,"type":"book","title":"raster: Geographic Data Analysis and Modeling","version":"2.3-40","source":"R-Packages","abstract":"Reading, writing, manipulating, analyzing and modeling of gridded spatial data. The package implements basic and high-level functions. Processing of very large files is supported.","URL":"http://cran.r-project.org/web/packages/raster/index.html","shortTitle":"raster","author":[{"family":"Hijmans","given":"Robert J."},{"family":"Etten","given":"Jacob","dropping-particle":"van"},{"family":"Mattiuzzi","given":"Matteo"},{"family":"Sumner","given":"Michael"},{"family":"Greenberg","given":"Jonathan A."},{"family":"Lamigueiro","given":"Oscar Perpinan"},{"family":"Bevan","given":"Andrew"},{"family":"Racine","given":"Etienne B."},{"family":"Shortridge","given":"Ashton"}],"issued":{"date-parts":[["2015",4,11]]},"accessed":{"date-parts":[["2015",5,20]]}}}],"schema":"https://github.com/citation-style-language/schema/raw/master/csl-citation.json"} </w:instrText>
      </w:r>
      <w:r w:rsidRPr="00AA5B9E">
        <w:rPr>
          <w:rFonts w:cs="Courier New"/>
        </w:rPr>
        <w:fldChar w:fldCharType="separate"/>
      </w:r>
      <w:r w:rsidRPr="00AA5B9E">
        <w:rPr>
          <w:rFonts w:cs="Courier New"/>
        </w:rPr>
        <w:t>(Hijmans et al., 2015)</w:t>
      </w:r>
      <w:r w:rsidRPr="00AA5B9E">
        <w:rPr>
          <w:rFonts w:cs="Courier New"/>
        </w:rPr>
        <w:fldChar w:fldCharType="end"/>
      </w:r>
      <w:r w:rsidRPr="00AA5B9E">
        <w:rPr>
          <w:rFonts w:cs="Courier New"/>
        </w:rPr>
        <w:t xml:space="preserve"> with bilinear interpolation method in R 3.1, which interpolates from the values of the four nearest raster cells </w:t>
      </w:r>
      <w:r w:rsidRPr="00AA5B9E">
        <w:rPr>
          <w:rFonts w:cs="Courier New"/>
        </w:rPr>
        <w:fldChar w:fldCharType="begin"/>
      </w:r>
      <w:r w:rsidRPr="00AA5B9E">
        <w:rPr>
          <w:rFonts w:cs="Courier New"/>
        </w:rPr>
        <w:instrText xml:space="preserve"> ADDIN ZOTERO_ITEM CSL_CITATION {"citationID":"1qr93ungdp","properties":{"formattedCitation":"(R Development Core Team, 2015)","plainCitation":"(R Development Core Team, 2015)"},"citationItems":[{"id":38,"uris":["http://zotero.org/users/2324349/items/CMEWUF68"],"uri":["http://zotero.org/users/2324349/items/CMEWUF68"],"itemData":{"id":38,"type":"webpage","title":"R: a language and environment for statistical computing","container-title":"GBIF.ORG","genre":"Text","abstract":"R is a free software environment for statistical computing and graphics. It can be used to generate species distribution models using as a base data such as those made available through GBIF.","URL":"http://www.gbif.org/resource/81287","shortTitle":"R","language":"und","author":[{"family":"R Development Core Team","given":""}],"issued":{"date-parts":[["2015",2,10]]},"accessed":{"date-parts":[["2015",5,20]]}}}],"schema":"https://github.com/citation-style-language/schema/raw/master/csl-citation.json"} </w:instrText>
      </w:r>
      <w:r w:rsidRPr="00AA5B9E">
        <w:rPr>
          <w:rFonts w:cs="Courier New"/>
        </w:rPr>
        <w:fldChar w:fldCharType="separate"/>
      </w:r>
      <w:r w:rsidRPr="00AA5B9E">
        <w:rPr>
          <w:rFonts w:cs="Courier New"/>
        </w:rPr>
        <w:t>(R Development Core Team, 2015)</w:t>
      </w:r>
      <w:r w:rsidRPr="00AA5B9E">
        <w:rPr>
          <w:rFonts w:cs="Courier New"/>
        </w:rPr>
        <w:fldChar w:fldCharType="end"/>
      </w:r>
      <w:r w:rsidRPr="00AA5B9E">
        <w:rPr>
          <w:rFonts w:cs="Courier New"/>
        </w:rPr>
        <w:t xml:space="preserve">. Outliers on in-situ DIN data were identified within each colour class as concentrations greater than 1.5 times the interquartile range either above the third quartile or below the first quartile </w:t>
      </w:r>
      <w:r w:rsidRPr="00AA5B9E">
        <w:rPr>
          <w:rFonts w:cs="Courier New"/>
        </w:rPr>
        <w:fldChar w:fldCharType="begin"/>
      </w:r>
      <w:r w:rsidRPr="00AA5B9E">
        <w:rPr>
          <w:rFonts w:cs="Courier New"/>
        </w:rPr>
        <w:instrText xml:space="preserve"> ADDIN ZOTERO_ITEM CSL_CITATION {"citationID":"87dm2jtrr","properties":{"formattedCitation":"(Crawley, 2007)","plainCitation":"(Crawley, 2007)"},"citationItems":[{"id":60,"uris":["http://zotero.org/users/2324349/items/QR8T7IEI"],"uri":["http://zotero.org/users/2324349/items/QR8T7IEI"],"itemData":{"id":60,"type":"book","title":"The R Book","publisher":"John Wiley &amp; Sons, Ltd","publisher-place":"Imperial College London at Silwood Park, UK","number-of-pages":"942","source":"www.bookdepository.com","event-place":"Imperial College London at Silwood Park, UK","URL":"http://www.bookdepository.com/R-Book-Mick-Crawley/9780470973929","author":[{"family":"Crawley","given":"Michael J."}],"issued":{"date-parts":[["2007"]]},"accessed":{"date-parts":[["2015",5,21]]}}}],"schema":"https://github.com/citation-style-language/schema/raw/master/csl-citation.json"} </w:instrText>
      </w:r>
      <w:r w:rsidRPr="00AA5B9E">
        <w:rPr>
          <w:rFonts w:cs="Courier New"/>
        </w:rPr>
        <w:fldChar w:fldCharType="separate"/>
      </w:r>
      <w:r w:rsidRPr="00AA5B9E">
        <w:rPr>
          <w:rFonts w:cs="Courier New"/>
        </w:rPr>
        <w:t>(Crawley, 2007)</w:t>
      </w:r>
      <w:r w:rsidRPr="00AA5B9E">
        <w:rPr>
          <w:rFonts w:cs="Courier New"/>
        </w:rPr>
        <w:fldChar w:fldCharType="end"/>
      </w:r>
      <w:r w:rsidRPr="00AA5B9E">
        <w:rPr>
          <w:rFonts w:cs="Courier New"/>
        </w:rPr>
        <w:t xml:space="preserve">. </w:t>
      </w:r>
      <w:r w:rsidR="00A27E0F" w:rsidRPr="00AA5B9E">
        <w:t xml:space="preserve">No outliers were excluded form colour class 1, assuming that a large variability can occur in this class due to its proximity to the source. </w:t>
      </w:r>
      <w:r w:rsidRPr="00AA5B9E">
        <w:rPr>
          <w:rFonts w:cs="Courier New"/>
        </w:rPr>
        <w:t>Only data sampled at flood regimes (c.a., flow exceeding the 75</w:t>
      </w:r>
      <w:r w:rsidRPr="00AA5B9E">
        <w:rPr>
          <w:rFonts w:cs="Courier New"/>
          <w:vertAlign w:val="superscript"/>
        </w:rPr>
        <w:t>th</w:t>
      </w:r>
      <w:r w:rsidRPr="00AA5B9E">
        <w:rPr>
          <w:rFonts w:cs="Courier New"/>
        </w:rPr>
        <w:t xml:space="preserve"> percentile of daily long-term wet season flow, from 1970 to 2000) were used in the match-ups, as they are more likely to better represent the biogeochemical and transport processes when most of the DIN delivered by rivers may suffer after discharged to the GBR waters.</w:t>
      </w:r>
    </w:p>
    <w:p w14:paraId="5C8813B0" w14:textId="77777777" w:rsidR="00A27E0F" w:rsidRPr="00AA5B9E" w:rsidRDefault="006B1B41" w:rsidP="00A27E0F">
      <w:pPr>
        <w:rPr>
          <w:rFonts w:eastAsiaTheme="minorEastAsia"/>
        </w:rPr>
      </w:pPr>
      <w:r w:rsidRPr="00AA5B9E">
        <w:rPr>
          <w:rFonts w:cs="Courier New"/>
        </w:rPr>
        <w:t xml:space="preserve">Secondly, </w:t>
      </w:r>
      <w:r w:rsidR="00A27E0F" w:rsidRPr="00AA5B9E">
        <w:t xml:space="preserve">due to the categorical nature of the plume colour classes, an ANOVA model was fitted to the data to describe the relationship between pollutant and colour class. Natural log-transformation was applied to the pollutant concentrations to conform to linear regression assumptions. </w:t>
      </w:r>
    </w:p>
    <w:p w14:paraId="6B6823FF" w14:textId="77777777" w:rsidR="006B1B41" w:rsidRPr="00AA5B9E" w:rsidRDefault="006B1B41" w:rsidP="006B1B41">
      <w:pPr>
        <w:rPr>
          <w:rFonts w:cs="Courier New"/>
        </w:rPr>
      </w:pPr>
      <w:r w:rsidRPr="00AA5B9E">
        <w:rPr>
          <w:rFonts w:cs="Courier New"/>
        </w:rPr>
        <w:t xml:space="preserve">Third, the DIN dispersion map was defined as a simple recalculation of the ocean colour plume map by accounting for the </w:t>
      </w:r>
      <w:r w:rsidR="00A27E0F" w:rsidRPr="00AA5B9E">
        <w:rPr>
          <w:rFonts w:cs="Courier New"/>
        </w:rPr>
        <w:t>relationship between in-situ data and plume colour classes</w:t>
      </w:r>
      <w:r w:rsidRPr="00AA5B9E">
        <w:rPr>
          <w:rFonts w:cs="Courier New"/>
        </w:rPr>
        <w:t xml:space="preserve">. To do that, the discharge-distance relationship (see below) was used to define the ocean colour plume outer edge (i.e., </w:t>
      </w:r>
      <w:r w:rsidRPr="00AA5B9E">
        <w:rPr>
          <w:rFonts w:cs="Courier New"/>
          <w:i/>
        </w:rPr>
        <w:t>Pd</w:t>
      </w:r>
      <w:r w:rsidRPr="00AA5B9E">
        <w:rPr>
          <w:rFonts w:cs="Courier New"/>
          <w:i/>
          <w:vertAlign w:val="subscript"/>
        </w:rPr>
        <w:t>max</w:t>
      </w:r>
      <w:r w:rsidRPr="00AA5B9E">
        <w:rPr>
          <w:rFonts w:cs="Courier New"/>
        </w:rPr>
        <w:t>), which was used to produce a recalculated ocean colour plume (</w:t>
      </w:r>
      <w:r w:rsidRPr="00AA5B9E">
        <w:rPr>
          <w:rFonts w:cs="Courier New"/>
          <w:i/>
        </w:rPr>
        <w:t>OCP</w:t>
      </w:r>
      <w:r w:rsidRPr="00AA5B9E">
        <w:rPr>
          <w:rFonts w:cs="Courier New"/>
          <w:i/>
          <w:vertAlign w:val="subscript"/>
        </w:rPr>
        <w:t>recalc</w:t>
      </w:r>
      <w:r w:rsidRPr="00AA5B9E">
        <w:rPr>
          <w:rFonts w:cs="Courier New"/>
        </w:rPr>
        <w:t>) as indicated below:</w:t>
      </w:r>
    </w:p>
    <w:p w14:paraId="1539DE68" w14:textId="77777777" w:rsidR="006B1B41" w:rsidRPr="00AA5B9E" w:rsidRDefault="00A87B15" w:rsidP="006B1B41">
      <w:pPr>
        <w:tabs>
          <w:tab w:val="left" w:pos="8222"/>
        </w:tabs>
        <w:rPr>
          <w:rFonts w:cs="Courier New"/>
        </w:rPr>
      </w:pPr>
      <m:oMath>
        <m:sSub>
          <m:sSubPr>
            <m:ctrlPr>
              <w:rPr>
                <w:rFonts w:ascii="Cambria Math" w:hAnsi="Cambria Math" w:cs="Courier New"/>
              </w:rPr>
            </m:ctrlPr>
          </m:sSubPr>
          <m:e>
            <m:r>
              <w:rPr>
                <w:rFonts w:ascii="Cambria Math" w:hAnsi="Cambria Math" w:cs="Courier New"/>
              </w:rPr>
              <m:t>OCP</m:t>
            </m:r>
          </m:e>
          <m:sub>
            <m:r>
              <w:rPr>
                <w:rFonts w:ascii="Cambria Math" w:hAnsi="Cambria Math" w:cs="Courier New"/>
              </w:rPr>
              <m:t>recalc</m:t>
            </m:r>
          </m:sub>
        </m:sSub>
        <m:r>
          <m:rPr>
            <m:sty m:val="p"/>
          </m:rPr>
          <w:rPr>
            <w:rFonts w:ascii="Cambria Math" w:hAnsi="Cambria Math" w:cs="Courier New"/>
          </w:rPr>
          <m:t>=1+</m:t>
        </m:r>
        <m:f>
          <m:fPr>
            <m:ctrlPr>
              <w:rPr>
                <w:rFonts w:ascii="Cambria Math" w:hAnsi="Cambria Math" w:cs="Courier New"/>
              </w:rPr>
            </m:ctrlPr>
          </m:fPr>
          <m:num>
            <m:r>
              <w:rPr>
                <w:rFonts w:ascii="Cambria Math" w:hAnsi="Cambria Math" w:cs="Courier New"/>
              </w:rPr>
              <m:t>OCP</m:t>
            </m:r>
          </m:num>
          <m:den>
            <m:f>
              <m:fPr>
                <m:type m:val="skw"/>
                <m:ctrlPr>
                  <w:rPr>
                    <w:rFonts w:ascii="Cambria Math" w:hAnsi="Cambria Math" w:cs="Courier New"/>
                  </w:rPr>
                </m:ctrlPr>
              </m:fPr>
              <m:num>
                <m:sSub>
                  <m:sSubPr>
                    <m:ctrlPr>
                      <w:rPr>
                        <w:rFonts w:ascii="Cambria Math" w:hAnsi="Cambria Math" w:cs="Courier New"/>
                      </w:rPr>
                    </m:ctrlPr>
                  </m:sSubPr>
                  <m:e>
                    <m:r>
                      <w:rPr>
                        <w:rFonts w:ascii="Cambria Math" w:hAnsi="Cambria Math" w:cs="Courier New"/>
                      </w:rPr>
                      <m:t>Pd</m:t>
                    </m:r>
                  </m:e>
                  <m:sub>
                    <m:r>
                      <w:rPr>
                        <w:rFonts w:ascii="Cambria Math" w:hAnsi="Cambria Math" w:cs="Courier New"/>
                      </w:rPr>
                      <m:t>max</m:t>
                    </m:r>
                  </m:sub>
                </m:sSub>
              </m:num>
              <m:den>
                <m:r>
                  <m:rPr>
                    <m:sty m:val="p"/>
                  </m:rPr>
                  <w:rPr>
                    <w:rFonts w:ascii="Cambria Math" w:hAnsi="Cambria Math" w:cs="Courier New"/>
                  </w:rPr>
                  <m:t>5</m:t>
                </m:r>
              </m:den>
            </m:f>
          </m:den>
        </m:f>
      </m:oMath>
      <w:r w:rsidR="006B1B41" w:rsidRPr="00AA5B9E">
        <w:rPr>
          <w:rFonts w:eastAsiaTheme="minorEastAsia" w:cs="Courier New"/>
        </w:rPr>
        <w:t>.</w:t>
      </w:r>
      <w:r w:rsidR="006B1B41" w:rsidRPr="00AA5B9E">
        <w:rPr>
          <w:rFonts w:cs="Courier New"/>
        </w:rPr>
        <w:tab/>
        <w:t>(Eq. 1)</w:t>
      </w:r>
    </w:p>
    <w:p w14:paraId="6815FD7E" w14:textId="77777777" w:rsidR="006B1B41" w:rsidRPr="00AA5B9E" w:rsidRDefault="006B1B41" w:rsidP="006B1B41">
      <w:pPr>
        <w:rPr>
          <w:rFonts w:cs="Courier New"/>
        </w:rPr>
      </w:pPr>
      <w:r w:rsidRPr="00AA5B9E">
        <w:rPr>
          <w:rFonts w:cs="Courier New"/>
        </w:rPr>
        <w:t xml:space="preserve">In this equation, '1' changes the lowest value of the ocean colour plume at the river mouth from 0 to 1 (i.e., the first colour class), and '5' adjusts the quotient </w:t>
      </w:r>
      <w:r w:rsidRPr="00AA5B9E">
        <w:rPr>
          <w:rFonts w:cs="Courier New"/>
          <w:i/>
        </w:rPr>
        <w:t>OCP/PD</w:t>
      </w:r>
      <w:r w:rsidRPr="00AA5B9E">
        <w:rPr>
          <w:rFonts w:cs="Courier New"/>
          <w:i/>
          <w:vertAlign w:val="subscript"/>
        </w:rPr>
        <w:t>max</w:t>
      </w:r>
      <w:r w:rsidRPr="00AA5B9E">
        <w:rPr>
          <w:rFonts w:cs="Courier New"/>
        </w:rPr>
        <w:t xml:space="preserve"> to result in a </w:t>
      </w:r>
      <w:r w:rsidRPr="00AA5B9E">
        <w:rPr>
          <w:rFonts w:cs="Courier New"/>
          <w:i/>
        </w:rPr>
        <w:t>OCP</w:t>
      </w:r>
      <w:r w:rsidRPr="00AA5B9E">
        <w:rPr>
          <w:rFonts w:cs="Courier New"/>
          <w:i/>
          <w:vertAlign w:val="subscript"/>
        </w:rPr>
        <w:t>recalc</w:t>
      </w:r>
      <w:r w:rsidRPr="00AA5B9E">
        <w:rPr>
          <w:rFonts w:cs="Courier New"/>
        </w:rPr>
        <w:t xml:space="preserve"> equals to 6 at the outer edge of the plume (i.e., when </w:t>
      </w:r>
      <w:r w:rsidRPr="00AA5B9E">
        <w:rPr>
          <w:rFonts w:cs="Courier New"/>
          <w:i/>
        </w:rPr>
        <w:t xml:space="preserve">OCP </w:t>
      </w:r>
      <w:r w:rsidRPr="00AA5B9E">
        <w:rPr>
          <w:rFonts w:cs="Courier New"/>
        </w:rPr>
        <w:t xml:space="preserve">= </w:t>
      </w:r>
      <w:r w:rsidRPr="00AA5B9E">
        <w:rPr>
          <w:rFonts w:cs="Courier New"/>
          <w:i/>
        </w:rPr>
        <w:t>Pd</w:t>
      </w:r>
      <w:r w:rsidRPr="00AA5B9E">
        <w:rPr>
          <w:rFonts w:cs="Courier New"/>
          <w:i/>
          <w:vertAlign w:val="subscript"/>
        </w:rPr>
        <w:t>max</w:t>
      </w:r>
      <w:r w:rsidRPr="00AA5B9E">
        <w:rPr>
          <w:rFonts w:cs="Courier New"/>
        </w:rPr>
        <w:t>, which corresponds to colour class 6). Thus, the recalculated ocean colour plume (</w:t>
      </w:r>
      <w:r w:rsidRPr="00AA5B9E">
        <w:rPr>
          <w:rFonts w:cs="Courier New"/>
          <w:i/>
        </w:rPr>
        <w:t>OCP</w:t>
      </w:r>
      <w:r w:rsidRPr="00AA5B9E">
        <w:rPr>
          <w:rFonts w:cs="Courier New"/>
          <w:i/>
          <w:vertAlign w:val="subscript"/>
        </w:rPr>
        <w:t>recalc</w:t>
      </w:r>
      <w:r w:rsidRPr="00AA5B9E">
        <w:rPr>
          <w:rFonts w:cs="Courier New"/>
        </w:rPr>
        <w:t xml:space="preserve">) has values varying from 1 at the river mouth to 6 at </w:t>
      </w:r>
      <w:r w:rsidRPr="00AA5B9E">
        <w:rPr>
          <w:rFonts w:cs="Courier New"/>
        </w:rPr>
        <w:lastRenderedPageBreak/>
        <w:t xml:space="preserve">the edge of the plume, and keeps increasing over the raster domain. Then the DIN dispersion map was obtained by changing the values in the recalculated ocean colour plume map according to the DIN function (DIN </w:t>
      </w:r>
      <w:r w:rsidRPr="00AA5B9E">
        <w:rPr>
          <w:rFonts w:cs="Courier New"/>
          <w:i/>
        </w:rPr>
        <w:t>vs</w:t>
      </w:r>
      <w:r w:rsidRPr="00AA5B9E">
        <w:rPr>
          <w:rFonts w:cs="Courier New"/>
        </w:rPr>
        <w:t xml:space="preserve"> colour class maps).</w:t>
      </w:r>
    </w:p>
    <w:p w14:paraId="2EAAB014" w14:textId="77777777" w:rsidR="006B1B41" w:rsidRPr="00AA5B9E" w:rsidRDefault="006B1B41" w:rsidP="006B1B41">
      <w:r w:rsidRPr="00AA5B9E">
        <w:t>In order to calculate the dispersion of DIN load it is critical the definition of the edge of each river plume. To that end, a highly resolved hydrodynamic model (eReefs) was use to estimate the area of river plume influence by mapping the dispersion of virtual tracers realised from each river mouth. This approach is currently under development (Wolff et al., 2014), where the river plume influence was defined as the area where tracer concentration was equivalent to salinity 36 which corresponds to at least 5% hydrodynamic model simulation time (c.a., form December to April, inclusive). The maximum plume extent was set as a maximum distance between the river mouth and the edge of the plume influence area. Equation 3 presents the discharge-distance relationship, which was used to determine the maximum extent of the ocean colour plumes (</w:t>
      </w:r>
      <w:r w:rsidRPr="00AA5B9E">
        <w:rPr>
          <w:i/>
        </w:rPr>
        <w:t>Dist</w:t>
      </w:r>
      <w:r w:rsidRPr="00AA5B9E">
        <w:t>, km) as a function of the total wet season river discharge (</w:t>
      </w:r>
      <w:r w:rsidRPr="00AA5B9E">
        <w:rPr>
          <w:i/>
        </w:rPr>
        <w:t>Disch</w:t>
      </w:r>
      <w:r w:rsidRPr="00AA5B9E">
        <w:t>, in mega-litters, ML).</w:t>
      </w:r>
    </w:p>
    <w:p w14:paraId="6531B8EB" w14:textId="77777777" w:rsidR="006B1B41" w:rsidRPr="00AA5B9E" w:rsidRDefault="006B1B41" w:rsidP="006B1B41">
      <w:pPr>
        <w:tabs>
          <w:tab w:val="left" w:pos="7938"/>
        </w:tabs>
        <w:ind w:right="96"/>
        <w:rPr>
          <w:rFonts w:cs="Courier New"/>
        </w:rPr>
      </w:pPr>
      <m:oMath>
        <m:r>
          <w:rPr>
            <w:rFonts w:ascii="Cambria Math" w:hAnsi="Cambria Math" w:cs="Courier New"/>
          </w:rPr>
          <m:t>Dist</m:t>
        </m:r>
        <m:r>
          <m:rPr>
            <m:sty m:val="p"/>
          </m:rPr>
          <w:rPr>
            <w:rFonts w:ascii="Cambria Math" w:hAnsi="Cambria Math" w:cs="Courier New"/>
          </w:rPr>
          <m:t>=-2.720∙</m:t>
        </m:r>
        <m:sSup>
          <m:sSupPr>
            <m:ctrlPr>
              <w:rPr>
                <w:rFonts w:ascii="Cambria Math" w:hAnsi="Cambria Math" w:cs="Courier New"/>
              </w:rPr>
            </m:ctrlPr>
          </m:sSupPr>
          <m:e>
            <m:r>
              <m:rPr>
                <m:sty m:val="p"/>
              </m:rPr>
              <w:rPr>
                <w:rFonts w:ascii="Cambria Math" w:hAnsi="Cambria Math" w:cs="Courier New"/>
              </w:rPr>
              <m:t>10</m:t>
            </m:r>
          </m:e>
          <m:sup>
            <m:r>
              <m:rPr>
                <m:sty m:val="p"/>
              </m:rPr>
              <w:rPr>
                <w:rFonts w:ascii="Cambria Math" w:hAnsi="Cambria Math" w:cs="Courier New"/>
              </w:rPr>
              <m:t>-13</m:t>
            </m:r>
          </m:sup>
        </m:sSup>
        <m:r>
          <m:rPr>
            <m:sty m:val="p"/>
          </m:rPr>
          <w:rPr>
            <w:rFonts w:ascii="Cambria Math" w:hAnsi="Cambria Math" w:cs="Courier New"/>
          </w:rPr>
          <m:t>∙</m:t>
        </m:r>
        <m:sSup>
          <m:sSupPr>
            <m:ctrlPr>
              <w:rPr>
                <w:rFonts w:ascii="Cambria Math" w:hAnsi="Cambria Math" w:cs="Courier New"/>
              </w:rPr>
            </m:ctrlPr>
          </m:sSupPr>
          <m:e>
            <m:r>
              <w:rPr>
                <w:rFonts w:ascii="Cambria Math" w:hAnsi="Cambria Math" w:cs="Courier New"/>
              </w:rPr>
              <m:t>Disch</m:t>
            </m:r>
          </m:e>
          <m:sup>
            <m:r>
              <m:rPr>
                <m:sty m:val="p"/>
              </m:rPr>
              <w:rPr>
                <w:rFonts w:ascii="Cambria Math" w:hAnsi="Cambria Math" w:cs="Courier New"/>
              </w:rPr>
              <m:t>2</m:t>
            </m:r>
          </m:sup>
        </m:sSup>
        <m:r>
          <m:rPr>
            <m:sty m:val="p"/>
          </m:rPr>
          <w:rPr>
            <w:rFonts w:ascii="Cambria Math" w:hAnsi="Cambria Math" w:cs="Courier New"/>
          </w:rPr>
          <m:t>+2.028∙</m:t>
        </m:r>
        <m:sSup>
          <m:sSupPr>
            <m:ctrlPr>
              <w:rPr>
                <w:rFonts w:ascii="Cambria Math" w:hAnsi="Cambria Math" w:cs="Courier New"/>
              </w:rPr>
            </m:ctrlPr>
          </m:sSupPr>
          <m:e>
            <m:r>
              <m:rPr>
                <m:sty m:val="p"/>
              </m:rPr>
              <w:rPr>
                <w:rFonts w:ascii="Cambria Math" w:hAnsi="Cambria Math" w:cs="Courier New"/>
              </w:rPr>
              <m:t>10</m:t>
            </m:r>
          </m:e>
          <m:sup>
            <m:r>
              <m:rPr>
                <m:sty m:val="p"/>
              </m:rPr>
              <w:rPr>
                <w:rFonts w:ascii="Cambria Math" w:hAnsi="Cambria Math" w:cs="Courier New"/>
              </w:rPr>
              <m:t>-5</m:t>
            </m:r>
          </m:sup>
        </m:sSup>
        <m:r>
          <m:rPr>
            <m:sty m:val="p"/>
          </m:rPr>
          <w:rPr>
            <w:rFonts w:ascii="Cambria Math" w:hAnsi="Cambria Math" w:cs="Courier New"/>
          </w:rPr>
          <m:t>∙</m:t>
        </m:r>
        <m:r>
          <w:rPr>
            <w:rFonts w:ascii="Cambria Math" w:hAnsi="Cambria Math" w:cs="Courier New"/>
          </w:rPr>
          <m:t>Disch</m:t>
        </m:r>
        <m:r>
          <m:rPr>
            <m:sty m:val="p"/>
          </m:rPr>
          <w:rPr>
            <w:rFonts w:ascii="Cambria Math" w:hAnsi="Cambria Math" w:cs="Courier New"/>
          </w:rPr>
          <m:t>+58.84</m:t>
        </m:r>
      </m:oMath>
      <w:r w:rsidRPr="00AA5B9E">
        <w:rPr>
          <w:rFonts w:eastAsiaTheme="minorEastAsia" w:cs="Courier New"/>
        </w:rPr>
        <w:tab/>
        <w:t xml:space="preserve"> (Eq. 2)</w:t>
      </w:r>
    </w:p>
    <w:p w14:paraId="3F8FFE6A" w14:textId="77777777" w:rsidR="006B1B41" w:rsidRPr="00AA5B9E" w:rsidRDefault="006B1B41" w:rsidP="006B1B41"/>
    <w:p w14:paraId="122009B1" w14:textId="77777777" w:rsidR="006B1B41" w:rsidRPr="00AA5B9E" w:rsidRDefault="006B1B41" w:rsidP="006B1B41">
      <w:pPr>
        <w:pStyle w:val="Heading6"/>
        <w:rPr>
          <w:szCs w:val="22"/>
        </w:rPr>
      </w:pPr>
      <w:r w:rsidRPr="00AA5B9E">
        <w:rPr>
          <w:noProof/>
          <w:szCs w:val="22"/>
          <w:lang w:eastAsia="en-AU"/>
        </w:rPr>
        <w:drawing>
          <wp:inline distT="0" distB="0" distL="0" distR="0" wp14:anchorId="62F3E11B" wp14:editId="4449D284">
            <wp:extent cx="5040000" cy="3528000"/>
            <wp:effectExtent l="0" t="0" r="8255" b="0"/>
            <wp:docPr id="12" name="Picture 12" descr="Relationship between river discharge (ML) and distance (km) between river mouth and the outer edge of tracer plume. Dashed lines stand for CI 95%. Red dot stands for point excluded from the regression model." title="Relationship between river discharge (ML) and distance (km) between river mouth and the outer edge of tracer plu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5" cstate="screen">
                      <a:extLst>
                        <a:ext uri="{28A0092B-C50C-407E-A947-70E740481C1C}">
                          <a14:useLocalDpi xmlns:a14="http://schemas.microsoft.com/office/drawing/2010/main"/>
                        </a:ext>
                      </a:extLst>
                    </a:blip>
                    <a:stretch>
                      <a:fillRect/>
                    </a:stretch>
                  </pic:blipFill>
                  <pic:spPr>
                    <a:xfrm>
                      <a:off x="0" y="0"/>
                      <a:ext cx="5040000" cy="3528000"/>
                    </a:xfrm>
                    <a:prstGeom prst="rect">
                      <a:avLst/>
                    </a:prstGeom>
                  </pic:spPr>
                </pic:pic>
              </a:graphicData>
            </a:graphic>
          </wp:inline>
        </w:drawing>
      </w:r>
    </w:p>
    <w:p w14:paraId="72209554" w14:textId="24D0E987" w:rsidR="006B1B41" w:rsidRPr="00AA5B9E" w:rsidRDefault="006B1B41" w:rsidP="006B1B41">
      <w:pPr>
        <w:pStyle w:val="Caption"/>
        <w:tabs>
          <w:tab w:val="clear" w:pos="1134"/>
          <w:tab w:val="left" w:pos="-90"/>
        </w:tabs>
        <w:ind w:left="0" w:firstLine="0"/>
      </w:pPr>
      <w:bookmarkStart w:id="146" w:name="_Toc454303909"/>
      <w:r w:rsidRPr="00AA5B9E">
        <w:t xml:space="preserve">Figure </w:t>
      </w:r>
      <w:r w:rsidR="009F4CB0">
        <w:fldChar w:fldCharType="begin"/>
      </w:r>
      <w:r w:rsidR="009F4CB0">
        <w:instrText xml:space="preserve"> STYLEREF 1 \s </w:instrText>
      </w:r>
      <w:r w:rsidR="009F4CB0">
        <w:fldChar w:fldCharType="separate"/>
      </w:r>
      <w:r w:rsidR="000E22F3">
        <w:rPr>
          <w:noProof/>
        </w:rPr>
        <w:t>4</w:t>
      </w:r>
      <w:r w:rsidR="009F4CB0">
        <w:fldChar w:fldCharType="end"/>
      </w:r>
      <w:r w:rsidR="009F4CB0">
        <w:noBreakHyphen/>
      </w:r>
      <w:r w:rsidR="009F4CB0">
        <w:fldChar w:fldCharType="begin"/>
      </w:r>
      <w:r w:rsidR="009F4CB0">
        <w:instrText xml:space="preserve"> SEQ Figure \* ARABIC \s 1 </w:instrText>
      </w:r>
      <w:r w:rsidR="009F4CB0">
        <w:fldChar w:fldCharType="separate"/>
      </w:r>
      <w:r w:rsidR="000E22F3">
        <w:rPr>
          <w:noProof/>
        </w:rPr>
        <w:t>4</w:t>
      </w:r>
      <w:r w:rsidR="009F4CB0">
        <w:fldChar w:fldCharType="end"/>
      </w:r>
      <w:r w:rsidRPr="00AA5B9E">
        <w:t>:  Relationship between river discharge (ML) and distance (km) between river mouth and the outer edge of tracer plume. Dashed lines stand for CI 95%. Red dot stands for point excluded from the regression model.</w:t>
      </w:r>
      <w:bookmarkEnd w:id="146"/>
    </w:p>
    <w:p w14:paraId="670DA309" w14:textId="77777777" w:rsidR="006B1B41" w:rsidRPr="00AA5B9E" w:rsidRDefault="006B1B41" w:rsidP="006B1B41">
      <w:pPr>
        <w:rPr>
          <w:lang w:val="en-GB" w:eastAsia="en-US"/>
        </w:rPr>
      </w:pPr>
    </w:p>
    <w:p w14:paraId="1134834A" w14:textId="4658E4BE" w:rsidR="006B1B41" w:rsidRPr="00AA5B9E" w:rsidRDefault="006B1B41" w:rsidP="006B1B41">
      <w:r w:rsidRPr="00AA5B9E">
        <w:rPr>
          <w:rFonts w:cs="Courier New"/>
        </w:rPr>
        <w:t>In order to distribute the end-of-catchment DIN loads over the GBR waters, the DIN dispersion</w:t>
      </w:r>
      <w:r w:rsidR="00554012">
        <w:rPr>
          <w:rFonts w:cs="Courier New"/>
        </w:rPr>
        <w:t xml:space="preserve"> map for each river was normalis</w:t>
      </w:r>
      <w:r w:rsidRPr="00AA5B9E">
        <w:rPr>
          <w:rFonts w:cs="Courier New"/>
        </w:rPr>
        <w:t xml:space="preserve">ed by dividing each cell-raster value by the sum </w:t>
      </w:r>
      <w:r w:rsidR="00A27E0F" w:rsidRPr="00AA5B9E">
        <w:rPr>
          <w:rFonts w:cs="Courier New"/>
        </w:rPr>
        <w:t>of all the values in the raster</w:t>
      </w:r>
      <w:r w:rsidRPr="00AA5B9E">
        <w:rPr>
          <w:rFonts w:cs="Courier New"/>
        </w:rPr>
        <w:t>. This resulted in an annual normali</w:t>
      </w:r>
      <w:r w:rsidR="00554012">
        <w:rPr>
          <w:rFonts w:cs="Courier New"/>
        </w:rPr>
        <w:t>s</w:t>
      </w:r>
      <w:r w:rsidRPr="00AA5B9E">
        <w:rPr>
          <w:rFonts w:cs="Courier New"/>
        </w:rPr>
        <w:t>ed DIN dispersion map (no unity) for each river, in which the sum of the cell-raster values is equal to one. Therefore, by multiplying the DIN load of each river by its normal</w:t>
      </w:r>
      <w:r w:rsidR="00554012">
        <w:rPr>
          <w:rFonts w:cs="Courier New"/>
        </w:rPr>
        <w:t>is</w:t>
      </w:r>
      <w:r w:rsidRPr="00AA5B9E">
        <w:rPr>
          <w:rFonts w:cs="Courier New"/>
        </w:rPr>
        <w:t>ed DIN dispersion map and accounting for the cell-raster size (500 × 500 m</w:t>
      </w:r>
      <w:r w:rsidRPr="00AA5B9E">
        <w:rPr>
          <w:rFonts w:cs="Courier New"/>
          <w:vertAlign w:val="superscript"/>
        </w:rPr>
        <w:t>2</w:t>
      </w:r>
      <w:r w:rsidRPr="00AA5B9E">
        <w:rPr>
          <w:rFonts w:cs="Courier New"/>
        </w:rPr>
        <w:t>), a map for the spatial DIN yield in kg/km</w:t>
      </w:r>
      <w:r w:rsidRPr="00AA5B9E">
        <w:rPr>
          <w:rFonts w:cs="Courier New"/>
          <w:vertAlign w:val="superscript"/>
        </w:rPr>
        <w:t>2</w:t>
      </w:r>
      <w:r w:rsidRPr="00AA5B9E">
        <w:rPr>
          <w:rFonts w:cs="Courier New"/>
        </w:rPr>
        <w:t xml:space="preserve"> was constructed. DIN yield maps were calculated for each river </w:t>
      </w:r>
      <w:r w:rsidRPr="00AA5B9E">
        <w:rPr>
          <w:rFonts w:cs="Courier New"/>
        </w:rPr>
        <w:lastRenderedPageBreak/>
        <w:t>per year, and annual composite maps were produced by the sum of all river DIN yield maps within each year.</w:t>
      </w:r>
    </w:p>
    <w:p w14:paraId="269D5A64" w14:textId="77777777" w:rsidR="006B1B41" w:rsidRDefault="006B1B41" w:rsidP="006B1B41">
      <w:r w:rsidRPr="00AA5B9E">
        <w:t xml:space="preserve">In this report we also present a map for TSS distribution over the period of influence for Ex-tropical cyclone Ita. TSS loads were obtained from the Great Barrier Reef Catchments Loads Monitoring Program for the main rivers in the Wet Tropics, the main area affected by the passage of the Ex-tropical cyclone Ita (i.e., the Barron, Russell-Mulgrave, Johnstone, Tully and Herbert rivers). The model used for TSS was exactly the same used for DIN except that a relationship </w:t>
      </w:r>
      <w:r w:rsidR="00BC5198">
        <w:t xml:space="preserve">between </w:t>
      </w:r>
      <w:r w:rsidRPr="00AA5B9E">
        <w:t xml:space="preserve">TSS </w:t>
      </w:r>
      <w:r w:rsidR="00BC5198">
        <w:t>in the</w:t>
      </w:r>
      <w:r w:rsidRPr="00AA5B9E">
        <w:t xml:space="preserve"> six-colour class was used instead.</w:t>
      </w:r>
    </w:p>
    <w:p w14:paraId="7DA1841E" w14:textId="77777777" w:rsidR="0015270F" w:rsidRPr="0095562E" w:rsidRDefault="0015270F" w:rsidP="00B46AF9">
      <w:pPr>
        <w:pStyle w:val="Heading2"/>
        <w:numPr>
          <w:ilvl w:val="1"/>
          <w:numId w:val="3"/>
        </w:numPr>
      </w:pPr>
      <w:bookmarkStart w:id="147" w:name="_Toc443299478"/>
      <w:bookmarkStart w:id="148" w:name="_Toc443299691"/>
      <w:bookmarkStart w:id="149" w:name="_Toc454304711"/>
      <w:r w:rsidRPr="0095562E">
        <w:t>Results</w:t>
      </w:r>
      <w:bookmarkEnd w:id="147"/>
      <w:bookmarkEnd w:id="148"/>
      <w:bookmarkEnd w:id="149"/>
    </w:p>
    <w:p w14:paraId="38567247" w14:textId="2B8BC27F" w:rsidR="0095562E" w:rsidRDefault="0095562E" w:rsidP="00B46AF9">
      <w:pPr>
        <w:pStyle w:val="Heading2"/>
      </w:pPr>
      <w:bookmarkStart w:id="150" w:name="_Toc443299479"/>
      <w:bookmarkStart w:id="151" w:name="_Toc443299692"/>
      <w:bookmarkStart w:id="152" w:name="_Toc454304712"/>
      <w:r>
        <w:t xml:space="preserve">Data analysis - </w:t>
      </w:r>
      <w:r w:rsidR="00BE1A79">
        <w:t>S</w:t>
      </w:r>
      <w:r>
        <w:t>patial</w:t>
      </w:r>
      <w:bookmarkEnd w:id="150"/>
      <w:bookmarkEnd w:id="151"/>
      <w:bookmarkEnd w:id="152"/>
    </w:p>
    <w:p w14:paraId="676ADF8A" w14:textId="46DDC9D6" w:rsidR="0015270F" w:rsidRPr="00533D6A" w:rsidRDefault="00BD7FB0" w:rsidP="0015270F">
      <w:r w:rsidRPr="00533D6A">
        <w:t xml:space="preserve">Two transects in the </w:t>
      </w:r>
      <w:r w:rsidRPr="00533D6A">
        <w:rPr>
          <w:u w:val="single"/>
        </w:rPr>
        <w:t>Wet Tropics region</w:t>
      </w:r>
      <w:r w:rsidRPr="00533D6A">
        <w:t xml:space="preserve"> are included in </w:t>
      </w:r>
      <w:r w:rsidR="004C5492" w:rsidRPr="00533D6A">
        <w:t xml:space="preserve">the spatial analysis </w:t>
      </w:r>
      <w:r w:rsidR="00282ECB" w:rsidRPr="00533D6A">
        <w:t xml:space="preserve">(Tully and </w:t>
      </w:r>
      <w:r w:rsidR="00A12002" w:rsidRPr="00533D6A">
        <w:t xml:space="preserve">Russell-Mulgrave, </w:t>
      </w:r>
      <w:r w:rsidR="0015270F" w:rsidRPr="00533D6A">
        <w:t xml:space="preserve">Table </w:t>
      </w:r>
      <w:r w:rsidR="00282ECB" w:rsidRPr="00533D6A">
        <w:t>4-5</w:t>
      </w:r>
      <w:r w:rsidR="0015270F" w:rsidRPr="00533D6A">
        <w:t xml:space="preserve">). Total suspended solids (TSS) ranged between </w:t>
      </w:r>
      <w:r w:rsidR="00C26A05" w:rsidRPr="00533D6A">
        <w:t>1.0</w:t>
      </w:r>
      <w:r w:rsidR="0015270F" w:rsidRPr="00533D6A">
        <w:t xml:space="preserve"> – </w:t>
      </w:r>
      <w:r w:rsidR="00C26A05" w:rsidRPr="00533D6A">
        <w:t xml:space="preserve">21 </w:t>
      </w:r>
      <w:r w:rsidR="0015270F" w:rsidRPr="00533D6A">
        <w:t xml:space="preserve">mg/L, with the highest value sampled at the </w:t>
      </w:r>
      <w:r w:rsidR="00762BEF" w:rsidRPr="00533D6A">
        <w:t>Tully</w:t>
      </w:r>
      <w:r w:rsidR="0015270F" w:rsidRPr="00533D6A">
        <w:t xml:space="preserve"> mouth on 2</w:t>
      </w:r>
      <w:r w:rsidR="00762BEF" w:rsidRPr="00533D6A">
        <w:t>4</w:t>
      </w:r>
      <w:r w:rsidR="0015270F" w:rsidRPr="00533D6A">
        <w:t>-03-201</w:t>
      </w:r>
      <w:r w:rsidR="00762BEF" w:rsidRPr="00533D6A">
        <w:t>4</w:t>
      </w:r>
      <w:r w:rsidR="0015270F" w:rsidRPr="00533D6A">
        <w:t>, Chl-a ranged between 0.</w:t>
      </w:r>
      <w:r w:rsidR="00E77510" w:rsidRPr="00533D6A">
        <w:t xml:space="preserve">20 </w:t>
      </w:r>
      <w:r w:rsidR="0015270F" w:rsidRPr="00533D6A">
        <w:t xml:space="preserve">– </w:t>
      </w:r>
      <w:r w:rsidR="00762BEF" w:rsidRPr="00533D6A">
        <w:t>4.86</w:t>
      </w:r>
      <w:r w:rsidR="0015270F" w:rsidRPr="00533D6A">
        <w:t xml:space="preserve"> µg/L, and in </w:t>
      </w:r>
      <w:r w:rsidR="00762BEF" w:rsidRPr="00533D6A">
        <w:t>64</w:t>
      </w:r>
      <w:r w:rsidR="0015270F" w:rsidRPr="00533D6A">
        <w:t>% of the sampled sites</w:t>
      </w:r>
      <w:r w:rsidR="00762BEF" w:rsidRPr="00533D6A">
        <w:t>,</w:t>
      </w:r>
      <w:r w:rsidR="0015270F" w:rsidRPr="00533D6A">
        <w:t xml:space="preserve"> it was above the (annual) water quality guideline (i.e., 0.45 µg/L, GBRMPA, 2009). The highest </w:t>
      </w:r>
      <w:r w:rsidR="00A80E09">
        <w:t>Chl</w:t>
      </w:r>
      <w:r w:rsidR="0015270F" w:rsidRPr="00533D6A">
        <w:t xml:space="preserve">-a value was observed </w:t>
      </w:r>
      <w:r w:rsidR="00794225" w:rsidRPr="00533D6A">
        <w:t>in secondary waters  between High Island and Fitzroy Island (approximately 40km from the Russell-Mulgrave river</w:t>
      </w:r>
      <w:r w:rsidR="0015270F" w:rsidRPr="00533D6A">
        <w:t xml:space="preserve"> mouth), u</w:t>
      </w:r>
      <w:r w:rsidR="002854A3" w:rsidRPr="00533D6A">
        <w:t xml:space="preserve">nder the influence of </w:t>
      </w:r>
      <w:r w:rsidR="000F26F1" w:rsidRPr="00533D6A">
        <w:t xml:space="preserve">phytoplankton enriched </w:t>
      </w:r>
      <w:r w:rsidR="0015270F" w:rsidRPr="00533D6A">
        <w:t>waters. The minimum values for DIN ranged from 0.</w:t>
      </w:r>
      <w:r w:rsidR="00794225" w:rsidRPr="00533D6A">
        <w:t xml:space="preserve">36 </w:t>
      </w:r>
      <w:r w:rsidR="0015270F" w:rsidRPr="00533D6A">
        <w:t xml:space="preserve">– </w:t>
      </w:r>
      <w:r w:rsidR="00794225" w:rsidRPr="00533D6A">
        <w:t xml:space="preserve">0.86 </w:t>
      </w:r>
      <w:r w:rsidR="0015270F" w:rsidRPr="00533D6A">
        <w:t>µM and minimum DIP values ranged from 0.03 – 0.</w:t>
      </w:r>
      <w:r w:rsidR="00E77510" w:rsidRPr="00533D6A">
        <w:t xml:space="preserve">06 </w:t>
      </w:r>
      <w:r w:rsidR="0015270F" w:rsidRPr="00533D6A">
        <w:t xml:space="preserve">µM. The maximum values for DIN ranged from </w:t>
      </w:r>
      <w:r w:rsidR="00794225" w:rsidRPr="00533D6A">
        <w:t xml:space="preserve">17.6 </w:t>
      </w:r>
      <w:r w:rsidR="001D6FE0" w:rsidRPr="00533D6A">
        <w:t xml:space="preserve">µM </w:t>
      </w:r>
      <w:r w:rsidR="00794225" w:rsidRPr="00533D6A">
        <w:t xml:space="preserve">(RM) to </w:t>
      </w:r>
      <w:r w:rsidR="00E77510" w:rsidRPr="00533D6A">
        <w:t xml:space="preserve"> </w:t>
      </w:r>
      <w:r w:rsidR="0015270F" w:rsidRPr="00533D6A">
        <w:t>1</w:t>
      </w:r>
      <w:r w:rsidR="00794225" w:rsidRPr="00533D6A">
        <w:t>9</w:t>
      </w:r>
      <w:r w:rsidR="0015270F" w:rsidRPr="00533D6A">
        <w:t>.6</w:t>
      </w:r>
      <w:r w:rsidR="00794225" w:rsidRPr="00533D6A">
        <w:t xml:space="preserve"> </w:t>
      </w:r>
      <w:r w:rsidR="001D6FE0" w:rsidRPr="00533D6A">
        <w:t xml:space="preserve">µM </w:t>
      </w:r>
      <w:r w:rsidR="001D6FE0">
        <w:t xml:space="preserve"> </w:t>
      </w:r>
      <w:r w:rsidR="00794225" w:rsidRPr="00533D6A">
        <w:t>(Tully)</w:t>
      </w:r>
      <w:r w:rsidR="0015270F" w:rsidRPr="00533D6A">
        <w:t xml:space="preserve"> and maximum DIP values ranged from 0.</w:t>
      </w:r>
      <w:r w:rsidR="00794225" w:rsidRPr="00533D6A">
        <w:t>74</w:t>
      </w:r>
      <w:r w:rsidR="001D6FE0">
        <w:t xml:space="preserve"> </w:t>
      </w:r>
      <w:r w:rsidR="001D6FE0" w:rsidRPr="00533D6A">
        <w:t>µM</w:t>
      </w:r>
      <w:r w:rsidR="00794225" w:rsidRPr="00533D6A">
        <w:t xml:space="preserve"> (RM) to </w:t>
      </w:r>
      <w:r w:rsidR="0015270F" w:rsidRPr="00533D6A">
        <w:t xml:space="preserve"> 0.29</w:t>
      </w:r>
      <w:r w:rsidR="001D6FE0" w:rsidRPr="001D6FE0">
        <w:t xml:space="preserve"> </w:t>
      </w:r>
      <w:r w:rsidR="001D6FE0" w:rsidRPr="00533D6A">
        <w:t>µM</w:t>
      </w:r>
      <w:r w:rsidR="00794225" w:rsidRPr="00533D6A">
        <w:t xml:space="preserve"> (Tully)</w:t>
      </w:r>
      <w:r w:rsidR="0015270F" w:rsidRPr="00533D6A">
        <w:t>.  The highest value of DIN (</w:t>
      </w:r>
      <w:r w:rsidR="00794225" w:rsidRPr="00533D6A">
        <w:t>19</w:t>
      </w:r>
      <w:r w:rsidR="0015270F" w:rsidRPr="00533D6A">
        <w:t xml:space="preserve">.6 µM) was recorded at Tully River mouth on </w:t>
      </w:r>
      <w:r w:rsidR="00794225" w:rsidRPr="00533D6A">
        <w:t>05</w:t>
      </w:r>
      <w:r w:rsidR="0015270F" w:rsidRPr="00533D6A">
        <w:t>-0</w:t>
      </w:r>
      <w:r w:rsidR="00794225" w:rsidRPr="00533D6A">
        <w:t>2</w:t>
      </w:r>
      <w:r w:rsidR="0015270F" w:rsidRPr="00533D6A">
        <w:t>-201</w:t>
      </w:r>
      <w:r w:rsidR="00794225" w:rsidRPr="00533D6A">
        <w:t>4</w:t>
      </w:r>
      <w:r w:rsidR="0015270F" w:rsidRPr="00533D6A">
        <w:t xml:space="preserve"> at a salinity of </w:t>
      </w:r>
      <w:r w:rsidR="00794225" w:rsidRPr="00533D6A">
        <w:t>0.4</w:t>
      </w:r>
      <w:r w:rsidR="0015270F" w:rsidRPr="00533D6A">
        <w:t xml:space="preserve"> and under a 5-days average discharge of </w:t>
      </w:r>
      <w:r w:rsidR="00794225" w:rsidRPr="00533D6A">
        <w:t xml:space="preserve">30,000 </w:t>
      </w:r>
      <w:r w:rsidR="0015270F" w:rsidRPr="00533D6A">
        <w:t>ML/d (higher than the 95</w:t>
      </w:r>
      <w:r w:rsidR="0015270F" w:rsidRPr="00533D6A">
        <w:rPr>
          <w:vertAlign w:val="superscript"/>
        </w:rPr>
        <w:t>th</w:t>
      </w:r>
      <w:r w:rsidR="0015270F" w:rsidRPr="00533D6A">
        <w:t xml:space="preserve"> percentile, 28,441 ML/d, Table 2-2), suggesting a strong continental contribution of DIN during flood conditions. </w:t>
      </w:r>
    </w:p>
    <w:p w14:paraId="0A0E917F" w14:textId="50639C87" w:rsidR="00BD7FB0" w:rsidRDefault="00BD7FB0" w:rsidP="00BD7FB0">
      <w:pPr>
        <w:pStyle w:val="Caption"/>
      </w:pPr>
      <w:bookmarkStart w:id="153" w:name="_Toc454304609"/>
      <w:r>
        <w:t xml:space="preserve">Table </w:t>
      </w:r>
      <w:r w:rsidR="00445BD2">
        <w:fldChar w:fldCharType="begin"/>
      </w:r>
      <w:r w:rsidR="00445BD2">
        <w:instrText xml:space="preserve"> STYLEREF 1 \s </w:instrText>
      </w:r>
      <w:r w:rsidR="00445BD2">
        <w:fldChar w:fldCharType="separate"/>
      </w:r>
      <w:r w:rsidR="000E22F3">
        <w:rPr>
          <w:noProof/>
        </w:rPr>
        <w:t>4</w:t>
      </w:r>
      <w:r w:rsidR="00445BD2">
        <w:fldChar w:fldCharType="end"/>
      </w:r>
      <w:r w:rsidR="00445BD2">
        <w:noBreakHyphen/>
      </w:r>
      <w:r w:rsidR="00445BD2">
        <w:fldChar w:fldCharType="begin"/>
      </w:r>
      <w:r w:rsidR="00445BD2">
        <w:instrText xml:space="preserve"> SEQ Table \* ARABIC \s 1 </w:instrText>
      </w:r>
      <w:r w:rsidR="00445BD2">
        <w:fldChar w:fldCharType="separate"/>
      </w:r>
      <w:r w:rsidR="000E22F3">
        <w:rPr>
          <w:noProof/>
        </w:rPr>
        <w:t>4</w:t>
      </w:r>
      <w:r w:rsidR="00445BD2">
        <w:fldChar w:fldCharType="end"/>
      </w:r>
      <w:r>
        <w:t xml:space="preserve">: </w:t>
      </w:r>
      <w:r w:rsidRPr="008F1CE3">
        <w:t xml:space="preserve">Summary of </w:t>
      </w:r>
      <w:r>
        <w:t>transects</w:t>
      </w:r>
      <w:r w:rsidRPr="00DF53A4">
        <w:t xml:space="preserve"> that were completed </w:t>
      </w:r>
      <w:r w:rsidR="00282ECB">
        <w:t xml:space="preserve">and including in this report </w:t>
      </w:r>
      <w:r w:rsidRPr="00DF53A4">
        <w:t xml:space="preserve">during the </w:t>
      </w:r>
      <w:r w:rsidR="00D41D03" w:rsidRPr="00DF53A4">
        <w:t>201</w:t>
      </w:r>
      <w:r w:rsidR="00D41D03">
        <w:t>3</w:t>
      </w:r>
      <w:r w:rsidRPr="00DF53A4">
        <w:t>-</w:t>
      </w:r>
      <w:r w:rsidR="00D41D03" w:rsidRPr="00DF53A4">
        <w:t>201</w:t>
      </w:r>
      <w:r w:rsidR="00D41D03">
        <w:t xml:space="preserve">4 </w:t>
      </w:r>
      <w:r w:rsidRPr="00DF53A4">
        <w:t>wet season</w:t>
      </w:r>
      <w:r>
        <w:t xml:space="preserve"> </w:t>
      </w:r>
      <w:r w:rsidRPr="00DF53A4">
        <w:t>under the MMP program.</w:t>
      </w:r>
      <w:r>
        <w:t xml:space="preserve"> Minimum (min), maximum (max), mean, standard deviation (SD) and the number of samples are calculated over multiple sites and multiple dates within each river plume water surface and are provided as a guidance of the range of values within each sampling transect.</w:t>
      </w:r>
      <w:bookmarkEnd w:id="153"/>
      <w:r>
        <w:t xml:space="preserve"> </w:t>
      </w:r>
    </w:p>
    <w:tbl>
      <w:tblPr>
        <w:tblW w:w="3934" w:type="pct"/>
        <w:jc w:val="center"/>
        <w:tblLook w:val="04A0" w:firstRow="1" w:lastRow="0" w:firstColumn="1" w:lastColumn="0" w:noHBand="0" w:noVBand="1"/>
        <w:tblCaption w:val="Summary of transects that were completed and including in this report during the 2013-2014 wet season"/>
        <w:tblDescription w:val="Summary of transects that were completed and including in this report during the 2013-2014 wet season under the MMP program. Minimum (min), maximum (max), mean, standard deviation (SD) and the number of samples are calculated over multiple sites and multiple dates within each river plume water surface and are provided as a guidance of the range of values within each sampling transect. "/>
      </w:tblPr>
      <w:tblGrid>
        <w:gridCol w:w="4022"/>
        <w:gridCol w:w="742"/>
        <w:gridCol w:w="1694"/>
        <w:gridCol w:w="814"/>
      </w:tblGrid>
      <w:tr w:rsidR="00D41D03" w:rsidRPr="00BC5198" w14:paraId="23E31642" w14:textId="77777777" w:rsidTr="00F658CE">
        <w:trPr>
          <w:trHeight w:val="20"/>
          <w:tblHeader/>
          <w:jc w:val="center"/>
        </w:trPr>
        <w:tc>
          <w:tcPr>
            <w:tcW w:w="0" w:type="auto"/>
            <w:tcBorders>
              <w:top w:val="single" w:sz="4" w:space="0" w:color="auto"/>
              <w:left w:val="nil"/>
              <w:bottom w:val="single" w:sz="4" w:space="0" w:color="auto"/>
              <w:right w:val="nil"/>
            </w:tcBorders>
            <w:shd w:val="clear" w:color="auto" w:fill="auto"/>
            <w:vAlign w:val="center"/>
            <w:hideMark/>
          </w:tcPr>
          <w:p w14:paraId="6BF058E0"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Parameters</w:t>
            </w:r>
          </w:p>
        </w:tc>
        <w:tc>
          <w:tcPr>
            <w:tcW w:w="0" w:type="auto"/>
            <w:tcBorders>
              <w:top w:val="single" w:sz="4" w:space="0" w:color="auto"/>
              <w:left w:val="nil"/>
              <w:bottom w:val="single" w:sz="4" w:space="0" w:color="auto"/>
              <w:right w:val="nil"/>
            </w:tcBorders>
            <w:shd w:val="clear" w:color="auto" w:fill="auto"/>
            <w:vAlign w:val="center"/>
            <w:hideMark/>
          </w:tcPr>
          <w:p w14:paraId="7E8E7BDD"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Stats.</w:t>
            </w:r>
          </w:p>
        </w:tc>
        <w:tc>
          <w:tcPr>
            <w:tcW w:w="0" w:type="auto"/>
            <w:tcBorders>
              <w:top w:val="single" w:sz="4" w:space="0" w:color="auto"/>
              <w:left w:val="nil"/>
              <w:bottom w:val="single" w:sz="4" w:space="0" w:color="auto"/>
              <w:right w:val="nil"/>
            </w:tcBorders>
            <w:shd w:val="clear" w:color="auto" w:fill="auto"/>
            <w:vAlign w:val="center"/>
            <w:hideMark/>
          </w:tcPr>
          <w:p w14:paraId="3B32BC1B"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Russell-Mulgrave</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2467242A"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Tully</w:t>
            </w:r>
          </w:p>
        </w:tc>
      </w:tr>
      <w:tr w:rsidR="00D41D03" w:rsidRPr="00BC5198" w14:paraId="1AE4A5A8" w14:textId="77777777" w:rsidTr="00F658CE">
        <w:trPr>
          <w:trHeight w:val="20"/>
          <w:jc w:val="center"/>
        </w:trPr>
        <w:tc>
          <w:tcPr>
            <w:tcW w:w="0" w:type="auto"/>
            <w:vMerge w:val="restart"/>
            <w:tcBorders>
              <w:top w:val="nil"/>
              <w:left w:val="nil"/>
              <w:bottom w:val="single" w:sz="4" w:space="0" w:color="000000"/>
              <w:right w:val="nil"/>
            </w:tcBorders>
            <w:shd w:val="clear" w:color="auto" w:fill="auto"/>
            <w:vAlign w:val="center"/>
            <w:hideMark/>
          </w:tcPr>
          <w:p w14:paraId="59D9A1E4"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Temperature (˚C)</w:t>
            </w:r>
          </w:p>
        </w:tc>
        <w:tc>
          <w:tcPr>
            <w:tcW w:w="0" w:type="auto"/>
            <w:tcBorders>
              <w:top w:val="nil"/>
              <w:left w:val="nil"/>
              <w:bottom w:val="nil"/>
              <w:right w:val="nil"/>
            </w:tcBorders>
            <w:shd w:val="clear" w:color="auto" w:fill="auto"/>
            <w:noWrap/>
            <w:vAlign w:val="center"/>
            <w:hideMark/>
          </w:tcPr>
          <w:p w14:paraId="0D247F59"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Min.</w:t>
            </w:r>
          </w:p>
        </w:tc>
        <w:tc>
          <w:tcPr>
            <w:tcW w:w="0" w:type="auto"/>
            <w:tcBorders>
              <w:top w:val="nil"/>
              <w:left w:val="nil"/>
              <w:bottom w:val="nil"/>
              <w:right w:val="nil"/>
            </w:tcBorders>
            <w:shd w:val="clear" w:color="auto" w:fill="auto"/>
            <w:noWrap/>
            <w:vAlign w:val="center"/>
            <w:hideMark/>
          </w:tcPr>
          <w:p w14:paraId="4C3632CD" w14:textId="77777777" w:rsidR="00D41D03" w:rsidRPr="00BC5198" w:rsidRDefault="00D41D03" w:rsidP="0065493C">
            <w:pPr>
              <w:spacing w:before="0" w:after="0" w:line="276" w:lineRule="auto"/>
              <w:rPr>
                <w:sz w:val="20"/>
                <w:szCs w:val="20"/>
              </w:rPr>
            </w:pPr>
            <w:r w:rsidRPr="00BC5198">
              <w:rPr>
                <w:sz w:val="20"/>
                <w:szCs w:val="20"/>
              </w:rPr>
              <w:t>24.00</w:t>
            </w:r>
          </w:p>
        </w:tc>
        <w:tc>
          <w:tcPr>
            <w:tcW w:w="0" w:type="auto"/>
            <w:tcBorders>
              <w:top w:val="nil"/>
              <w:left w:val="nil"/>
              <w:bottom w:val="nil"/>
              <w:right w:val="single" w:sz="4" w:space="0" w:color="auto"/>
            </w:tcBorders>
            <w:shd w:val="clear" w:color="auto" w:fill="auto"/>
            <w:noWrap/>
            <w:vAlign w:val="center"/>
            <w:hideMark/>
          </w:tcPr>
          <w:p w14:paraId="5647C886" w14:textId="77777777" w:rsidR="00D41D03" w:rsidRPr="00BC5198" w:rsidRDefault="00D41D03" w:rsidP="0065493C">
            <w:pPr>
              <w:spacing w:before="0" w:after="0" w:line="276" w:lineRule="auto"/>
              <w:rPr>
                <w:sz w:val="20"/>
                <w:szCs w:val="20"/>
              </w:rPr>
            </w:pPr>
            <w:r w:rsidRPr="00BC5198">
              <w:rPr>
                <w:sz w:val="20"/>
                <w:szCs w:val="20"/>
              </w:rPr>
              <w:t>19.50</w:t>
            </w:r>
          </w:p>
        </w:tc>
      </w:tr>
      <w:tr w:rsidR="00D41D03" w:rsidRPr="00BC5198" w14:paraId="559BC53C" w14:textId="77777777" w:rsidTr="00F658CE">
        <w:trPr>
          <w:trHeight w:val="20"/>
          <w:jc w:val="center"/>
        </w:trPr>
        <w:tc>
          <w:tcPr>
            <w:tcW w:w="0" w:type="auto"/>
            <w:vMerge/>
            <w:tcBorders>
              <w:top w:val="nil"/>
              <w:left w:val="nil"/>
              <w:bottom w:val="single" w:sz="4" w:space="0" w:color="000000"/>
              <w:right w:val="nil"/>
            </w:tcBorders>
            <w:vAlign w:val="center"/>
            <w:hideMark/>
          </w:tcPr>
          <w:p w14:paraId="50B3E3DD"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nil"/>
              <w:right w:val="nil"/>
            </w:tcBorders>
            <w:shd w:val="clear" w:color="auto" w:fill="auto"/>
            <w:noWrap/>
            <w:vAlign w:val="center"/>
            <w:hideMark/>
          </w:tcPr>
          <w:p w14:paraId="20397A37"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Max.</w:t>
            </w:r>
          </w:p>
        </w:tc>
        <w:tc>
          <w:tcPr>
            <w:tcW w:w="0" w:type="auto"/>
            <w:tcBorders>
              <w:top w:val="nil"/>
              <w:left w:val="nil"/>
              <w:bottom w:val="nil"/>
              <w:right w:val="nil"/>
            </w:tcBorders>
            <w:shd w:val="clear" w:color="auto" w:fill="auto"/>
            <w:noWrap/>
            <w:vAlign w:val="center"/>
            <w:hideMark/>
          </w:tcPr>
          <w:p w14:paraId="58125D28" w14:textId="77777777" w:rsidR="00D41D03" w:rsidRPr="00BC5198" w:rsidRDefault="00D41D03" w:rsidP="0065493C">
            <w:pPr>
              <w:spacing w:before="0" w:after="0" w:line="276" w:lineRule="auto"/>
              <w:rPr>
                <w:sz w:val="20"/>
                <w:szCs w:val="20"/>
              </w:rPr>
            </w:pPr>
            <w:r w:rsidRPr="00BC5198">
              <w:rPr>
                <w:sz w:val="20"/>
                <w:szCs w:val="20"/>
              </w:rPr>
              <w:t>30.30</w:t>
            </w:r>
          </w:p>
        </w:tc>
        <w:tc>
          <w:tcPr>
            <w:tcW w:w="0" w:type="auto"/>
            <w:tcBorders>
              <w:top w:val="nil"/>
              <w:left w:val="nil"/>
              <w:bottom w:val="nil"/>
              <w:right w:val="single" w:sz="4" w:space="0" w:color="auto"/>
            </w:tcBorders>
            <w:shd w:val="clear" w:color="auto" w:fill="auto"/>
            <w:noWrap/>
            <w:vAlign w:val="center"/>
            <w:hideMark/>
          </w:tcPr>
          <w:p w14:paraId="538CA4D1" w14:textId="77777777" w:rsidR="00D41D03" w:rsidRPr="00BC5198" w:rsidRDefault="00D41D03" w:rsidP="0065493C">
            <w:pPr>
              <w:spacing w:before="0" w:after="0" w:line="276" w:lineRule="auto"/>
              <w:rPr>
                <w:sz w:val="20"/>
                <w:szCs w:val="20"/>
              </w:rPr>
            </w:pPr>
            <w:r w:rsidRPr="00BC5198">
              <w:rPr>
                <w:sz w:val="20"/>
                <w:szCs w:val="20"/>
              </w:rPr>
              <w:t>29.50</w:t>
            </w:r>
          </w:p>
        </w:tc>
      </w:tr>
      <w:tr w:rsidR="00D41D03" w:rsidRPr="00BC5198" w14:paraId="3FC181A1" w14:textId="77777777" w:rsidTr="00F658CE">
        <w:trPr>
          <w:trHeight w:val="20"/>
          <w:jc w:val="center"/>
        </w:trPr>
        <w:tc>
          <w:tcPr>
            <w:tcW w:w="0" w:type="auto"/>
            <w:vMerge/>
            <w:tcBorders>
              <w:top w:val="nil"/>
              <w:left w:val="nil"/>
              <w:bottom w:val="single" w:sz="4" w:space="0" w:color="000000"/>
              <w:right w:val="nil"/>
            </w:tcBorders>
            <w:vAlign w:val="center"/>
            <w:hideMark/>
          </w:tcPr>
          <w:p w14:paraId="53EA6A6F"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nil"/>
              <w:right w:val="nil"/>
            </w:tcBorders>
            <w:shd w:val="clear" w:color="auto" w:fill="auto"/>
            <w:noWrap/>
            <w:vAlign w:val="center"/>
            <w:hideMark/>
          </w:tcPr>
          <w:p w14:paraId="630203C8"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Mean</w:t>
            </w:r>
          </w:p>
        </w:tc>
        <w:tc>
          <w:tcPr>
            <w:tcW w:w="0" w:type="auto"/>
            <w:tcBorders>
              <w:top w:val="nil"/>
              <w:left w:val="nil"/>
              <w:bottom w:val="nil"/>
              <w:right w:val="nil"/>
            </w:tcBorders>
            <w:shd w:val="clear" w:color="auto" w:fill="auto"/>
            <w:noWrap/>
            <w:vAlign w:val="center"/>
            <w:hideMark/>
          </w:tcPr>
          <w:p w14:paraId="5F57F93B" w14:textId="77777777" w:rsidR="00D41D03" w:rsidRPr="00BC5198" w:rsidRDefault="00D41D03" w:rsidP="0065493C">
            <w:pPr>
              <w:spacing w:before="0" w:after="0" w:line="276" w:lineRule="auto"/>
              <w:rPr>
                <w:sz w:val="20"/>
                <w:szCs w:val="20"/>
              </w:rPr>
            </w:pPr>
            <w:r w:rsidRPr="00BC5198">
              <w:rPr>
                <w:sz w:val="20"/>
                <w:szCs w:val="20"/>
              </w:rPr>
              <w:t>27.77</w:t>
            </w:r>
          </w:p>
        </w:tc>
        <w:tc>
          <w:tcPr>
            <w:tcW w:w="0" w:type="auto"/>
            <w:tcBorders>
              <w:top w:val="nil"/>
              <w:left w:val="nil"/>
              <w:bottom w:val="nil"/>
              <w:right w:val="single" w:sz="4" w:space="0" w:color="auto"/>
            </w:tcBorders>
            <w:shd w:val="clear" w:color="auto" w:fill="auto"/>
            <w:noWrap/>
            <w:vAlign w:val="center"/>
            <w:hideMark/>
          </w:tcPr>
          <w:p w14:paraId="4D0123A6" w14:textId="77777777" w:rsidR="00D41D03" w:rsidRPr="00BC5198" w:rsidRDefault="00D41D03" w:rsidP="0065493C">
            <w:pPr>
              <w:spacing w:before="0" w:after="0" w:line="276" w:lineRule="auto"/>
              <w:rPr>
                <w:sz w:val="20"/>
                <w:szCs w:val="20"/>
              </w:rPr>
            </w:pPr>
            <w:r w:rsidRPr="00BC5198">
              <w:rPr>
                <w:sz w:val="20"/>
                <w:szCs w:val="20"/>
              </w:rPr>
              <w:t>27.61</w:t>
            </w:r>
          </w:p>
        </w:tc>
      </w:tr>
      <w:tr w:rsidR="00D41D03" w:rsidRPr="00BC5198" w14:paraId="64D6C990" w14:textId="77777777" w:rsidTr="00F658CE">
        <w:trPr>
          <w:trHeight w:val="20"/>
          <w:jc w:val="center"/>
        </w:trPr>
        <w:tc>
          <w:tcPr>
            <w:tcW w:w="0" w:type="auto"/>
            <w:vMerge/>
            <w:tcBorders>
              <w:top w:val="nil"/>
              <w:left w:val="nil"/>
              <w:bottom w:val="single" w:sz="4" w:space="0" w:color="000000"/>
              <w:right w:val="nil"/>
            </w:tcBorders>
            <w:vAlign w:val="center"/>
            <w:hideMark/>
          </w:tcPr>
          <w:p w14:paraId="7D96CDA8"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nil"/>
              <w:right w:val="nil"/>
            </w:tcBorders>
            <w:shd w:val="clear" w:color="auto" w:fill="auto"/>
            <w:noWrap/>
            <w:vAlign w:val="center"/>
            <w:hideMark/>
          </w:tcPr>
          <w:p w14:paraId="1D5CB3DF"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SD</w:t>
            </w:r>
          </w:p>
        </w:tc>
        <w:tc>
          <w:tcPr>
            <w:tcW w:w="0" w:type="auto"/>
            <w:tcBorders>
              <w:top w:val="nil"/>
              <w:left w:val="nil"/>
              <w:bottom w:val="nil"/>
              <w:right w:val="nil"/>
            </w:tcBorders>
            <w:shd w:val="clear" w:color="auto" w:fill="auto"/>
            <w:noWrap/>
            <w:vAlign w:val="center"/>
            <w:hideMark/>
          </w:tcPr>
          <w:p w14:paraId="086D4603" w14:textId="77777777" w:rsidR="00D41D03" w:rsidRPr="00BC5198" w:rsidRDefault="00D41D03" w:rsidP="0065493C">
            <w:pPr>
              <w:spacing w:before="0" w:after="0" w:line="276" w:lineRule="auto"/>
              <w:rPr>
                <w:sz w:val="20"/>
                <w:szCs w:val="20"/>
              </w:rPr>
            </w:pPr>
            <w:r w:rsidRPr="00BC5198">
              <w:rPr>
                <w:sz w:val="20"/>
                <w:szCs w:val="20"/>
              </w:rPr>
              <w:t>1.33</w:t>
            </w:r>
          </w:p>
        </w:tc>
        <w:tc>
          <w:tcPr>
            <w:tcW w:w="0" w:type="auto"/>
            <w:tcBorders>
              <w:top w:val="nil"/>
              <w:left w:val="nil"/>
              <w:bottom w:val="nil"/>
              <w:right w:val="single" w:sz="4" w:space="0" w:color="auto"/>
            </w:tcBorders>
            <w:shd w:val="clear" w:color="auto" w:fill="auto"/>
            <w:noWrap/>
            <w:vAlign w:val="center"/>
            <w:hideMark/>
          </w:tcPr>
          <w:p w14:paraId="632385F4" w14:textId="77777777" w:rsidR="00D41D03" w:rsidRPr="00BC5198" w:rsidRDefault="00D41D03" w:rsidP="0065493C">
            <w:pPr>
              <w:spacing w:before="0" w:after="0" w:line="276" w:lineRule="auto"/>
              <w:rPr>
                <w:sz w:val="20"/>
                <w:szCs w:val="20"/>
              </w:rPr>
            </w:pPr>
            <w:r w:rsidRPr="00BC5198">
              <w:rPr>
                <w:sz w:val="20"/>
                <w:szCs w:val="20"/>
              </w:rPr>
              <w:t>1.39</w:t>
            </w:r>
          </w:p>
        </w:tc>
      </w:tr>
      <w:tr w:rsidR="00D41D03" w:rsidRPr="00BC5198" w14:paraId="3D88FC49" w14:textId="77777777" w:rsidTr="00F658CE">
        <w:trPr>
          <w:trHeight w:val="20"/>
          <w:jc w:val="center"/>
        </w:trPr>
        <w:tc>
          <w:tcPr>
            <w:tcW w:w="0" w:type="auto"/>
            <w:vMerge/>
            <w:tcBorders>
              <w:top w:val="nil"/>
              <w:left w:val="nil"/>
              <w:bottom w:val="single" w:sz="4" w:space="0" w:color="000000"/>
              <w:right w:val="nil"/>
            </w:tcBorders>
            <w:vAlign w:val="center"/>
            <w:hideMark/>
          </w:tcPr>
          <w:p w14:paraId="1EFF970B"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single" w:sz="4" w:space="0" w:color="auto"/>
              <w:right w:val="nil"/>
            </w:tcBorders>
            <w:shd w:val="clear" w:color="auto" w:fill="auto"/>
            <w:noWrap/>
            <w:vAlign w:val="center"/>
            <w:hideMark/>
          </w:tcPr>
          <w:p w14:paraId="4E5252E4"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Count</w:t>
            </w:r>
          </w:p>
        </w:tc>
        <w:tc>
          <w:tcPr>
            <w:tcW w:w="0" w:type="auto"/>
            <w:tcBorders>
              <w:top w:val="nil"/>
              <w:left w:val="nil"/>
              <w:bottom w:val="single" w:sz="4" w:space="0" w:color="auto"/>
              <w:right w:val="nil"/>
            </w:tcBorders>
            <w:shd w:val="clear" w:color="auto" w:fill="auto"/>
            <w:noWrap/>
            <w:vAlign w:val="center"/>
            <w:hideMark/>
          </w:tcPr>
          <w:p w14:paraId="4742E31F" w14:textId="77777777" w:rsidR="00D41D03" w:rsidRPr="00BC5198" w:rsidRDefault="00D41D03" w:rsidP="0065493C">
            <w:pPr>
              <w:spacing w:before="0" w:after="0" w:line="276" w:lineRule="auto"/>
              <w:rPr>
                <w:sz w:val="20"/>
                <w:szCs w:val="20"/>
              </w:rPr>
            </w:pPr>
            <w:r w:rsidRPr="00BC5198">
              <w:rPr>
                <w:sz w:val="20"/>
                <w:szCs w:val="20"/>
              </w:rPr>
              <w:t>67</w:t>
            </w:r>
          </w:p>
        </w:tc>
        <w:tc>
          <w:tcPr>
            <w:tcW w:w="0" w:type="auto"/>
            <w:tcBorders>
              <w:top w:val="nil"/>
              <w:left w:val="nil"/>
              <w:bottom w:val="single" w:sz="4" w:space="0" w:color="auto"/>
              <w:right w:val="single" w:sz="4" w:space="0" w:color="auto"/>
            </w:tcBorders>
            <w:shd w:val="clear" w:color="auto" w:fill="auto"/>
            <w:noWrap/>
            <w:vAlign w:val="center"/>
            <w:hideMark/>
          </w:tcPr>
          <w:p w14:paraId="6C10047C" w14:textId="77777777" w:rsidR="00D41D03" w:rsidRPr="00BC5198" w:rsidRDefault="00D41D03" w:rsidP="0065493C">
            <w:pPr>
              <w:spacing w:before="0" w:after="0" w:line="276" w:lineRule="auto"/>
              <w:rPr>
                <w:sz w:val="20"/>
                <w:szCs w:val="20"/>
              </w:rPr>
            </w:pPr>
            <w:r w:rsidRPr="00BC5198">
              <w:rPr>
                <w:sz w:val="20"/>
                <w:szCs w:val="20"/>
              </w:rPr>
              <w:t>65</w:t>
            </w:r>
          </w:p>
        </w:tc>
      </w:tr>
      <w:tr w:rsidR="00D41D03" w:rsidRPr="00BC5198" w14:paraId="21ADDD0D" w14:textId="77777777" w:rsidTr="00F658CE">
        <w:trPr>
          <w:trHeight w:val="20"/>
          <w:jc w:val="center"/>
        </w:trPr>
        <w:tc>
          <w:tcPr>
            <w:tcW w:w="0" w:type="auto"/>
            <w:vMerge w:val="restart"/>
            <w:tcBorders>
              <w:top w:val="nil"/>
              <w:left w:val="nil"/>
              <w:bottom w:val="single" w:sz="4" w:space="0" w:color="000000"/>
              <w:right w:val="nil"/>
            </w:tcBorders>
            <w:shd w:val="clear" w:color="auto" w:fill="auto"/>
            <w:vAlign w:val="center"/>
            <w:hideMark/>
          </w:tcPr>
          <w:p w14:paraId="4B436472"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Salinity (PSU)</w:t>
            </w:r>
          </w:p>
        </w:tc>
        <w:tc>
          <w:tcPr>
            <w:tcW w:w="0" w:type="auto"/>
            <w:tcBorders>
              <w:top w:val="nil"/>
              <w:left w:val="nil"/>
              <w:bottom w:val="nil"/>
              <w:right w:val="nil"/>
            </w:tcBorders>
            <w:shd w:val="clear" w:color="auto" w:fill="auto"/>
            <w:noWrap/>
            <w:vAlign w:val="center"/>
            <w:hideMark/>
          </w:tcPr>
          <w:p w14:paraId="737140C7"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Min.</w:t>
            </w:r>
          </w:p>
        </w:tc>
        <w:tc>
          <w:tcPr>
            <w:tcW w:w="0" w:type="auto"/>
            <w:tcBorders>
              <w:top w:val="nil"/>
              <w:left w:val="nil"/>
              <w:bottom w:val="nil"/>
              <w:right w:val="nil"/>
            </w:tcBorders>
            <w:shd w:val="clear" w:color="auto" w:fill="auto"/>
            <w:noWrap/>
            <w:vAlign w:val="center"/>
            <w:hideMark/>
          </w:tcPr>
          <w:p w14:paraId="5ACF0A8D" w14:textId="77777777" w:rsidR="00D41D03" w:rsidRPr="00BC5198" w:rsidRDefault="00D41D03" w:rsidP="0065493C">
            <w:pPr>
              <w:spacing w:before="0" w:after="0" w:line="276" w:lineRule="auto"/>
              <w:rPr>
                <w:sz w:val="20"/>
                <w:szCs w:val="20"/>
              </w:rPr>
            </w:pPr>
            <w:r w:rsidRPr="00BC5198">
              <w:rPr>
                <w:sz w:val="20"/>
                <w:szCs w:val="20"/>
              </w:rPr>
              <w:t>0.10</w:t>
            </w:r>
          </w:p>
        </w:tc>
        <w:tc>
          <w:tcPr>
            <w:tcW w:w="0" w:type="auto"/>
            <w:tcBorders>
              <w:top w:val="nil"/>
              <w:left w:val="nil"/>
              <w:bottom w:val="nil"/>
              <w:right w:val="single" w:sz="4" w:space="0" w:color="auto"/>
            </w:tcBorders>
            <w:shd w:val="clear" w:color="auto" w:fill="auto"/>
            <w:noWrap/>
            <w:vAlign w:val="center"/>
            <w:hideMark/>
          </w:tcPr>
          <w:p w14:paraId="53D4B197" w14:textId="77777777" w:rsidR="00D41D03" w:rsidRPr="00BC5198" w:rsidRDefault="00D41D03" w:rsidP="0065493C">
            <w:pPr>
              <w:spacing w:before="0" w:after="0" w:line="276" w:lineRule="auto"/>
              <w:rPr>
                <w:sz w:val="20"/>
                <w:szCs w:val="20"/>
              </w:rPr>
            </w:pPr>
            <w:r w:rsidRPr="00BC5198">
              <w:rPr>
                <w:sz w:val="20"/>
                <w:szCs w:val="20"/>
              </w:rPr>
              <w:t>0.10</w:t>
            </w:r>
          </w:p>
        </w:tc>
      </w:tr>
      <w:tr w:rsidR="00D41D03" w:rsidRPr="00BC5198" w14:paraId="30B90921" w14:textId="77777777" w:rsidTr="00F658CE">
        <w:trPr>
          <w:trHeight w:val="20"/>
          <w:jc w:val="center"/>
        </w:trPr>
        <w:tc>
          <w:tcPr>
            <w:tcW w:w="0" w:type="auto"/>
            <w:vMerge/>
            <w:tcBorders>
              <w:top w:val="nil"/>
              <w:left w:val="nil"/>
              <w:bottom w:val="single" w:sz="4" w:space="0" w:color="000000"/>
              <w:right w:val="nil"/>
            </w:tcBorders>
            <w:vAlign w:val="center"/>
            <w:hideMark/>
          </w:tcPr>
          <w:p w14:paraId="2606047B"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nil"/>
              <w:right w:val="nil"/>
            </w:tcBorders>
            <w:shd w:val="clear" w:color="auto" w:fill="auto"/>
            <w:noWrap/>
            <w:vAlign w:val="center"/>
            <w:hideMark/>
          </w:tcPr>
          <w:p w14:paraId="4FE6A478"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Max.</w:t>
            </w:r>
          </w:p>
        </w:tc>
        <w:tc>
          <w:tcPr>
            <w:tcW w:w="0" w:type="auto"/>
            <w:tcBorders>
              <w:top w:val="nil"/>
              <w:left w:val="nil"/>
              <w:bottom w:val="nil"/>
              <w:right w:val="nil"/>
            </w:tcBorders>
            <w:shd w:val="clear" w:color="auto" w:fill="auto"/>
            <w:noWrap/>
            <w:vAlign w:val="center"/>
            <w:hideMark/>
          </w:tcPr>
          <w:p w14:paraId="5E407BDD" w14:textId="77777777" w:rsidR="00D41D03" w:rsidRPr="00BC5198" w:rsidRDefault="00D41D03" w:rsidP="0065493C">
            <w:pPr>
              <w:spacing w:before="0" w:after="0" w:line="276" w:lineRule="auto"/>
              <w:rPr>
                <w:sz w:val="20"/>
                <w:szCs w:val="20"/>
              </w:rPr>
            </w:pPr>
            <w:r w:rsidRPr="00BC5198">
              <w:rPr>
                <w:sz w:val="20"/>
                <w:szCs w:val="20"/>
              </w:rPr>
              <w:t>36.10</w:t>
            </w:r>
          </w:p>
        </w:tc>
        <w:tc>
          <w:tcPr>
            <w:tcW w:w="0" w:type="auto"/>
            <w:tcBorders>
              <w:top w:val="nil"/>
              <w:left w:val="nil"/>
              <w:bottom w:val="nil"/>
              <w:right w:val="single" w:sz="4" w:space="0" w:color="auto"/>
            </w:tcBorders>
            <w:shd w:val="clear" w:color="auto" w:fill="auto"/>
            <w:noWrap/>
            <w:vAlign w:val="center"/>
            <w:hideMark/>
          </w:tcPr>
          <w:p w14:paraId="6ADCB92E" w14:textId="77777777" w:rsidR="00D41D03" w:rsidRPr="00BC5198" w:rsidRDefault="00D41D03" w:rsidP="0065493C">
            <w:pPr>
              <w:spacing w:before="0" w:after="0" w:line="276" w:lineRule="auto"/>
              <w:rPr>
                <w:sz w:val="20"/>
                <w:szCs w:val="20"/>
              </w:rPr>
            </w:pPr>
            <w:r w:rsidRPr="00BC5198">
              <w:rPr>
                <w:sz w:val="20"/>
                <w:szCs w:val="20"/>
              </w:rPr>
              <w:t>36.60</w:t>
            </w:r>
          </w:p>
        </w:tc>
      </w:tr>
      <w:tr w:rsidR="00D41D03" w:rsidRPr="00BC5198" w14:paraId="1BF316F7" w14:textId="77777777" w:rsidTr="00F658CE">
        <w:trPr>
          <w:trHeight w:val="20"/>
          <w:jc w:val="center"/>
        </w:trPr>
        <w:tc>
          <w:tcPr>
            <w:tcW w:w="0" w:type="auto"/>
            <w:vMerge/>
            <w:tcBorders>
              <w:top w:val="nil"/>
              <w:left w:val="nil"/>
              <w:bottom w:val="single" w:sz="4" w:space="0" w:color="000000"/>
              <w:right w:val="nil"/>
            </w:tcBorders>
            <w:vAlign w:val="center"/>
            <w:hideMark/>
          </w:tcPr>
          <w:p w14:paraId="45A014B9"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nil"/>
              <w:right w:val="nil"/>
            </w:tcBorders>
            <w:shd w:val="clear" w:color="auto" w:fill="auto"/>
            <w:noWrap/>
            <w:vAlign w:val="center"/>
            <w:hideMark/>
          </w:tcPr>
          <w:p w14:paraId="2947DFF7"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Mean</w:t>
            </w:r>
          </w:p>
        </w:tc>
        <w:tc>
          <w:tcPr>
            <w:tcW w:w="0" w:type="auto"/>
            <w:tcBorders>
              <w:top w:val="nil"/>
              <w:left w:val="nil"/>
              <w:bottom w:val="nil"/>
              <w:right w:val="nil"/>
            </w:tcBorders>
            <w:shd w:val="clear" w:color="auto" w:fill="auto"/>
            <w:noWrap/>
            <w:vAlign w:val="center"/>
            <w:hideMark/>
          </w:tcPr>
          <w:p w14:paraId="4567C9A4" w14:textId="77777777" w:rsidR="00D41D03" w:rsidRPr="00BC5198" w:rsidRDefault="00D41D03" w:rsidP="0065493C">
            <w:pPr>
              <w:spacing w:before="0" w:after="0" w:line="276" w:lineRule="auto"/>
              <w:rPr>
                <w:sz w:val="20"/>
                <w:szCs w:val="20"/>
              </w:rPr>
            </w:pPr>
            <w:r w:rsidRPr="00BC5198">
              <w:rPr>
                <w:sz w:val="20"/>
                <w:szCs w:val="20"/>
              </w:rPr>
              <w:t>27.04</w:t>
            </w:r>
          </w:p>
        </w:tc>
        <w:tc>
          <w:tcPr>
            <w:tcW w:w="0" w:type="auto"/>
            <w:tcBorders>
              <w:top w:val="nil"/>
              <w:left w:val="nil"/>
              <w:bottom w:val="nil"/>
              <w:right w:val="single" w:sz="4" w:space="0" w:color="auto"/>
            </w:tcBorders>
            <w:shd w:val="clear" w:color="auto" w:fill="auto"/>
            <w:noWrap/>
            <w:vAlign w:val="center"/>
            <w:hideMark/>
          </w:tcPr>
          <w:p w14:paraId="39AF7A49" w14:textId="77777777" w:rsidR="00D41D03" w:rsidRPr="00BC5198" w:rsidRDefault="00D41D03" w:rsidP="0065493C">
            <w:pPr>
              <w:spacing w:before="0" w:after="0" w:line="276" w:lineRule="auto"/>
              <w:rPr>
                <w:sz w:val="20"/>
                <w:szCs w:val="20"/>
              </w:rPr>
            </w:pPr>
            <w:r w:rsidRPr="00BC5198">
              <w:rPr>
                <w:sz w:val="20"/>
                <w:szCs w:val="20"/>
              </w:rPr>
              <w:t>29.80</w:t>
            </w:r>
          </w:p>
        </w:tc>
      </w:tr>
      <w:tr w:rsidR="00D41D03" w:rsidRPr="00BC5198" w14:paraId="0C05F4EB" w14:textId="77777777" w:rsidTr="00F658CE">
        <w:trPr>
          <w:trHeight w:val="20"/>
          <w:jc w:val="center"/>
        </w:trPr>
        <w:tc>
          <w:tcPr>
            <w:tcW w:w="0" w:type="auto"/>
            <w:vMerge/>
            <w:tcBorders>
              <w:top w:val="nil"/>
              <w:left w:val="nil"/>
              <w:bottom w:val="single" w:sz="4" w:space="0" w:color="000000"/>
              <w:right w:val="nil"/>
            </w:tcBorders>
            <w:vAlign w:val="center"/>
            <w:hideMark/>
          </w:tcPr>
          <w:p w14:paraId="57C4D067"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nil"/>
              <w:right w:val="nil"/>
            </w:tcBorders>
            <w:shd w:val="clear" w:color="auto" w:fill="auto"/>
            <w:noWrap/>
            <w:vAlign w:val="center"/>
            <w:hideMark/>
          </w:tcPr>
          <w:p w14:paraId="347BF4FB"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SD</w:t>
            </w:r>
          </w:p>
        </w:tc>
        <w:tc>
          <w:tcPr>
            <w:tcW w:w="0" w:type="auto"/>
            <w:tcBorders>
              <w:top w:val="nil"/>
              <w:left w:val="nil"/>
              <w:bottom w:val="nil"/>
              <w:right w:val="nil"/>
            </w:tcBorders>
            <w:shd w:val="clear" w:color="auto" w:fill="auto"/>
            <w:noWrap/>
            <w:vAlign w:val="center"/>
            <w:hideMark/>
          </w:tcPr>
          <w:p w14:paraId="12721ACD" w14:textId="77777777" w:rsidR="00D41D03" w:rsidRPr="00BC5198" w:rsidRDefault="00D41D03" w:rsidP="0065493C">
            <w:pPr>
              <w:spacing w:before="0" w:after="0" w:line="276" w:lineRule="auto"/>
              <w:rPr>
                <w:sz w:val="20"/>
                <w:szCs w:val="20"/>
              </w:rPr>
            </w:pPr>
            <w:r w:rsidRPr="00BC5198">
              <w:rPr>
                <w:sz w:val="20"/>
                <w:szCs w:val="20"/>
              </w:rPr>
              <w:t>11.98</w:t>
            </w:r>
          </w:p>
        </w:tc>
        <w:tc>
          <w:tcPr>
            <w:tcW w:w="0" w:type="auto"/>
            <w:tcBorders>
              <w:top w:val="nil"/>
              <w:left w:val="nil"/>
              <w:bottom w:val="nil"/>
              <w:right w:val="single" w:sz="4" w:space="0" w:color="auto"/>
            </w:tcBorders>
            <w:shd w:val="clear" w:color="auto" w:fill="auto"/>
            <w:noWrap/>
            <w:vAlign w:val="center"/>
            <w:hideMark/>
          </w:tcPr>
          <w:p w14:paraId="3E7AE73D" w14:textId="77777777" w:rsidR="00D41D03" w:rsidRPr="00BC5198" w:rsidRDefault="00D41D03" w:rsidP="0065493C">
            <w:pPr>
              <w:spacing w:before="0" w:after="0" w:line="276" w:lineRule="auto"/>
              <w:rPr>
                <w:sz w:val="20"/>
                <w:szCs w:val="20"/>
              </w:rPr>
            </w:pPr>
            <w:r w:rsidRPr="00BC5198">
              <w:rPr>
                <w:sz w:val="20"/>
                <w:szCs w:val="20"/>
              </w:rPr>
              <w:t>9.45</w:t>
            </w:r>
          </w:p>
        </w:tc>
      </w:tr>
      <w:tr w:rsidR="00D41D03" w:rsidRPr="00BC5198" w14:paraId="2B771800" w14:textId="77777777" w:rsidTr="00F658CE">
        <w:trPr>
          <w:trHeight w:val="20"/>
          <w:jc w:val="center"/>
        </w:trPr>
        <w:tc>
          <w:tcPr>
            <w:tcW w:w="0" w:type="auto"/>
            <w:vMerge/>
            <w:tcBorders>
              <w:top w:val="nil"/>
              <w:left w:val="nil"/>
              <w:bottom w:val="single" w:sz="4" w:space="0" w:color="000000"/>
              <w:right w:val="nil"/>
            </w:tcBorders>
            <w:vAlign w:val="center"/>
            <w:hideMark/>
          </w:tcPr>
          <w:p w14:paraId="5B91821C"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single" w:sz="4" w:space="0" w:color="auto"/>
              <w:right w:val="nil"/>
            </w:tcBorders>
            <w:shd w:val="clear" w:color="auto" w:fill="auto"/>
            <w:noWrap/>
            <w:vAlign w:val="center"/>
            <w:hideMark/>
          </w:tcPr>
          <w:p w14:paraId="7839427C"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Count</w:t>
            </w:r>
          </w:p>
        </w:tc>
        <w:tc>
          <w:tcPr>
            <w:tcW w:w="0" w:type="auto"/>
            <w:tcBorders>
              <w:top w:val="nil"/>
              <w:left w:val="nil"/>
              <w:bottom w:val="single" w:sz="4" w:space="0" w:color="auto"/>
              <w:right w:val="nil"/>
            </w:tcBorders>
            <w:shd w:val="clear" w:color="auto" w:fill="auto"/>
            <w:noWrap/>
            <w:vAlign w:val="center"/>
            <w:hideMark/>
          </w:tcPr>
          <w:p w14:paraId="47B898D7" w14:textId="77777777" w:rsidR="00D41D03" w:rsidRPr="00BC5198" w:rsidRDefault="00D41D03" w:rsidP="0065493C">
            <w:pPr>
              <w:spacing w:before="0" w:after="0" w:line="276" w:lineRule="auto"/>
              <w:rPr>
                <w:sz w:val="20"/>
                <w:szCs w:val="20"/>
              </w:rPr>
            </w:pPr>
            <w:r w:rsidRPr="00BC5198">
              <w:rPr>
                <w:sz w:val="20"/>
                <w:szCs w:val="20"/>
              </w:rPr>
              <w:t>68</w:t>
            </w:r>
          </w:p>
        </w:tc>
        <w:tc>
          <w:tcPr>
            <w:tcW w:w="0" w:type="auto"/>
            <w:tcBorders>
              <w:top w:val="nil"/>
              <w:left w:val="nil"/>
              <w:bottom w:val="single" w:sz="4" w:space="0" w:color="auto"/>
              <w:right w:val="single" w:sz="4" w:space="0" w:color="auto"/>
            </w:tcBorders>
            <w:shd w:val="clear" w:color="auto" w:fill="auto"/>
            <w:noWrap/>
            <w:vAlign w:val="center"/>
            <w:hideMark/>
          </w:tcPr>
          <w:p w14:paraId="0FCC4B72" w14:textId="77777777" w:rsidR="00D41D03" w:rsidRPr="00BC5198" w:rsidRDefault="00D41D03" w:rsidP="0065493C">
            <w:pPr>
              <w:spacing w:before="0" w:after="0" w:line="276" w:lineRule="auto"/>
              <w:rPr>
                <w:sz w:val="20"/>
                <w:szCs w:val="20"/>
              </w:rPr>
            </w:pPr>
            <w:r w:rsidRPr="00BC5198">
              <w:rPr>
                <w:sz w:val="20"/>
                <w:szCs w:val="20"/>
              </w:rPr>
              <w:t>65</w:t>
            </w:r>
          </w:p>
        </w:tc>
      </w:tr>
      <w:tr w:rsidR="00D41D03" w:rsidRPr="00BC5198" w14:paraId="1333E3F8" w14:textId="77777777" w:rsidTr="00F658CE">
        <w:trPr>
          <w:trHeight w:val="20"/>
          <w:jc w:val="center"/>
        </w:trPr>
        <w:tc>
          <w:tcPr>
            <w:tcW w:w="0" w:type="auto"/>
            <w:vMerge w:val="restart"/>
            <w:tcBorders>
              <w:top w:val="nil"/>
              <w:left w:val="nil"/>
              <w:bottom w:val="single" w:sz="4" w:space="0" w:color="000000"/>
              <w:right w:val="nil"/>
            </w:tcBorders>
            <w:shd w:val="clear" w:color="auto" w:fill="auto"/>
            <w:vAlign w:val="center"/>
            <w:hideMark/>
          </w:tcPr>
          <w:p w14:paraId="12E08BB3"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Underwater Light Extinction Coefficient (/m)</w:t>
            </w:r>
          </w:p>
        </w:tc>
        <w:tc>
          <w:tcPr>
            <w:tcW w:w="0" w:type="auto"/>
            <w:tcBorders>
              <w:top w:val="nil"/>
              <w:left w:val="nil"/>
              <w:bottom w:val="nil"/>
              <w:right w:val="nil"/>
            </w:tcBorders>
            <w:shd w:val="clear" w:color="auto" w:fill="auto"/>
            <w:noWrap/>
            <w:vAlign w:val="center"/>
            <w:hideMark/>
          </w:tcPr>
          <w:p w14:paraId="4B5C0162"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Min.</w:t>
            </w:r>
          </w:p>
        </w:tc>
        <w:tc>
          <w:tcPr>
            <w:tcW w:w="0" w:type="auto"/>
            <w:tcBorders>
              <w:top w:val="nil"/>
              <w:left w:val="nil"/>
              <w:bottom w:val="nil"/>
              <w:right w:val="nil"/>
            </w:tcBorders>
            <w:shd w:val="clear" w:color="auto" w:fill="auto"/>
            <w:noWrap/>
            <w:vAlign w:val="center"/>
            <w:hideMark/>
          </w:tcPr>
          <w:p w14:paraId="23ADDEA6" w14:textId="77777777" w:rsidR="00D41D03" w:rsidRPr="00BC5198" w:rsidRDefault="00D41D03" w:rsidP="0065493C">
            <w:pPr>
              <w:spacing w:before="0" w:after="0" w:line="276" w:lineRule="auto"/>
              <w:rPr>
                <w:sz w:val="20"/>
                <w:szCs w:val="20"/>
              </w:rPr>
            </w:pPr>
            <w:r w:rsidRPr="00BC5198">
              <w:rPr>
                <w:sz w:val="20"/>
                <w:szCs w:val="20"/>
              </w:rPr>
              <w:t>0.11</w:t>
            </w:r>
          </w:p>
        </w:tc>
        <w:tc>
          <w:tcPr>
            <w:tcW w:w="0" w:type="auto"/>
            <w:tcBorders>
              <w:top w:val="nil"/>
              <w:left w:val="nil"/>
              <w:bottom w:val="nil"/>
              <w:right w:val="single" w:sz="4" w:space="0" w:color="auto"/>
            </w:tcBorders>
            <w:shd w:val="clear" w:color="auto" w:fill="auto"/>
            <w:noWrap/>
            <w:vAlign w:val="center"/>
            <w:hideMark/>
          </w:tcPr>
          <w:p w14:paraId="60435C2C" w14:textId="77777777" w:rsidR="00D41D03" w:rsidRPr="00BC5198" w:rsidRDefault="00D41D03" w:rsidP="0065493C">
            <w:pPr>
              <w:spacing w:before="0" w:after="0" w:line="276" w:lineRule="auto"/>
              <w:rPr>
                <w:sz w:val="20"/>
                <w:szCs w:val="20"/>
              </w:rPr>
            </w:pPr>
            <w:r w:rsidRPr="00BC5198">
              <w:rPr>
                <w:sz w:val="20"/>
                <w:szCs w:val="20"/>
              </w:rPr>
              <w:t>0.17</w:t>
            </w:r>
          </w:p>
        </w:tc>
      </w:tr>
      <w:tr w:rsidR="00D41D03" w:rsidRPr="00BC5198" w14:paraId="4472B3AD" w14:textId="77777777" w:rsidTr="00F658CE">
        <w:trPr>
          <w:trHeight w:val="20"/>
          <w:jc w:val="center"/>
        </w:trPr>
        <w:tc>
          <w:tcPr>
            <w:tcW w:w="0" w:type="auto"/>
            <w:vMerge/>
            <w:tcBorders>
              <w:top w:val="nil"/>
              <w:left w:val="nil"/>
              <w:bottom w:val="single" w:sz="4" w:space="0" w:color="000000"/>
              <w:right w:val="nil"/>
            </w:tcBorders>
            <w:vAlign w:val="center"/>
            <w:hideMark/>
          </w:tcPr>
          <w:p w14:paraId="48BD6EB8"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nil"/>
              <w:right w:val="nil"/>
            </w:tcBorders>
            <w:shd w:val="clear" w:color="auto" w:fill="auto"/>
            <w:noWrap/>
            <w:vAlign w:val="center"/>
            <w:hideMark/>
          </w:tcPr>
          <w:p w14:paraId="264D6994"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Max.</w:t>
            </w:r>
          </w:p>
        </w:tc>
        <w:tc>
          <w:tcPr>
            <w:tcW w:w="0" w:type="auto"/>
            <w:tcBorders>
              <w:top w:val="nil"/>
              <w:left w:val="nil"/>
              <w:bottom w:val="nil"/>
              <w:right w:val="nil"/>
            </w:tcBorders>
            <w:shd w:val="clear" w:color="auto" w:fill="auto"/>
            <w:noWrap/>
            <w:vAlign w:val="center"/>
            <w:hideMark/>
          </w:tcPr>
          <w:p w14:paraId="02D8195A" w14:textId="77777777" w:rsidR="00D41D03" w:rsidRPr="00BC5198" w:rsidRDefault="00D41D03" w:rsidP="0065493C">
            <w:pPr>
              <w:spacing w:before="0" w:after="0" w:line="276" w:lineRule="auto"/>
              <w:rPr>
                <w:sz w:val="20"/>
                <w:szCs w:val="20"/>
              </w:rPr>
            </w:pPr>
            <w:r w:rsidRPr="00BC5198">
              <w:rPr>
                <w:sz w:val="20"/>
                <w:szCs w:val="20"/>
              </w:rPr>
              <w:t>1.97</w:t>
            </w:r>
          </w:p>
        </w:tc>
        <w:tc>
          <w:tcPr>
            <w:tcW w:w="0" w:type="auto"/>
            <w:tcBorders>
              <w:top w:val="nil"/>
              <w:left w:val="nil"/>
              <w:bottom w:val="nil"/>
              <w:right w:val="single" w:sz="4" w:space="0" w:color="auto"/>
            </w:tcBorders>
            <w:shd w:val="clear" w:color="auto" w:fill="auto"/>
            <w:noWrap/>
            <w:vAlign w:val="center"/>
            <w:hideMark/>
          </w:tcPr>
          <w:p w14:paraId="37514938" w14:textId="77777777" w:rsidR="00D41D03" w:rsidRPr="00BC5198" w:rsidRDefault="00D41D03" w:rsidP="0065493C">
            <w:pPr>
              <w:spacing w:before="0" w:after="0" w:line="276" w:lineRule="auto"/>
              <w:rPr>
                <w:sz w:val="20"/>
                <w:szCs w:val="20"/>
              </w:rPr>
            </w:pPr>
            <w:r w:rsidRPr="00BC5198">
              <w:rPr>
                <w:sz w:val="20"/>
                <w:szCs w:val="20"/>
              </w:rPr>
              <w:t>2.46</w:t>
            </w:r>
          </w:p>
        </w:tc>
      </w:tr>
      <w:tr w:rsidR="00D41D03" w:rsidRPr="00BC5198" w14:paraId="725BC20D" w14:textId="77777777" w:rsidTr="00F658CE">
        <w:trPr>
          <w:trHeight w:val="20"/>
          <w:jc w:val="center"/>
        </w:trPr>
        <w:tc>
          <w:tcPr>
            <w:tcW w:w="0" w:type="auto"/>
            <w:vMerge/>
            <w:tcBorders>
              <w:top w:val="nil"/>
              <w:left w:val="nil"/>
              <w:bottom w:val="single" w:sz="4" w:space="0" w:color="000000"/>
              <w:right w:val="nil"/>
            </w:tcBorders>
            <w:vAlign w:val="center"/>
            <w:hideMark/>
          </w:tcPr>
          <w:p w14:paraId="7F63C584"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nil"/>
              <w:right w:val="nil"/>
            </w:tcBorders>
            <w:shd w:val="clear" w:color="auto" w:fill="auto"/>
            <w:noWrap/>
            <w:vAlign w:val="center"/>
            <w:hideMark/>
          </w:tcPr>
          <w:p w14:paraId="319D58B5"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Mean</w:t>
            </w:r>
          </w:p>
        </w:tc>
        <w:tc>
          <w:tcPr>
            <w:tcW w:w="0" w:type="auto"/>
            <w:tcBorders>
              <w:top w:val="nil"/>
              <w:left w:val="nil"/>
              <w:bottom w:val="nil"/>
              <w:right w:val="nil"/>
            </w:tcBorders>
            <w:shd w:val="clear" w:color="auto" w:fill="auto"/>
            <w:noWrap/>
            <w:vAlign w:val="center"/>
            <w:hideMark/>
          </w:tcPr>
          <w:p w14:paraId="7C60E60D" w14:textId="77777777" w:rsidR="00D41D03" w:rsidRPr="00BC5198" w:rsidRDefault="00D41D03" w:rsidP="0065493C">
            <w:pPr>
              <w:spacing w:before="0" w:after="0" w:line="276" w:lineRule="auto"/>
              <w:rPr>
                <w:sz w:val="20"/>
                <w:szCs w:val="20"/>
              </w:rPr>
            </w:pPr>
            <w:r w:rsidRPr="00BC5198">
              <w:rPr>
                <w:sz w:val="20"/>
                <w:szCs w:val="20"/>
              </w:rPr>
              <w:t>0.38</w:t>
            </w:r>
          </w:p>
        </w:tc>
        <w:tc>
          <w:tcPr>
            <w:tcW w:w="0" w:type="auto"/>
            <w:tcBorders>
              <w:top w:val="nil"/>
              <w:left w:val="nil"/>
              <w:bottom w:val="nil"/>
              <w:right w:val="single" w:sz="4" w:space="0" w:color="auto"/>
            </w:tcBorders>
            <w:shd w:val="clear" w:color="auto" w:fill="auto"/>
            <w:noWrap/>
            <w:vAlign w:val="center"/>
            <w:hideMark/>
          </w:tcPr>
          <w:p w14:paraId="2C6679CF" w14:textId="77777777" w:rsidR="00D41D03" w:rsidRPr="00BC5198" w:rsidRDefault="00D41D03" w:rsidP="0065493C">
            <w:pPr>
              <w:spacing w:before="0" w:after="0" w:line="276" w:lineRule="auto"/>
              <w:rPr>
                <w:sz w:val="20"/>
                <w:szCs w:val="20"/>
              </w:rPr>
            </w:pPr>
            <w:r w:rsidRPr="00BC5198">
              <w:rPr>
                <w:sz w:val="20"/>
                <w:szCs w:val="20"/>
              </w:rPr>
              <w:t>0.65</w:t>
            </w:r>
          </w:p>
        </w:tc>
      </w:tr>
      <w:tr w:rsidR="00D41D03" w:rsidRPr="00BC5198" w14:paraId="7BA240EF" w14:textId="77777777" w:rsidTr="00F658CE">
        <w:trPr>
          <w:trHeight w:val="20"/>
          <w:jc w:val="center"/>
        </w:trPr>
        <w:tc>
          <w:tcPr>
            <w:tcW w:w="0" w:type="auto"/>
            <w:vMerge/>
            <w:tcBorders>
              <w:top w:val="nil"/>
              <w:left w:val="nil"/>
              <w:bottom w:val="single" w:sz="4" w:space="0" w:color="000000"/>
              <w:right w:val="nil"/>
            </w:tcBorders>
            <w:vAlign w:val="center"/>
            <w:hideMark/>
          </w:tcPr>
          <w:p w14:paraId="45307458"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nil"/>
              <w:right w:val="nil"/>
            </w:tcBorders>
            <w:shd w:val="clear" w:color="auto" w:fill="auto"/>
            <w:noWrap/>
            <w:vAlign w:val="center"/>
            <w:hideMark/>
          </w:tcPr>
          <w:p w14:paraId="6EEC251D"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SD</w:t>
            </w:r>
          </w:p>
        </w:tc>
        <w:tc>
          <w:tcPr>
            <w:tcW w:w="0" w:type="auto"/>
            <w:tcBorders>
              <w:top w:val="nil"/>
              <w:left w:val="nil"/>
              <w:bottom w:val="nil"/>
              <w:right w:val="nil"/>
            </w:tcBorders>
            <w:shd w:val="clear" w:color="auto" w:fill="auto"/>
            <w:noWrap/>
            <w:vAlign w:val="center"/>
            <w:hideMark/>
          </w:tcPr>
          <w:p w14:paraId="7458BEDF" w14:textId="77777777" w:rsidR="00D41D03" w:rsidRPr="00BC5198" w:rsidRDefault="00D41D03" w:rsidP="0065493C">
            <w:pPr>
              <w:spacing w:before="0" w:after="0" w:line="276" w:lineRule="auto"/>
              <w:rPr>
                <w:sz w:val="20"/>
                <w:szCs w:val="20"/>
              </w:rPr>
            </w:pPr>
            <w:r w:rsidRPr="00BC5198">
              <w:rPr>
                <w:sz w:val="20"/>
                <w:szCs w:val="20"/>
              </w:rPr>
              <w:t>0.37</w:t>
            </w:r>
          </w:p>
        </w:tc>
        <w:tc>
          <w:tcPr>
            <w:tcW w:w="0" w:type="auto"/>
            <w:tcBorders>
              <w:top w:val="nil"/>
              <w:left w:val="nil"/>
              <w:bottom w:val="nil"/>
              <w:right w:val="single" w:sz="4" w:space="0" w:color="auto"/>
            </w:tcBorders>
            <w:shd w:val="clear" w:color="auto" w:fill="auto"/>
            <w:noWrap/>
            <w:vAlign w:val="center"/>
            <w:hideMark/>
          </w:tcPr>
          <w:p w14:paraId="0B9F5C3D" w14:textId="77777777" w:rsidR="00D41D03" w:rsidRPr="00BC5198" w:rsidRDefault="00D41D03" w:rsidP="0065493C">
            <w:pPr>
              <w:spacing w:before="0" w:after="0" w:line="276" w:lineRule="auto"/>
              <w:rPr>
                <w:sz w:val="20"/>
                <w:szCs w:val="20"/>
              </w:rPr>
            </w:pPr>
            <w:r w:rsidRPr="00BC5198">
              <w:rPr>
                <w:sz w:val="20"/>
                <w:szCs w:val="20"/>
              </w:rPr>
              <w:t>0.53</w:t>
            </w:r>
          </w:p>
        </w:tc>
      </w:tr>
      <w:tr w:rsidR="00D41D03" w:rsidRPr="00BC5198" w14:paraId="30417EC2" w14:textId="77777777" w:rsidTr="002259B1">
        <w:trPr>
          <w:trHeight w:val="20"/>
          <w:jc w:val="center"/>
        </w:trPr>
        <w:tc>
          <w:tcPr>
            <w:tcW w:w="0" w:type="auto"/>
            <w:vMerge/>
            <w:tcBorders>
              <w:top w:val="nil"/>
              <w:left w:val="nil"/>
              <w:bottom w:val="single" w:sz="4" w:space="0" w:color="auto"/>
              <w:right w:val="nil"/>
            </w:tcBorders>
            <w:vAlign w:val="center"/>
            <w:hideMark/>
          </w:tcPr>
          <w:p w14:paraId="1AA21A8C"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single" w:sz="4" w:space="0" w:color="auto"/>
              <w:right w:val="nil"/>
            </w:tcBorders>
            <w:shd w:val="clear" w:color="auto" w:fill="auto"/>
            <w:noWrap/>
            <w:vAlign w:val="center"/>
            <w:hideMark/>
          </w:tcPr>
          <w:p w14:paraId="57E11AF0"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Count</w:t>
            </w:r>
          </w:p>
        </w:tc>
        <w:tc>
          <w:tcPr>
            <w:tcW w:w="0" w:type="auto"/>
            <w:tcBorders>
              <w:top w:val="nil"/>
              <w:left w:val="nil"/>
              <w:bottom w:val="single" w:sz="4" w:space="0" w:color="auto"/>
              <w:right w:val="nil"/>
            </w:tcBorders>
            <w:shd w:val="clear" w:color="auto" w:fill="auto"/>
            <w:noWrap/>
            <w:vAlign w:val="center"/>
            <w:hideMark/>
          </w:tcPr>
          <w:p w14:paraId="71D35E39" w14:textId="77777777" w:rsidR="00D41D03" w:rsidRPr="00BC5198" w:rsidRDefault="00D41D03" w:rsidP="0065493C">
            <w:pPr>
              <w:spacing w:before="0" w:after="0" w:line="276" w:lineRule="auto"/>
              <w:rPr>
                <w:sz w:val="20"/>
                <w:szCs w:val="20"/>
              </w:rPr>
            </w:pPr>
            <w:r w:rsidRPr="00BC5198">
              <w:rPr>
                <w:sz w:val="20"/>
                <w:szCs w:val="20"/>
              </w:rPr>
              <w:t>67</w:t>
            </w:r>
          </w:p>
        </w:tc>
        <w:tc>
          <w:tcPr>
            <w:tcW w:w="0" w:type="auto"/>
            <w:tcBorders>
              <w:top w:val="nil"/>
              <w:left w:val="nil"/>
              <w:bottom w:val="single" w:sz="4" w:space="0" w:color="auto"/>
              <w:right w:val="single" w:sz="4" w:space="0" w:color="auto"/>
            </w:tcBorders>
            <w:shd w:val="clear" w:color="auto" w:fill="auto"/>
            <w:noWrap/>
            <w:vAlign w:val="center"/>
            <w:hideMark/>
          </w:tcPr>
          <w:p w14:paraId="54D2A645" w14:textId="77777777" w:rsidR="00D41D03" w:rsidRPr="00BC5198" w:rsidRDefault="00D41D03" w:rsidP="0065493C">
            <w:pPr>
              <w:spacing w:before="0" w:after="0" w:line="276" w:lineRule="auto"/>
              <w:rPr>
                <w:sz w:val="20"/>
                <w:szCs w:val="20"/>
              </w:rPr>
            </w:pPr>
            <w:r w:rsidRPr="00BC5198">
              <w:rPr>
                <w:sz w:val="20"/>
                <w:szCs w:val="20"/>
              </w:rPr>
              <w:t>56</w:t>
            </w:r>
          </w:p>
        </w:tc>
      </w:tr>
      <w:tr w:rsidR="002259B1" w:rsidRPr="00BC5198" w14:paraId="7E890845" w14:textId="77777777" w:rsidTr="002259B1">
        <w:trPr>
          <w:trHeight w:val="20"/>
          <w:jc w:val="center"/>
        </w:trPr>
        <w:tc>
          <w:tcPr>
            <w:tcW w:w="0" w:type="auto"/>
            <w:tcBorders>
              <w:top w:val="single" w:sz="4" w:space="0" w:color="auto"/>
              <w:left w:val="nil"/>
            </w:tcBorders>
            <w:shd w:val="clear" w:color="auto" w:fill="auto"/>
            <w:vAlign w:val="center"/>
          </w:tcPr>
          <w:p w14:paraId="63F13D80" w14:textId="77777777" w:rsidR="002259B1" w:rsidRPr="00BC5198" w:rsidRDefault="002259B1" w:rsidP="0065493C">
            <w:pPr>
              <w:spacing w:before="0" w:after="0" w:line="276" w:lineRule="auto"/>
              <w:rPr>
                <w:rStyle w:val="BookTitle"/>
                <w:rFonts w:asciiTheme="minorHAnsi" w:hAnsiTheme="minorHAnsi"/>
              </w:rPr>
            </w:pPr>
          </w:p>
        </w:tc>
        <w:tc>
          <w:tcPr>
            <w:tcW w:w="0" w:type="auto"/>
            <w:tcBorders>
              <w:top w:val="single" w:sz="4" w:space="0" w:color="auto"/>
            </w:tcBorders>
            <w:shd w:val="clear" w:color="auto" w:fill="auto"/>
            <w:noWrap/>
            <w:vAlign w:val="center"/>
          </w:tcPr>
          <w:p w14:paraId="38D13097" w14:textId="77777777" w:rsidR="002259B1" w:rsidRPr="00BC5198" w:rsidRDefault="002259B1" w:rsidP="0065493C">
            <w:pPr>
              <w:spacing w:before="0" w:after="0" w:line="276" w:lineRule="auto"/>
              <w:rPr>
                <w:rStyle w:val="BookTitle"/>
                <w:rFonts w:asciiTheme="minorHAnsi" w:hAnsiTheme="minorHAnsi"/>
              </w:rPr>
            </w:pPr>
          </w:p>
        </w:tc>
        <w:tc>
          <w:tcPr>
            <w:tcW w:w="0" w:type="auto"/>
            <w:tcBorders>
              <w:top w:val="single" w:sz="4" w:space="0" w:color="auto"/>
            </w:tcBorders>
            <w:shd w:val="clear" w:color="auto" w:fill="auto"/>
            <w:noWrap/>
            <w:vAlign w:val="center"/>
          </w:tcPr>
          <w:p w14:paraId="4C41E992" w14:textId="77777777" w:rsidR="002259B1" w:rsidRPr="00BC5198" w:rsidRDefault="002259B1" w:rsidP="0065493C">
            <w:pPr>
              <w:spacing w:before="0" w:after="0" w:line="276" w:lineRule="auto"/>
              <w:rPr>
                <w:sz w:val="20"/>
                <w:szCs w:val="20"/>
              </w:rPr>
            </w:pPr>
          </w:p>
        </w:tc>
        <w:tc>
          <w:tcPr>
            <w:tcW w:w="0" w:type="auto"/>
            <w:tcBorders>
              <w:top w:val="single" w:sz="4" w:space="0" w:color="auto"/>
            </w:tcBorders>
            <w:shd w:val="clear" w:color="auto" w:fill="auto"/>
            <w:noWrap/>
            <w:vAlign w:val="center"/>
          </w:tcPr>
          <w:p w14:paraId="17AA6247" w14:textId="77777777" w:rsidR="002259B1" w:rsidRPr="00BC5198" w:rsidRDefault="002259B1" w:rsidP="0065493C">
            <w:pPr>
              <w:spacing w:before="0" w:after="0" w:line="276" w:lineRule="auto"/>
              <w:rPr>
                <w:sz w:val="20"/>
                <w:szCs w:val="20"/>
              </w:rPr>
            </w:pPr>
          </w:p>
        </w:tc>
      </w:tr>
      <w:tr w:rsidR="00D41D03" w:rsidRPr="00BC5198" w14:paraId="3C1A0BB7" w14:textId="77777777" w:rsidTr="002259B1">
        <w:trPr>
          <w:trHeight w:val="20"/>
          <w:jc w:val="center"/>
        </w:trPr>
        <w:tc>
          <w:tcPr>
            <w:tcW w:w="0" w:type="auto"/>
            <w:vMerge w:val="restart"/>
            <w:tcBorders>
              <w:left w:val="nil"/>
              <w:bottom w:val="single" w:sz="4" w:space="0" w:color="000000"/>
              <w:right w:val="nil"/>
            </w:tcBorders>
            <w:shd w:val="clear" w:color="auto" w:fill="auto"/>
            <w:vAlign w:val="center"/>
            <w:hideMark/>
          </w:tcPr>
          <w:p w14:paraId="5BA89C36" w14:textId="2EB0EE85"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Coloured Dissolved Organic Matter (/m)</w:t>
            </w:r>
          </w:p>
        </w:tc>
        <w:tc>
          <w:tcPr>
            <w:tcW w:w="0" w:type="auto"/>
            <w:tcBorders>
              <w:left w:val="nil"/>
              <w:bottom w:val="nil"/>
              <w:right w:val="single" w:sz="4" w:space="0" w:color="auto"/>
            </w:tcBorders>
            <w:shd w:val="clear" w:color="auto" w:fill="auto"/>
            <w:noWrap/>
            <w:vAlign w:val="center"/>
            <w:hideMark/>
          </w:tcPr>
          <w:p w14:paraId="6E7DA53F"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Min.</w:t>
            </w:r>
          </w:p>
        </w:tc>
        <w:tc>
          <w:tcPr>
            <w:tcW w:w="0" w:type="auto"/>
            <w:tcBorders>
              <w:left w:val="nil"/>
              <w:bottom w:val="nil"/>
              <w:right w:val="nil"/>
            </w:tcBorders>
            <w:shd w:val="clear" w:color="auto" w:fill="auto"/>
            <w:noWrap/>
            <w:vAlign w:val="center"/>
            <w:hideMark/>
          </w:tcPr>
          <w:p w14:paraId="653955B9" w14:textId="77777777" w:rsidR="00D41D03" w:rsidRPr="00BC5198" w:rsidRDefault="00D41D03" w:rsidP="0065493C">
            <w:pPr>
              <w:spacing w:before="0" w:after="0" w:line="276" w:lineRule="auto"/>
              <w:rPr>
                <w:sz w:val="20"/>
                <w:szCs w:val="20"/>
              </w:rPr>
            </w:pPr>
            <w:r w:rsidRPr="00BC5198">
              <w:rPr>
                <w:sz w:val="20"/>
                <w:szCs w:val="20"/>
              </w:rPr>
              <w:t>0.05</w:t>
            </w:r>
          </w:p>
        </w:tc>
        <w:tc>
          <w:tcPr>
            <w:tcW w:w="0" w:type="auto"/>
            <w:tcBorders>
              <w:left w:val="nil"/>
              <w:bottom w:val="nil"/>
              <w:right w:val="single" w:sz="4" w:space="0" w:color="auto"/>
            </w:tcBorders>
            <w:shd w:val="clear" w:color="auto" w:fill="auto"/>
            <w:noWrap/>
            <w:vAlign w:val="center"/>
            <w:hideMark/>
          </w:tcPr>
          <w:p w14:paraId="639A9384" w14:textId="77777777" w:rsidR="00D41D03" w:rsidRPr="00BC5198" w:rsidRDefault="00D41D03" w:rsidP="0065493C">
            <w:pPr>
              <w:spacing w:before="0" w:after="0" w:line="276" w:lineRule="auto"/>
              <w:rPr>
                <w:sz w:val="20"/>
                <w:szCs w:val="20"/>
              </w:rPr>
            </w:pPr>
            <w:r w:rsidRPr="00BC5198">
              <w:rPr>
                <w:sz w:val="20"/>
                <w:szCs w:val="20"/>
              </w:rPr>
              <w:t>0.03</w:t>
            </w:r>
          </w:p>
        </w:tc>
      </w:tr>
      <w:tr w:rsidR="00D41D03" w:rsidRPr="00BC5198" w14:paraId="2C795E4A" w14:textId="77777777" w:rsidTr="00F658CE">
        <w:trPr>
          <w:trHeight w:val="20"/>
          <w:jc w:val="center"/>
        </w:trPr>
        <w:tc>
          <w:tcPr>
            <w:tcW w:w="0" w:type="auto"/>
            <w:vMerge/>
            <w:tcBorders>
              <w:top w:val="nil"/>
              <w:left w:val="nil"/>
              <w:bottom w:val="single" w:sz="4" w:space="0" w:color="000000"/>
              <w:right w:val="nil"/>
            </w:tcBorders>
            <w:vAlign w:val="center"/>
            <w:hideMark/>
          </w:tcPr>
          <w:p w14:paraId="4E404060"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nil"/>
              <w:right w:val="nil"/>
            </w:tcBorders>
            <w:shd w:val="clear" w:color="auto" w:fill="auto"/>
            <w:noWrap/>
            <w:vAlign w:val="center"/>
            <w:hideMark/>
          </w:tcPr>
          <w:p w14:paraId="11F27500"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Max.</w:t>
            </w:r>
          </w:p>
        </w:tc>
        <w:tc>
          <w:tcPr>
            <w:tcW w:w="0" w:type="auto"/>
            <w:tcBorders>
              <w:top w:val="nil"/>
              <w:left w:val="nil"/>
              <w:bottom w:val="nil"/>
              <w:right w:val="nil"/>
            </w:tcBorders>
            <w:shd w:val="clear" w:color="auto" w:fill="auto"/>
            <w:noWrap/>
            <w:vAlign w:val="center"/>
            <w:hideMark/>
          </w:tcPr>
          <w:p w14:paraId="1D7F377A" w14:textId="77777777" w:rsidR="00D41D03" w:rsidRPr="00BC5198" w:rsidRDefault="00D41D03" w:rsidP="0065493C">
            <w:pPr>
              <w:spacing w:before="0" w:after="0" w:line="276" w:lineRule="auto"/>
              <w:rPr>
                <w:sz w:val="20"/>
                <w:szCs w:val="20"/>
              </w:rPr>
            </w:pPr>
            <w:r w:rsidRPr="00BC5198">
              <w:rPr>
                <w:sz w:val="20"/>
                <w:szCs w:val="20"/>
              </w:rPr>
              <w:t>1.61</w:t>
            </w:r>
          </w:p>
        </w:tc>
        <w:tc>
          <w:tcPr>
            <w:tcW w:w="0" w:type="auto"/>
            <w:tcBorders>
              <w:top w:val="nil"/>
              <w:left w:val="nil"/>
              <w:bottom w:val="nil"/>
              <w:right w:val="single" w:sz="4" w:space="0" w:color="auto"/>
            </w:tcBorders>
            <w:shd w:val="clear" w:color="auto" w:fill="auto"/>
            <w:noWrap/>
            <w:vAlign w:val="center"/>
            <w:hideMark/>
          </w:tcPr>
          <w:p w14:paraId="347FF8D2" w14:textId="77777777" w:rsidR="00D41D03" w:rsidRPr="00BC5198" w:rsidRDefault="00D41D03" w:rsidP="0065493C">
            <w:pPr>
              <w:spacing w:before="0" w:after="0" w:line="276" w:lineRule="auto"/>
              <w:rPr>
                <w:sz w:val="20"/>
                <w:szCs w:val="20"/>
              </w:rPr>
            </w:pPr>
            <w:r w:rsidRPr="00BC5198">
              <w:rPr>
                <w:sz w:val="20"/>
                <w:szCs w:val="20"/>
              </w:rPr>
              <w:t>2.83</w:t>
            </w:r>
          </w:p>
        </w:tc>
      </w:tr>
      <w:tr w:rsidR="00D41D03" w:rsidRPr="00BC5198" w14:paraId="08042657" w14:textId="77777777" w:rsidTr="00F658CE">
        <w:trPr>
          <w:trHeight w:val="20"/>
          <w:jc w:val="center"/>
        </w:trPr>
        <w:tc>
          <w:tcPr>
            <w:tcW w:w="0" w:type="auto"/>
            <w:vMerge/>
            <w:tcBorders>
              <w:top w:val="nil"/>
              <w:left w:val="nil"/>
              <w:bottom w:val="single" w:sz="4" w:space="0" w:color="000000"/>
              <w:right w:val="nil"/>
            </w:tcBorders>
            <w:vAlign w:val="center"/>
            <w:hideMark/>
          </w:tcPr>
          <w:p w14:paraId="47231A18"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nil"/>
              <w:right w:val="nil"/>
            </w:tcBorders>
            <w:shd w:val="clear" w:color="auto" w:fill="auto"/>
            <w:noWrap/>
            <w:vAlign w:val="center"/>
            <w:hideMark/>
          </w:tcPr>
          <w:p w14:paraId="28ACE310"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Mean</w:t>
            </w:r>
          </w:p>
        </w:tc>
        <w:tc>
          <w:tcPr>
            <w:tcW w:w="0" w:type="auto"/>
            <w:tcBorders>
              <w:top w:val="nil"/>
              <w:left w:val="nil"/>
              <w:bottom w:val="nil"/>
              <w:right w:val="nil"/>
            </w:tcBorders>
            <w:shd w:val="clear" w:color="auto" w:fill="auto"/>
            <w:noWrap/>
            <w:vAlign w:val="center"/>
            <w:hideMark/>
          </w:tcPr>
          <w:p w14:paraId="0B8F9636" w14:textId="77777777" w:rsidR="00D41D03" w:rsidRPr="00BC5198" w:rsidRDefault="00D41D03" w:rsidP="0065493C">
            <w:pPr>
              <w:spacing w:before="0" w:after="0" w:line="276" w:lineRule="auto"/>
              <w:rPr>
                <w:sz w:val="20"/>
                <w:szCs w:val="20"/>
              </w:rPr>
            </w:pPr>
            <w:r w:rsidRPr="00BC5198">
              <w:rPr>
                <w:sz w:val="20"/>
                <w:szCs w:val="20"/>
              </w:rPr>
              <w:t>0.48</w:t>
            </w:r>
          </w:p>
        </w:tc>
        <w:tc>
          <w:tcPr>
            <w:tcW w:w="0" w:type="auto"/>
            <w:tcBorders>
              <w:top w:val="nil"/>
              <w:left w:val="nil"/>
              <w:bottom w:val="nil"/>
              <w:right w:val="single" w:sz="4" w:space="0" w:color="auto"/>
            </w:tcBorders>
            <w:shd w:val="clear" w:color="auto" w:fill="auto"/>
            <w:noWrap/>
            <w:vAlign w:val="center"/>
            <w:hideMark/>
          </w:tcPr>
          <w:p w14:paraId="1E824E57" w14:textId="77777777" w:rsidR="00D41D03" w:rsidRPr="00BC5198" w:rsidRDefault="00D41D03" w:rsidP="0065493C">
            <w:pPr>
              <w:spacing w:before="0" w:after="0" w:line="276" w:lineRule="auto"/>
              <w:rPr>
                <w:sz w:val="20"/>
                <w:szCs w:val="20"/>
              </w:rPr>
            </w:pPr>
            <w:r w:rsidRPr="00BC5198">
              <w:rPr>
                <w:sz w:val="20"/>
                <w:szCs w:val="20"/>
              </w:rPr>
              <w:t>0.53</w:t>
            </w:r>
          </w:p>
        </w:tc>
      </w:tr>
      <w:tr w:rsidR="00D41D03" w:rsidRPr="00BC5198" w14:paraId="43171646" w14:textId="77777777" w:rsidTr="00F658CE">
        <w:trPr>
          <w:trHeight w:val="20"/>
          <w:jc w:val="center"/>
        </w:trPr>
        <w:tc>
          <w:tcPr>
            <w:tcW w:w="0" w:type="auto"/>
            <w:vMerge/>
            <w:tcBorders>
              <w:top w:val="nil"/>
              <w:left w:val="nil"/>
              <w:bottom w:val="single" w:sz="4" w:space="0" w:color="000000"/>
              <w:right w:val="nil"/>
            </w:tcBorders>
            <w:vAlign w:val="center"/>
            <w:hideMark/>
          </w:tcPr>
          <w:p w14:paraId="223F9D11"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nil"/>
              <w:right w:val="nil"/>
            </w:tcBorders>
            <w:shd w:val="clear" w:color="auto" w:fill="auto"/>
            <w:noWrap/>
            <w:vAlign w:val="center"/>
            <w:hideMark/>
          </w:tcPr>
          <w:p w14:paraId="7D795742"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SD</w:t>
            </w:r>
          </w:p>
        </w:tc>
        <w:tc>
          <w:tcPr>
            <w:tcW w:w="0" w:type="auto"/>
            <w:tcBorders>
              <w:top w:val="nil"/>
              <w:left w:val="nil"/>
              <w:bottom w:val="nil"/>
              <w:right w:val="nil"/>
            </w:tcBorders>
            <w:shd w:val="clear" w:color="auto" w:fill="auto"/>
            <w:noWrap/>
            <w:vAlign w:val="center"/>
            <w:hideMark/>
          </w:tcPr>
          <w:p w14:paraId="3315871F" w14:textId="77777777" w:rsidR="00D41D03" w:rsidRPr="00BC5198" w:rsidRDefault="00D41D03" w:rsidP="0065493C">
            <w:pPr>
              <w:spacing w:before="0" w:after="0" w:line="276" w:lineRule="auto"/>
              <w:rPr>
                <w:sz w:val="20"/>
                <w:szCs w:val="20"/>
              </w:rPr>
            </w:pPr>
            <w:r w:rsidRPr="00BC5198">
              <w:rPr>
                <w:sz w:val="20"/>
                <w:szCs w:val="20"/>
              </w:rPr>
              <w:t>0.38</w:t>
            </w:r>
          </w:p>
        </w:tc>
        <w:tc>
          <w:tcPr>
            <w:tcW w:w="0" w:type="auto"/>
            <w:tcBorders>
              <w:top w:val="nil"/>
              <w:left w:val="nil"/>
              <w:bottom w:val="nil"/>
              <w:right w:val="single" w:sz="4" w:space="0" w:color="auto"/>
            </w:tcBorders>
            <w:shd w:val="clear" w:color="auto" w:fill="auto"/>
            <w:noWrap/>
            <w:vAlign w:val="center"/>
            <w:hideMark/>
          </w:tcPr>
          <w:p w14:paraId="5BED8BBF" w14:textId="77777777" w:rsidR="00D41D03" w:rsidRPr="00BC5198" w:rsidRDefault="00D41D03" w:rsidP="0065493C">
            <w:pPr>
              <w:spacing w:before="0" w:after="0" w:line="276" w:lineRule="auto"/>
              <w:rPr>
                <w:sz w:val="20"/>
                <w:szCs w:val="20"/>
              </w:rPr>
            </w:pPr>
            <w:r w:rsidRPr="00BC5198">
              <w:rPr>
                <w:sz w:val="20"/>
                <w:szCs w:val="20"/>
              </w:rPr>
              <w:t>0.51</w:t>
            </w:r>
          </w:p>
        </w:tc>
      </w:tr>
      <w:tr w:rsidR="00D41D03" w:rsidRPr="00BC5198" w14:paraId="3185282F" w14:textId="77777777" w:rsidTr="00F658CE">
        <w:trPr>
          <w:trHeight w:val="20"/>
          <w:jc w:val="center"/>
        </w:trPr>
        <w:tc>
          <w:tcPr>
            <w:tcW w:w="0" w:type="auto"/>
            <w:vMerge/>
            <w:tcBorders>
              <w:top w:val="nil"/>
              <w:left w:val="nil"/>
              <w:bottom w:val="single" w:sz="4" w:space="0" w:color="000000"/>
              <w:right w:val="nil"/>
            </w:tcBorders>
            <w:vAlign w:val="center"/>
            <w:hideMark/>
          </w:tcPr>
          <w:p w14:paraId="67BE46E1"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single" w:sz="4" w:space="0" w:color="auto"/>
              <w:right w:val="nil"/>
            </w:tcBorders>
            <w:shd w:val="clear" w:color="auto" w:fill="auto"/>
            <w:noWrap/>
            <w:vAlign w:val="center"/>
            <w:hideMark/>
          </w:tcPr>
          <w:p w14:paraId="09B22293"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Count</w:t>
            </w:r>
          </w:p>
        </w:tc>
        <w:tc>
          <w:tcPr>
            <w:tcW w:w="0" w:type="auto"/>
            <w:tcBorders>
              <w:top w:val="nil"/>
              <w:left w:val="nil"/>
              <w:bottom w:val="single" w:sz="4" w:space="0" w:color="auto"/>
              <w:right w:val="nil"/>
            </w:tcBorders>
            <w:shd w:val="clear" w:color="auto" w:fill="auto"/>
            <w:noWrap/>
            <w:vAlign w:val="center"/>
            <w:hideMark/>
          </w:tcPr>
          <w:p w14:paraId="11E5060C" w14:textId="77777777" w:rsidR="00D41D03" w:rsidRPr="00BC5198" w:rsidRDefault="00D41D03" w:rsidP="0065493C">
            <w:pPr>
              <w:spacing w:before="0" w:after="0" w:line="276" w:lineRule="auto"/>
              <w:rPr>
                <w:sz w:val="20"/>
                <w:szCs w:val="20"/>
              </w:rPr>
            </w:pPr>
            <w:r w:rsidRPr="00BC5198">
              <w:rPr>
                <w:sz w:val="20"/>
                <w:szCs w:val="20"/>
              </w:rPr>
              <w:t>68</w:t>
            </w:r>
          </w:p>
        </w:tc>
        <w:tc>
          <w:tcPr>
            <w:tcW w:w="0" w:type="auto"/>
            <w:tcBorders>
              <w:top w:val="nil"/>
              <w:left w:val="nil"/>
              <w:bottom w:val="single" w:sz="4" w:space="0" w:color="auto"/>
              <w:right w:val="single" w:sz="4" w:space="0" w:color="auto"/>
            </w:tcBorders>
            <w:shd w:val="clear" w:color="auto" w:fill="auto"/>
            <w:noWrap/>
            <w:vAlign w:val="center"/>
            <w:hideMark/>
          </w:tcPr>
          <w:p w14:paraId="1A25A705" w14:textId="77777777" w:rsidR="00D41D03" w:rsidRPr="00BC5198" w:rsidRDefault="00D41D03" w:rsidP="0065493C">
            <w:pPr>
              <w:spacing w:before="0" w:after="0" w:line="276" w:lineRule="auto"/>
              <w:rPr>
                <w:sz w:val="20"/>
                <w:szCs w:val="20"/>
              </w:rPr>
            </w:pPr>
            <w:r w:rsidRPr="00BC5198">
              <w:rPr>
                <w:sz w:val="20"/>
                <w:szCs w:val="20"/>
              </w:rPr>
              <w:t>65</w:t>
            </w:r>
          </w:p>
        </w:tc>
      </w:tr>
      <w:tr w:rsidR="00D41D03" w:rsidRPr="00BC5198" w14:paraId="6E8C9429" w14:textId="77777777" w:rsidTr="00F658CE">
        <w:trPr>
          <w:trHeight w:val="20"/>
          <w:jc w:val="center"/>
        </w:trPr>
        <w:tc>
          <w:tcPr>
            <w:tcW w:w="0" w:type="auto"/>
            <w:vMerge w:val="restart"/>
            <w:tcBorders>
              <w:top w:val="nil"/>
              <w:left w:val="nil"/>
              <w:bottom w:val="single" w:sz="4" w:space="0" w:color="000000"/>
              <w:right w:val="nil"/>
            </w:tcBorders>
            <w:shd w:val="clear" w:color="auto" w:fill="auto"/>
            <w:vAlign w:val="center"/>
            <w:hideMark/>
          </w:tcPr>
          <w:p w14:paraId="5C6363D8"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Total Suspended Solids (mg/L)</w:t>
            </w:r>
          </w:p>
        </w:tc>
        <w:tc>
          <w:tcPr>
            <w:tcW w:w="0" w:type="auto"/>
            <w:tcBorders>
              <w:top w:val="nil"/>
              <w:left w:val="nil"/>
              <w:bottom w:val="nil"/>
              <w:right w:val="nil"/>
            </w:tcBorders>
            <w:shd w:val="clear" w:color="auto" w:fill="auto"/>
            <w:noWrap/>
            <w:vAlign w:val="center"/>
            <w:hideMark/>
          </w:tcPr>
          <w:p w14:paraId="6BFA4E53"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Min.</w:t>
            </w:r>
          </w:p>
        </w:tc>
        <w:tc>
          <w:tcPr>
            <w:tcW w:w="0" w:type="auto"/>
            <w:tcBorders>
              <w:top w:val="nil"/>
              <w:left w:val="nil"/>
              <w:bottom w:val="nil"/>
              <w:right w:val="nil"/>
            </w:tcBorders>
            <w:shd w:val="clear" w:color="auto" w:fill="auto"/>
            <w:noWrap/>
            <w:vAlign w:val="center"/>
            <w:hideMark/>
          </w:tcPr>
          <w:p w14:paraId="7C9BC5D4" w14:textId="77777777" w:rsidR="00D41D03" w:rsidRPr="00BC5198" w:rsidRDefault="00D41D03" w:rsidP="0065493C">
            <w:pPr>
              <w:spacing w:before="0" w:after="0" w:line="276" w:lineRule="auto"/>
              <w:rPr>
                <w:sz w:val="20"/>
                <w:szCs w:val="20"/>
              </w:rPr>
            </w:pPr>
            <w:r w:rsidRPr="00BC5198">
              <w:rPr>
                <w:sz w:val="20"/>
                <w:szCs w:val="20"/>
              </w:rPr>
              <w:t>1.00</w:t>
            </w:r>
          </w:p>
        </w:tc>
        <w:tc>
          <w:tcPr>
            <w:tcW w:w="0" w:type="auto"/>
            <w:tcBorders>
              <w:top w:val="nil"/>
              <w:left w:val="nil"/>
              <w:bottom w:val="nil"/>
              <w:right w:val="single" w:sz="4" w:space="0" w:color="auto"/>
            </w:tcBorders>
            <w:shd w:val="clear" w:color="auto" w:fill="auto"/>
            <w:noWrap/>
            <w:vAlign w:val="center"/>
            <w:hideMark/>
          </w:tcPr>
          <w:p w14:paraId="7F0143A2" w14:textId="77777777" w:rsidR="00D41D03" w:rsidRPr="00BC5198" w:rsidRDefault="00D41D03" w:rsidP="0065493C">
            <w:pPr>
              <w:spacing w:before="0" w:after="0" w:line="276" w:lineRule="auto"/>
              <w:rPr>
                <w:sz w:val="20"/>
                <w:szCs w:val="20"/>
              </w:rPr>
            </w:pPr>
            <w:r w:rsidRPr="00BC5198">
              <w:rPr>
                <w:sz w:val="20"/>
                <w:szCs w:val="20"/>
              </w:rPr>
              <w:t>1.40</w:t>
            </w:r>
          </w:p>
        </w:tc>
      </w:tr>
      <w:tr w:rsidR="00D41D03" w:rsidRPr="00BC5198" w14:paraId="2A5337E4" w14:textId="77777777" w:rsidTr="00F658CE">
        <w:trPr>
          <w:trHeight w:val="20"/>
          <w:jc w:val="center"/>
        </w:trPr>
        <w:tc>
          <w:tcPr>
            <w:tcW w:w="0" w:type="auto"/>
            <w:vMerge/>
            <w:tcBorders>
              <w:top w:val="nil"/>
              <w:left w:val="nil"/>
              <w:bottom w:val="single" w:sz="4" w:space="0" w:color="000000"/>
              <w:right w:val="nil"/>
            </w:tcBorders>
            <w:vAlign w:val="center"/>
            <w:hideMark/>
          </w:tcPr>
          <w:p w14:paraId="221CE1E8"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nil"/>
              <w:right w:val="nil"/>
            </w:tcBorders>
            <w:shd w:val="clear" w:color="auto" w:fill="auto"/>
            <w:noWrap/>
            <w:vAlign w:val="center"/>
            <w:hideMark/>
          </w:tcPr>
          <w:p w14:paraId="4913423E"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Max.</w:t>
            </w:r>
          </w:p>
        </w:tc>
        <w:tc>
          <w:tcPr>
            <w:tcW w:w="0" w:type="auto"/>
            <w:tcBorders>
              <w:top w:val="nil"/>
              <w:left w:val="nil"/>
              <w:bottom w:val="nil"/>
              <w:right w:val="nil"/>
            </w:tcBorders>
            <w:shd w:val="clear" w:color="auto" w:fill="auto"/>
            <w:noWrap/>
            <w:vAlign w:val="center"/>
            <w:hideMark/>
          </w:tcPr>
          <w:p w14:paraId="02E130E0" w14:textId="77777777" w:rsidR="00D41D03" w:rsidRPr="00BC5198" w:rsidRDefault="00D41D03" w:rsidP="0065493C">
            <w:pPr>
              <w:spacing w:before="0" w:after="0" w:line="276" w:lineRule="auto"/>
              <w:rPr>
                <w:sz w:val="20"/>
                <w:szCs w:val="20"/>
              </w:rPr>
            </w:pPr>
            <w:r w:rsidRPr="00BC5198">
              <w:rPr>
                <w:sz w:val="20"/>
                <w:szCs w:val="20"/>
              </w:rPr>
              <w:t>14.00</w:t>
            </w:r>
          </w:p>
        </w:tc>
        <w:tc>
          <w:tcPr>
            <w:tcW w:w="0" w:type="auto"/>
            <w:tcBorders>
              <w:top w:val="nil"/>
              <w:left w:val="nil"/>
              <w:bottom w:val="nil"/>
              <w:right w:val="single" w:sz="4" w:space="0" w:color="auto"/>
            </w:tcBorders>
            <w:shd w:val="clear" w:color="auto" w:fill="auto"/>
            <w:noWrap/>
            <w:vAlign w:val="center"/>
            <w:hideMark/>
          </w:tcPr>
          <w:p w14:paraId="141CA784" w14:textId="77777777" w:rsidR="00D41D03" w:rsidRPr="00BC5198" w:rsidRDefault="00D41D03" w:rsidP="0065493C">
            <w:pPr>
              <w:spacing w:before="0" w:after="0" w:line="276" w:lineRule="auto"/>
              <w:rPr>
                <w:sz w:val="20"/>
                <w:szCs w:val="20"/>
              </w:rPr>
            </w:pPr>
            <w:r w:rsidRPr="00BC5198">
              <w:rPr>
                <w:sz w:val="20"/>
                <w:szCs w:val="20"/>
              </w:rPr>
              <w:t>21.00</w:t>
            </w:r>
          </w:p>
        </w:tc>
      </w:tr>
      <w:tr w:rsidR="00D41D03" w:rsidRPr="00BC5198" w14:paraId="01487C54" w14:textId="77777777" w:rsidTr="00F658CE">
        <w:trPr>
          <w:trHeight w:val="20"/>
          <w:jc w:val="center"/>
        </w:trPr>
        <w:tc>
          <w:tcPr>
            <w:tcW w:w="0" w:type="auto"/>
            <w:vMerge/>
            <w:tcBorders>
              <w:top w:val="nil"/>
              <w:left w:val="nil"/>
              <w:bottom w:val="single" w:sz="4" w:space="0" w:color="000000"/>
              <w:right w:val="nil"/>
            </w:tcBorders>
            <w:vAlign w:val="center"/>
            <w:hideMark/>
          </w:tcPr>
          <w:p w14:paraId="5593F480"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nil"/>
              <w:right w:val="nil"/>
            </w:tcBorders>
            <w:shd w:val="clear" w:color="auto" w:fill="auto"/>
            <w:noWrap/>
            <w:vAlign w:val="center"/>
            <w:hideMark/>
          </w:tcPr>
          <w:p w14:paraId="2817C810"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Mean</w:t>
            </w:r>
          </w:p>
        </w:tc>
        <w:tc>
          <w:tcPr>
            <w:tcW w:w="0" w:type="auto"/>
            <w:tcBorders>
              <w:top w:val="nil"/>
              <w:left w:val="nil"/>
              <w:bottom w:val="nil"/>
              <w:right w:val="nil"/>
            </w:tcBorders>
            <w:shd w:val="clear" w:color="auto" w:fill="auto"/>
            <w:noWrap/>
            <w:vAlign w:val="center"/>
            <w:hideMark/>
          </w:tcPr>
          <w:p w14:paraId="3362E76E" w14:textId="77777777" w:rsidR="00D41D03" w:rsidRPr="00BC5198" w:rsidRDefault="00D41D03" w:rsidP="0065493C">
            <w:pPr>
              <w:spacing w:before="0" w:after="0" w:line="276" w:lineRule="auto"/>
              <w:rPr>
                <w:sz w:val="20"/>
                <w:szCs w:val="20"/>
              </w:rPr>
            </w:pPr>
            <w:r w:rsidRPr="00BC5198">
              <w:rPr>
                <w:sz w:val="20"/>
                <w:szCs w:val="20"/>
              </w:rPr>
              <w:t>5.46</w:t>
            </w:r>
          </w:p>
        </w:tc>
        <w:tc>
          <w:tcPr>
            <w:tcW w:w="0" w:type="auto"/>
            <w:tcBorders>
              <w:top w:val="nil"/>
              <w:left w:val="nil"/>
              <w:bottom w:val="nil"/>
              <w:right w:val="single" w:sz="4" w:space="0" w:color="auto"/>
            </w:tcBorders>
            <w:shd w:val="clear" w:color="auto" w:fill="auto"/>
            <w:noWrap/>
            <w:vAlign w:val="center"/>
            <w:hideMark/>
          </w:tcPr>
          <w:p w14:paraId="745523BA" w14:textId="77777777" w:rsidR="00D41D03" w:rsidRPr="00BC5198" w:rsidRDefault="00D41D03" w:rsidP="0065493C">
            <w:pPr>
              <w:spacing w:before="0" w:after="0" w:line="276" w:lineRule="auto"/>
              <w:rPr>
                <w:sz w:val="20"/>
                <w:szCs w:val="20"/>
              </w:rPr>
            </w:pPr>
            <w:r w:rsidRPr="00BC5198">
              <w:rPr>
                <w:sz w:val="20"/>
                <w:szCs w:val="20"/>
              </w:rPr>
              <w:t>7.02</w:t>
            </w:r>
          </w:p>
        </w:tc>
      </w:tr>
      <w:tr w:rsidR="00D41D03" w:rsidRPr="00BC5198" w14:paraId="3D31A86C" w14:textId="77777777" w:rsidTr="00F658CE">
        <w:trPr>
          <w:trHeight w:val="20"/>
          <w:jc w:val="center"/>
        </w:trPr>
        <w:tc>
          <w:tcPr>
            <w:tcW w:w="0" w:type="auto"/>
            <w:vMerge/>
            <w:tcBorders>
              <w:top w:val="nil"/>
              <w:left w:val="nil"/>
              <w:bottom w:val="single" w:sz="4" w:space="0" w:color="000000"/>
              <w:right w:val="nil"/>
            </w:tcBorders>
            <w:vAlign w:val="center"/>
            <w:hideMark/>
          </w:tcPr>
          <w:p w14:paraId="54D64967"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nil"/>
              <w:right w:val="nil"/>
            </w:tcBorders>
            <w:shd w:val="clear" w:color="auto" w:fill="auto"/>
            <w:noWrap/>
            <w:vAlign w:val="center"/>
            <w:hideMark/>
          </w:tcPr>
          <w:p w14:paraId="3BCAD8AC"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SD</w:t>
            </w:r>
          </w:p>
        </w:tc>
        <w:tc>
          <w:tcPr>
            <w:tcW w:w="0" w:type="auto"/>
            <w:tcBorders>
              <w:top w:val="nil"/>
              <w:left w:val="nil"/>
              <w:bottom w:val="nil"/>
              <w:right w:val="nil"/>
            </w:tcBorders>
            <w:shd w:val="clear" w:color="auto" w:fill="auto"/>
            <w:noWrap/>
            <w:vAlign w:val="center"/>
            <w:hideMark/>
          </w:tcPr>
          <w:p w14:paraId="6FE72522" w14:textId="77777777" w:rsidR="00D41D03" w:rsidRPr="00BC5198" w:rsidRDefault="00D41D03" w:rsidP="0065493C">
            <w:pPr>
              <w:spacing w:before="0" w:after="0" w:line="276" w:lineRule="auto"/>
              <w:rPr>
                <w:sz w:val="20"/>
                <w:szCs w:val="20"/>
              </w:rPr>
            </w:pPr>
            <w:r w:rsidRPr="00BC5198">
              <w:rPr>
                <w:sz w:val="20"/>
                <w:szCs w:val="20"/>
              </w:rPr>
              <w:t>2.72</w:t>
            </w:r>
          </w:p>
        </w:tc>
        <w:tc>
          <w:tcPr>
            <w:tcW w:w="0" w:type="auto"/>
            <w:tcBorders>
              <w:top w:val="nil"/>
              <w:left w:val="nil"/>
              <w:bottom w:val="nil"/>
              <w:right w:val="single" w:sz="4" w:space="0" w:color="auto"/>
            </w:tcBorders>
            <w:shd w:val="clear" w:color="auto" w:fill="auto"/>
            <w:noWrap/>
            <w:vAlign w:val="center"/>
            <w:hideMark/>
          </w:tcPr>
          <w:p w14:paraId="118883B6" w14:textId="77777777" w:rsidR="00D41D03" w:rsidRPr="00BC5198" w:rsidRDefault="00D41D03" w:rsidP="0065493C">
            <w:pPr>
              <w:spacing w:before="0" w:after="0" w:line="276" w:lineRule="auto"/>
              <w:rPr>
                <w:sz w:val="20"/>
                <w:szCs w:val="20"/>
              </w:rPr>
            </w:pPr>
            <w:r w:rsidRPr="00BC5198">
              <w:rPr>
                <w:sz w:val="20"/>
                <w:szCs w:val="20"/>
              </w:rPr>
              <w:t>4.75</w:t>
            </w:r>
          </w:p>
        </w:tc>
      </w:tr>
      <w:tr w:rsidR="00D41D03" w:rsidRPr="00BC5198" w14:paraId="38C58DF9" w14:textId="77777777" w:rsidTr="00F658CE">
        <w:trPr>
          <w:trHeight w:val="20"/>
          <w:jc w:val="center"/>
        </w:trPr>
        <w:tc>
          <w:tcPr>
            <w:tcW w:w="0" w:type="auto"/>
            <w:vMerge/>
            <w:tcBorders>
              <w:top w:val="nil"/>
              <w:left w:val="nil"/>
              <w:bottom w:val="single" w:sz="4" w:space="0" w:color="000000"/>
              <w:right w:val="nil"/>
            </w:tcBorders>
            <w:vAlign w:val="center"/>
            <w:hideMark/>
          </w:tcPr>
          <w:p w14:paraId="3516FFC4"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single" w:sz="4" w:space="0" w:color="auto"/>
              <w:right w:val="nil"/>
            </w:tcBorders>
            <w:shd w:val="clear" w:color="auto" w:fill="auto"/>
            <w:noWrap/>
            <w:vAlign w:val="center"/>
            <w:hideMark/>
          </w:tcPr>
          <w:p w14:paraId="4E5ED573"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Count</w:t>
            </w:r>
          </w:p>
        </w:tc>
        <w:tc>
          <w:tcPr>
            <w:tcW w:w="0" w:type="auto"/>
            <w:tcBorders>
              <w:top w:val="nil"/>
              <w:left w:val="nil"/>
              <w:bottom w:val="single" w:sz="4" w:space="0" w:color="auto"/>
              <w:right w:val="nil"/>
            </w:tcBorders>
            <w:shd w:val="clear" w:color="auto" w:fill="auto"/>
            <w:noWrap/>
            <w:vAlign w:val="center"/>
            <w:hideMark/>
          </w:tcPr>
          <w:p w14:paraId="272F6F0D" w14:textId="77777777" w:rsidR="00D41D03" w:rsidRPr="00BC5198" w:rsidRDefault="00D41D03" w:rsidP="0065493C">
            <w:pPr>
              <w:spacing w:before="0" w:after="0" w:line="276" w:lineRule="auto"/>
              <w:rPr>
                <w:sz w:val="20"/>
                <w:szCs w:val="20"/>
              </w:rPr>
            </w:pPr>
            <w:r w:rsidRPr="00BC5198">
              <w:rPr>
                <w:sz w:val="20"/>
                <w:szCs w:val="20"/>
              </w:rPr>
              <w:t>68</w:t>
            </w:r>
          </w:p>
        </w:tc>
        <w:tc>
          <w:tcPr>
            <w:tcW w:w="0" w:type="auto"/>
            <w:tcBorders>
              <w:top w:val="nil"/>
              <w:left w:val="nil"/>
              <w:bottom w:val="single" w:sz="4" w:space="0" w:color="auto"/>
              <w:right w:val="single" w:sz="4" w:space="0" w:color="auto"/>
            </w:tcBorders>
            <w:shd w:val="clear" w:color="auto" w:fill="auto"/>
            <w:noWrap/>
            <w:vAlign w:val="center"/>
            <w:hideMark/>
          </w:tcPr>
          <w:p w14:paraId="61C40A21" w14:textId="77777777" w:rsidR="00D41D03" w:rsidRPr="00BC5198" w:rsidRDefault="00D41D03" w:rsidP="0065493C">
            <w:pPr>
              <w:spacing w:before="0" w:after="0" w:line="276" w:lineRule="auto"/>
              <w:rPr>
                <w:sz w:val="20"/>
                <w:szCs w:val="20"/>
              </w:rPr>
            </w:pPr>
            <w:r w:rsidRPr="00BC5198">
              <w:rPr>
                <w:sz w:val="20"/>
                <w:szCs w:val="20"/>
              </w:rPr>
              <w:t>64</w:t>
            </w:r>
          </w:p>
        </w:tc>
      </w:tr>
      <w:tr w:rsidR="00D41D03" w:rsidRPr="00BC5198" w14:paraId="36407122" w14:textId="77777777" w:rsidTr="00F658CE">
        <w:trPr>
          <w:trHeight w:val="20"/>
          <w:jc w:val="center"/>
        </w:trPr>
        <w:tc>
          <w:tcPr>
            <w:tcW w:w="0" w:type="auto"/>
            <w:vMerge w:val="restart"/>
            <w:tcBorders>
              <w:top w:val="nil"/>
              <w:left w:val="nil"/>
              <w:bottom w:val="single" w:sz="4" w:space="0" w:color="000000"/>
              <w:right w:val="nil"/>
            </w:tcBorders>
            <w:shd w:val="clear" w:color="auto" w:fill="auto"/>
            <w:vAlign w:val="center"/>
            <w:hideMark/>
          </w:tcPr>
          <w:p w14:paraId="0DE45836"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Chlorophyll-a (µg/L)</w:t>
            </w:r>
          </w:p>
        </w:tc>
        <w:tc>
          <w:tcPr>
            <w:tcW w:w="0" w:type="auto"/>
            <w:tcBorders>
              <w:top w:val="nil"/>
              <w:left w:val="nil"/>
              <w:bottom w:val="nil"/>
              <w:right w:val="nil"/>
            </w:tcBorders>
            <w:shd w:val="clear" w:color="auto" w:fill="auto"/>
            <w:noWrap/>
            <w:vAlign w:val="center"/>
            <w:hideMark/>
          </w:tcPr>
          <w:p w14:paraId="0C18BF6D"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Min.</w:t>
            </w:r>
          </w:p>
        </w:tc>
        <w:tc>
          <w:tcPr>
            <w:tcW w:w="0" w:type="auto"/>
            <w:tcBorders>
              <w:top w:val="nil"/>
              <w:left w:val="nil"/>
              <w:bottom w:val="nil"/>
              <w:right w:val="nil"/>
            </w:tcBorders>
            <w:shd w:val="clear" w:color="auto" w:fill="auto"/>
            <w:noWrap/>
            <w:vAlign w:val="center"/>
            <w:hideMark/>
          </w:tcPr>
          <w:p w14:paraId="2C7467BB" w14:textId="77777777" w:rsidR="00D41D03" w:rsidRPr="00BC5198" w:rsidRDefault="00D41D03" w:rsidP="0065493C">
            <w:pPr>
              <w:spacing w:before="0" w:after="0" w:line="276" w:lineRule="auto"/>
              <w:rPr>
                <w:sz w:val="20"/>
                <w:szCs w:val="20"/>
              </w:rPr>
            </w:pPr>
            <w:r w:rsidRPr="00BC5198">
              <w:rPr>
                <w:sz w:val="20"/>
                <w:szCs w:val="20"/>
              </w:rPr>
              <w:t>0.20</w:t>
            </w:r>
          </w:p>
        </w:tc>
        <w:tc>
          <w:tcPr>
            <w:tcW w:w="0" w:type="auto"/>
            <w:tcBorders>
              <w:top w:val="nil"/>
              <w:left w:val="nil"/>
              <w:bottom w:val="nil"/>
              <w:right w:val="single" w:sz="4" w:space="0" w:color="auto"/>
            </w:tcBorders>
            <w:shd w:val="clear" w:color="auto" w:fill="auto"/>
            <w:noWrap/>
            <w:vAlign w:val="center"/>
            <w:hideMark/>
          </w:tcPr>
          <w:p w14:paraId="08BC2E14" w14:textId="77777777" w:rsidR="00D41D03" w:rsidRPr="00BC5198" w:rsidRDefault="00D41D03" w:rsidP="0065493C">
            <w:pPr>
              <w:spacing w:before="0" w:after="0" w:line="276" w:lineRule="auto"/>
              <w:rPr>
                <w:sz w:val="20"/>
                <w:szCs w:val="20"/>
              </w:rPr>
            </w:pPr>
            <w:r w:rsidRPr="00BC5198">
              <w:rPr>
                <w:sz w:val="20"/>
                <w:szCs w:val="20"/>
              </w:rPr>
              <w:t>0.20</w:t>
            </w:r>
          </w:p>
        </w:tc>
      </w:tr>
      <w:tr w:rsidR="00D41D03" w:rsidRPr="00BC5198" w14:paraId="7FC9BA6C" w14:textId="77777777" w:rsidTr="00F658CE">
        <w:trPr>
          <w:trHeight w:val="20"/>
          <w:jc w:val="center"/>
        </w:trPr>
        <w:tc>
          <w:tcPr>
            <w:tcW w:w="0" w:type="auto"/>
            <w:vMerge/>
            <w:tcBorders>
              <w:top w:val="nil"/>
              <w:left w:val="nil"/>
              <w:bottom w:val="single" w:sz="4" w:space="0" w:color="000000"/>
              <w:right w:val="nil"/>
            </w:tcBorders>
            <w:vAlign w:val="center"/>
            <w:hideMark/>
          </w:tcPr>
          <w:p w14:paraId="61410436"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nil"/>
              <w:right w:val="nil"/>
            </w:tcBorders>
            <w:shd w:val="clear" w:color="auto" w:fill="auto"/>
            <w:noWrap/>
            <w:vAlign w:val="center"/>
            <w:hideMark/>
          </w:tcPr>
          <w:p w14:paraId="164B63D0"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Max.</w:t>
            </w:r>
          </w:p>
        </w:tc>
        <w:tc>
          <w:tcPr>
            <w:tcW w:w="0" w:type="auto"/>
            <w:tcBorders>
              <w:top w:val="nil"/>
              <w:left w:val="nil"/>
              <w:bottom w:val="nil"/>
              <w:right w:val="nil"/>
            </w:tcBorders>
            <w:shd w:val="clear" w:color="auto" w:fill="auto"/>
            <w:noWrap/>
            <w:vAlign w:val="center"/>
            <w:hideMark/>
          </w:tcPr>
          <w:p w14:paraId="6540CE05" w14:textId="77777777" w:rsidR="00D41D03" w:rsidRPr="00BC5198" w:rsidRDefault="00D41D03" w:rsidP="0065493C">
            <w:pPr>
              <w:spacing w:before="0" w:after="0" w:line="276" w:lineRule="auto"/>
              <w:rPr>
                <w:sz w:val="20"/>
                <w:szCs w:val="20"/>
              </w:rPr>
            </w:pPr>
            <w:r w:rsidRPr="00BC5198">
              <w:rPr>
                <w:sz w:val="20"/>
                <w:szCs w:val="20"/>
              </w:rPr>
              <w:t>4.86</w:t>
            </w:r>
          </w:p>
        </w:tc>
        <w:tc>
          <w:tcPr>
            <w:tcW w:w="0" w:type="auto"/>
            <w:tcBorders>
              <w:top w:val="nil"/>
              <w:left w:val="nil"/>
              <w:bottom w:val="nil"/>
              <w:right w:val="single" w:sz="4" w:space="0" w:color="auto"/>
            </w:tcBorders>
            <w:shd w:val="clear" w:color="auto" w:fill="auto"/>
            <w:noWrap/>
            <w:vAlign w:val="center"/>
            <w:hideMark/>
          </w:tcPr>
          <w:p w14:paraId="022C7D26" w14:textId="77777777" w:rsidR="00D41D03" w:rsidRPr="00BC5198" w:rsidRDefault="00D41D03" w:rsidP="0065493C">
            <w:pPr>
              <w:spacing w:before="0" w:after="0" w:line="276" w:lineRule="auto"/>
              <w:rPr>
                <w:sz w:val="20"/>
                <w:szCs w:val="20"/>
              </w:rPr>
            </w:pPr>
            <w:r w:rsidRPr="00BC5198">
              <w:rPr>
                <w:sz w:val="20"/>
                <w:szCs w:val="20"/>
              </w:rPr>
              <w:t>2.41</w:t>
            </w:r>
          </w:p>
        </w:tc>
      </w:tr>
      <w:tr w:rsidR="00D41D03" w:rsidRPr="00BC5198" w14:paraId="4C8C23BE" w14:textId="77777777" w:rsidTr="00F658CE">
        <w:trPr>
          <w:trHeight w:val="20"/>
          <w:jc w:val="center"/>
        </w:trPr>
        <w:tc>
          <w:tcPr>
            <w:tcW w:w="0" w:type="auto"/>
            <w:vMerge/>
            <w:tcBorders>
              <w:top w:val="nil"/>
              <w:left w:val="nil"/>
              <w:bottom w:val="single" w:sz="4" w:space="0" w:color="000000"/>
              <w:right w:val="nil"/>
            </w:tcBorders>
            <w:vAlign w:val="center"/>
            <w:hideMark/>
          </w:tcPr>
          <w:p w14:paraId="7901B419"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nil"/>
              <w:right w:val="nil"/>
            </w:tcBorders>
            <w:shd w:val="clear" w:color="auto" w:fill="auto"/>
            <w:noWrap/>
            <w:vAlign w:val="center"/>
            <w:hideMark/>
          </w:tcPr>
          <w:p w14:paraId="51672562"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Mean</w:t>
            </w:r>
          </w:p>
        </w:tc>
        <w:tc>
          <w:tcPr>
            <w:tcW w:w="0" w:type="auto"/>
            <w:tcBorders>
              <w:top w:val="nil"/>
              <w:left w:val="nil"/>
              <w:bottom w:val="nil"/>
              <w:right w:val="nil"/>
            </w:tcBorders>
            <w:shd w:val="clear" w:color="auto" w:fill="auto"/>
            <w:noWrap/>
            <w:vAlign w:val="center"/>
            <w:hideMark/>
          </w:tcPr>
          <w:p w14:paraId="7D11F5A4" w14:textId="77777777" w:rsidR="00D41D03" w:rsidRPr="00BC5198" w:rsidRDefault="00D41D03" w:rsidP="0065493C">
            <w:pPr>
              <w:spacing w:before="0" w:after="0" w:line="276" w:lineRule="auto"/>
              <w:rPr>
                <w:sz w:val="20"/>
                <w:szCs w:val="20"/>
              </w:rPr>
            </w:pPr>
            <w:r w:rsidRPr="00BC5198">
              <w:rPr>
                <w:sz w:val="20"/>
                <w:szCs w:val="20"/>
              </w:rPr>
              <w:t>0.75</w:t>
            </w:r>
          </w:p>
        </w:tc>
        <w:tc>
          <w:tcPr>
            <w:tcW w:w="0" w:type="auto"/>
            <w:tcBorders>
              <w:top w:val="nil"/>
              <w:left w:val="nil"/>
              <w:bottom w:val="nil"/>
              <w:right w:val="single" w:sz="4" w:space="0" w:color="auto"/>
            </w:tcBorders>
            <w:shd w:val="clear" w:color="auto" w:fill="auto"/>
            <w:noWrap/>
            <w:vAlign w:val="center"/>
            <w:hideMark/>
          </w:tcPr>
          <w:p w14:paraId="35099B00" w14:textId="77777777" w:rsidR="00D41D03" w:rsidRPr="00BC5198" w:rsidRDefault="00D41D03" w:rsidP="0065493C">
            <w:pPr>
              <w:spacing w:before="0" w:after="0" w:line="276" w:lineRule="auto"/>
              <w:rPr>
                <w:sz w:val="20"/>
                <w:szCs w:val="20"/>
              </w:rPr>
            </w:pPr>
            <w:r w:rsidRPr="00BC5198">
              <w:rPr>
                <w:sz w:val="20"/>
                <w:szCs w:val="20"/>
              </w:rPr>
              <w:t>0.96</w:t>
            </w:r>
          </w:p>
        </w:tc>
      </w:tr>
      <w:tr w:rsidR="00D41D03" w:rsidRPr="00BC5198" w14:paraId="4713E269" w14:textId="77777777" w:rsidTr="00F658CE">
        <w:trPr>
          <w:trHeight w:val="20"/>
          <w:jc w:val="center"/>
        </w:trPr>
        <w:tc>
          <w:tcPr>
            <w:tcW w:w="0" w:type="auto"/>
            <w:vMerge/>
            <w:tcBorders>
              <w:top w:val="nil"/>
              <w:left w:val="nil"/>
              <w:bottom w:val="single" w:sz="4" w:space="0" w:color="000000"/>
              <w:right w:val="nil"/>
            </w:tcBorders>
            <w:vAlign w:val="center"/>
            <w:hideMark/>
          </w:tcPr>
          <w:p w14:paraId="37441A93"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nil"/>
              <w:right w:val="nil"/>
            </w:tcBorders>
            <w:shd w:val="clear" w:color="auto" w:fill="auto"/>
            <w:noWrap/>
            <w:vAlign w:val="center"/>
            <w:hideMark/>
          </w:tcPr>
          <w:p w14:paraId="4ABC381E"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SD</w:t>
            </w:r>
          </w:p>
        </w:tc>
        <w:tc>
          <w:tcPr>
            <w:tcW w:w="0" w:type="auto"/>
            <w:tcBorders>
              <w:top w:val="nil"/>
              <w:left w:val="nil"/>
              <w:bottom w:val="nil"/>
              <w:right w:val="nil"/>
            </w:tcBorders>
            <w:shd w:val="clear" w:color="auto" w:fill="auto"/>
            <w:noWrap/>
            <w:vAlign w:val="center"/>
            <w:hideMark/>
          </w:tcPr>
          <w:p w14:paraId="31C1B203" w14:textId="77777777" w:rsidR="00D41D03" w:rsidRPr="00BC5198" w:rsidRDefault="00D41D03" w:rsidP="0065493C">
            <w:pPr>
              <w:spacing w:before="0" w:after="0" w:line="276" w:lineRule="auto"/>
              <w:rPr>
                <w:sz w:val="20"/>
                <w:szCs w:val="20"/>
              </w:rPr>
            </w:pPr>
            <w:r w:rsidRPr="00BC5198">
              <w:rPr>
                <w:sz w:val="20"/>
                <w:szCs w:val="20"/>
              </w:rPr>
              <w:t>0.81</w:t>
            </w:r>
          </w:p>
        </w:tc>
        <w:tc>
          <w:tcPr>
            <w:tcW w:w="0" w:type="auto"/>
            <w:tcBorders>
              <w:top w:val="nil"/>
              <w:left w:val="nil"/>
              <w:bottom w:val="nil"/>
              <w:right w:val="single" w:sz="4" w:space="0" w:color="auto"/>
            </w:tcBorders>
            <w:shd w:val="clear" w:color="auto" w:fill="auto"/>
            <w:noWrap/>
            <w:vAlign w:val="center"/>
            <w:hideMark/>
          </w:tcPr>
          <w:p w14:paraId="6ED6F222" w14:textId="77777777" w:rsidR="00D41D03" w:rsidRPr="00BC5198" w:rsidRDefault="00D41D03" w:rsidP="0065493C">
            <w:pPr>
              <w:spacing w:before="0" w:after="0" w:line="276" w:lineRule="auto"/>
              <w:rPr>
                <w:sz w:val="20"/>
                <w:szCs w:val="20"/>
              </w:rPr>
            </w:pPr>
            <w:r w:rsidRPr="00BC5198">
              <w:rPr>
                <w:sz w:val="20"/>
                <w:szCs w:val="20"/>
              </w:rPr>
              <w:t>0.59</w:t>
            </w:r>
          </w:p>
        </w:tc>
      </w:tr>
      <w:tr w:rsidR="00D41D03" w:rsidRPr="00BC5198" w14:paraId="612A2A57" w14:textId="77777777" w:rsidTr="00F658CE">
        <w:trPr>
          <w:trHeight w:val="20"/>
          <w:jc w:val="center"/>
        </w:trPr>
        <w:tc>
          <w:tcPr>
            <w:tcW w:w="0" w:type="auto"/>
            <w:vMerge/>
            <w:tcBorders>
              <w:top w:val="nil"/>
              <w:left w:val="nil"/>
              <w:bottom w:val="single" w:sz="4" w:space="0" w:color="000000"/>
              <w:right w:val="nil"/>
            </w:tcBorders>
            <w:vAlign w:val="center"/>
            <w:hideMark/>
          </w:tcPr>
          <w:p w14:paraId="60E1AAE3"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single" w:sz="4" w:space="0" w:color="auto"/>
              <w:right w:val="nil"/>
            </w:tcBorders>
            <w:shd w:val="clear" w:color="auto" w:fill="auto"/>
            <w:noWrap/>
            <w:vAlign w:val="center"/>
            <w:hideMark/>
          </w:tcPr>
          <w:p w14:paraId="4C65B103"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Count</w:t>
            </w:r>
          </w:p>
        </w:tc>
        <w:tc>
          <w:tcPr>
            <w:tcW w:w="0" w:type="auto"/>
            <w:tcBorders>
              <w:top w:val="nil"/>
              <w:left w:val="nil"/>
              <w:bottom w:val="single" w:sz="4" w:space="0" w:color="auto"/>
              <w:right w:val="nil"/>
            </w:tcBorders>
            <w:shd w:val="clear" w:color="auto" w:fill="auto"/>
            <w:noWrap/>
            <w:vAlign w:val="center"/>
            <w:hideMark/>
          </w:tcPr>
          <w:p w14:paraId="7444A52A" w14:textId="77777777" w:rsidR="00D41D03" w:rsidRPr="00BC5198" w:rsidRDefault="00D41D03" w:rsidP="0065493C">
            <w:pPr>
              <w:spacing w:before="0" w:after="0" w:line="276" w:lineRule="auto"/>
              <w:rPr>
                <w:sz w:val="20"/>
                <w:szCs w:val="20"/>
              </w:rPr>
            </w:pPr>
            <w:r w:rsidRPr="00BC5198">
              <w:rPr>
                <w:sz w:val="20"/>
                <w:szCs w:val="20"/>
              </w:rPr>
              <w:t>68</w:t>
            </w:r>
          </w:p>
        </w:tc>
        <w:tc>
          <w:tcPr>
            <w:tcW w:w="0" w:type="auto"/>
            <w:tcBorders>
              <w:top w:val="nil"/>
              <w:left w:val="nil"/>
              <w:bottom w:val="single" w:sz="4" w:space="0" w:color="auto"/>
              <w:right w:val="single" w:sz="4" w:space="0" w:color="auto"/>
            </w:tcBorders>
            <w:shd w:val="clear" w:color="auto" w:fill="auto"/>
            <w:noWrap/>
            <w:vAlign w:val="center"/>
            <w:hideMark/>
          </w:tcPr>
          <w:p w14:paraId="08813DBD" w14:textId="77777777" w:rsidR="00D41D03" w:rsidRPr="00BC5198" w:rsidRDefault="00D41D03" w:rsidP="0065493C">
            <w:pPr>
              <w:spacing w:before="0" w:after="0" w:line="276" w:lineRule="auto"/>
              <w:rPr>
                <w:sz w:val="20"/>
                <w:szCs w:val="20"/>
              </w:rPr>
            </w:pPr>
            <w:r w:rsidRPr="00BC5198">
              <w:rPr>
                <w:sz w:val="20"/>
                <w:szCs w:val="20"/>
              </w:rPr>
              <w:t>65</w:t>
            </w:r>
          </w:p>
        </w:tc>
      </w:tr>
      <w:tr w:rsidR="00D41D03" w:rsidRPr="00BC5198" w14:paraId="1F409266" w14:textId="77777777" w:rsidTr="00F658CE">
        <w:trPr>
          <w:trHeight w:val="20"/>
          <w:jc w:val="center"/>
        </w:trPr>
        <w:tc>
          <w:tcPr>
            <w:tcW w:w="0" w:type="auto"/>
            <w:vMerge w:val="restart"/>
            <w:tcBorders>
              <w:top w:val="nil"/>
              <w:left w:val="nil"/>
              <w:bottom w:val="single" w:sz="4" w:space="0" w:color="000000"/>
              <w:right w:val="nil"/>
            </w:tcBorders>
            <w:shd w:val="clear" w:color="auto" w:fill="auto"/>
            <w:vAlign w:val="center"/>
            <w:hideMark/>
          </w:tcPr>
          <w:p w14:paraId="29A72BAA"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Total Nitrogen (µM)</w:t>
            </w:r>
          </w:p>
        </w:tc>
        <w:tc>
          <w:tcPr>
            <w:tcW w:w="0" w:type="auto"/>
            <w:tcBorders>
              <w:top w:val="nil"/>
              <w:left w:val="nil"/>
              <w:bottom w:val="nil"/>
              <w:right w:val="nil"/>
            </w:tcBorders>
            <w:shd w:val="clear" w:color="auto" w:fill="auto"/>
            <w:noWrap/>
            <w:vAlign w:val="center"/>
            <w:hideMark/>
          </w:tcPr>
          <w:p w14:paraId="0D42ED5B"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Min.</w:t>
            </w:r>
          </w:p>
        </w:tc>
        <w:tc>
          <w:tcPr>
            <w:tcW w:w="0" w:type="auto"/>
            <w:tcBorders>
              <w:top w:val="nil"/>
              <w:left w:val="nil"/>
              <w:bottom w:val="nil"/>
              <w:right w:val="nil"/>
            </w:tcBorders>
            <w:shd w:val="clear" w:color="auto" w:fill="auto"/>
            <w:noWrap/>
            <w:vAlign w:val="center"/>
            <w:hideMark/>
          </w:tcPr>
          <w:p w14:paraId="5B98724E" w14:textId="77777777" w:rsidR="00D41D03" w:rsidRPr="00BC5198" w:rsidRDefault="00D41D03" w:rsidP="0065493C">
            <w:pPr>
              <w:spacing w:before="0" w:after="0" w:line="276" w:lineRule="auto"/>
              <w:rPr>
                <w:sz w:val="20"/>
                <w:szCs w:val="20"/>
              </w:rPr>
            </w:pPr>
            <w:r w:rsidRPr="00BC5198">
              <w:rPr>
                <w:sz w:val="20"/>
                <w:szCs w:val="20"/>
              </w:rPr>
              <w:t>0.36</w:t>
            </w:r>
          </w:p>
        </w:tc>
        <w:tc>
          <w:tcPr>
            <w:tcW w:w="0" w:type="auto"/>
            <w:tcBorders>
              <w:top w:val="nil"/>
              <w:left w:val="nil"/>
              <w:bottom w:val="nil"/>
              <w:right w:val="single" w:sz="4" w:space="0" w:color="auto"/>
            </w:tcBorders>
            <w:shd w:val="clear" w:color="auto" w:fill="auto"/>
            <w:noWrap/>
            <w:vAlign w:val="center"/>
            <w:hideMark/>
          </w:tcPr>
          <w:p w14:paraId="026607A9" w14:textId="77777777" w:rsidR="00D41D03" w:rsidRPr="00BC5198" w:rsidRDefault="00D41D03" w:rsidP="0065493C">
            <w:pPr>
              <w:spacing w:before="0" w:after="0" w:line="276" w:lineRule="auto"/>
              <w:rPr>
                <w:sz w:val="20"/>
                <w:szCs w:val="20"/>
              </w:rPr>
            </w:pPr>
            <w:r w:rsidRPr="00BC5198">
              <w:rPr>
                <w:sz w:val="20"/>
                <w:szCs w:val="20"/>
              </w:rPr>
              <w:t>0.57</w:t>
            </w:r>
          </w:p>
        </w:tc>
      </w:tr>
      <w:tr w:rsidR="00D41D03" w:rsidRPr="00BC5198" w14:paraId="6B24C70C" w14:textId="77777777" w:rsidTr="00F658CE">
        <w:trPr>
          <w:trHeight w:val="20"/>
          <w:jc w:val="center"/>
        </w:trPr>
        <w:tc>
          <w:tcPr>
            <w:tcW w:w="0" w:type="auto"/>
            <w:vMerge/>
            <w:tcBorders>
              <w:top w:val="nil"/>
              <w:left w:val="nil"/>
              <w:bottom w:val="single" w:sz="4" w:space="0" w:color="000000"/>
              <w:right w:val="nil"/>
            </w:tcBorders>
            <w:vAlign w:val="center"/>
            <w:hideMark/>
          </w:tcPr>
          <w:p w14:paraId="0B3D08C9"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nil"/>
              <w:right w:val="nil"/>
            </w:tcBorders>
            <w:shd w:val="clear" w:color="auto" w:fill="auto"/>
            <w:noWrap/>
            <w:vAlign w:val="center"/>
            <w:hideMark/>
          </w:tcPr>
          <w:p w14:paraId="3F86B434"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Max.</w:t>
            </w:r>
          </w:p>
        </w:tc>
        <w:tc>
          <w:tcPr>
            <w:tcW w:w="0" w:type="auto"/>
            <w:tcBorders>
              <w:top w:val="nil"/>
              <w:left w:val="nil"/>
              <w:bottom w:val="nil"/>
              <w:right w:val="nil"/>
            </w:tcBorders>
            <w:shd w:val="clear" w:color="auto" w:fill="auto"/>
            <w:noWrap/>
            <w:vAlign w:val="center"/>
            <w:hideMark/>
          </w:tcPr>
          <w:p w14:paraId="2DBBF6AC" w14:textId="77777777" w:rsidR="00D41D03" w:rsidRPr="00BC5198" w:rsidRDefault="00D41D03" w:rsidP="0065493C">
            <w:pPr>
              <w:spacing w:before="0" w:after="0" w:line="276" w:lineRule="auto"/>
              <w:rPr>
                <w:sz w:val="20"/>
                <w:szCs w:val="20"/>
              </w:rPr>
            </w:pPr>
            <w:r w:rsidRPr="00BC5198">
              <w:rPr>
                <w:sz w:val="20"/>
                <w:szCs w:val="20"/>
              </w:rPr>
              <w:t>17.63</w:t>
            </w:r>
          </w:p>
        </w:tc>
        <w:tc>
          <w:tcPr>
            <w:tcW w:w="0" w:type="auto"/>
            <w:tcBorders>
              <w:top w:val="nil"/>
              <w:left w:val="nil"/>
              <w:bottom w:val="nil"/>
              <w:right w:val="single" w:sz="4" w:space="0" w:color="auto"/>
            </w:tcBorders>
            <w:shd w:val="clear" w:color="auto" w:fill="auto"/>
            <w:noWrap/>
            <w:vAlign w:val="center"/>
            <w:hideMark/>
          </w:tcPr>
          <w:p w14:paraId="1EF2FEC6" w14:textId="77777777" w:rsidR="00D41D03" w:rsidRPr="00BC5198" w:rsidRDefault="00D41D03" w:rsidP="0065493C">
            <w:pPr>
              <w:spacing w:before="0" w:after="0" w:line="276" w:lineRule="auto"/>
              <w:rPr>
                <w:sz w:val="20"/>
                <w:szCs w:val="20"/>
              </w:rPr>
            </w:pPr>
            <w:r w:rsidRPr="00BC5198">
              <w:rPr>
                <w:sz w:val="20"/>
                <w:szCs w:val="20"/>
              </w:rPr>
              <w:t>19.63</w:t>
            </w:r>
          </w:p>
        </w:tc>
      </w:tr>
      <w:tr w:rsidR="00D41D03" w:rsidRPr="00BC5198" w14:paraId="395F895F" w14:textId="77777777" w:rsidTr="00F658CE">
        <w:trPr>
          <w:trHeight w:val="20"/>
          <w:jc w:val="center"/>
        </w:trPr>
        <w:tc>
          <w:tcPr>
            <w:tcW w:w="0" w:type="auto"/>
            <w:vMerge/>
            <w:tcBorders>
              <w:top w:val="nil"/>
              <w:left w:val="nil"/>
              <w:bottom w:val="single" w:sz="4" w:space="0" w:color="000000"/>
              <w:right w:val="nil"/>
            </w:tcBorders>
            <w:vAlign w:val="center"/>
            <w:hideMark/>
          </w:tcPr>
          <w:p w14:paraId="7CF4FE62"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nil"/>
              <w:right w:val="nil"/>
            </w:tcBorders>
            <w:shd w:val="clear" w:color="auto" w:fill="auto"/>
            <w:noWrap/>
            <w:vAlign w:val="center"/>
            <w:hideMark/>
          </w:tcPr>
          <w:p w14:paraId="5DCFEC83"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Mean</w:t>
            </w:r>
          </w:p>
        </w:tc>
        <w:tc>
          <w:tcPr>
            <w:tcW w:w="0" w:type="auto"/>
            <w:tcBorders>
              <w:top w:val="nil"/>
              <w:left w:val="nil"/>
              <w:bottom w:val="nil"/>
              <w:right w:val="nil"/>
            </w:tcBorders>
            <w:shd w:val="clear" w:color="auto" w:fill="auto"/>
            <w:noWrap/>
            <w:vAlign w:val="center"/>
            <w:hideMark/>
          </w:tcPr>
          <w:p w14:paraId="0CB1419F" w14:textId="77777777" w:rsidR="00D41D03" w:rsidRPr="00BC5198" w:rsidRDefault="00D41D03" w:rsidP="0065493C">
            <w:pPr>
              <w:spacing w:before="0" w:after="0" w:line="276" w:lineRule="auto"/>
              <w:rPr>
                <w:sz w:val="20"/>
                <w:szCs w:val="20"/>
              </w:rPr>
            </w:pPr>
            <w:r w:rsidRPr="00BC5198">
              <w:rPr>
                <w:sz w:val="20"/>
                <w:szCs w:val="20"/>
              </w:rPr>
              <w:t>3.02</w:t>
            </w:r>
          </w:p>
        </w:tc>
        <w:tc>
          <w:tcPr>
            <w:tcW w:w="0" w:type="auto"/>
            <w:tcBorders>
              <w:top w:val="nil"/>
              <w:left w:val="nil"/>
              <w:bottom w:val="nil"/>
              <w:right w:val="single" w:sz="4" w:space="0" w:color="auto"/>
            </w:tcBorders>
            <w:shd w:val="clear" w:color="auto" w:fill="auto"/>
            <w:noWrap/>
            <w:vAlign w:val="center"/>
            <w:hideMark/>
          </w:tcPr>
          <w:p w14:paraId="072F370C" w14:textId="77777777" w:rsidR="00D41D03" w:rsidRPr="00BC5198" w:rsidRDefault="00D41D03" w:rsidP="0065493C">
            <w:pPr>
              <w:spacing w:before="0" w:after="0" w:line="276" w:lineRule="auto"/>
              <w:rPr>
                <w:sz w:val="20"/>
                <w:szCs w:val="20"/>
              </w:rPr>
            </w:pPr>
            <w:r w:rsidRPr="00BC5198">
              <w:rPr>
                <w:sz w:val="20"/>
                <w:szCs w:val="20"/>
              </w:rPr>
              <w:t>2.08</w:t>
            </w:r>
          </w:p>
        </w:tc>
      </w:tr>
      <w:tr w:rsidR="00D41D03" w:rsidRPr="00BC5198" w14:paraId="49E888F9" w14:textId="77777777" w:rsidTr="00F658CE">
        <w:trPr>
          <w:trHeight w:val="20"/>
          <w:jc w:val="center"/>
        </w:trPr>
        <w:tc>
          <w:tcPr>
            <w:tcW w:w="0" w:type="auto"/>
            <w:vMerge/>
            <w:tcBorders>
              <w:top w:val="nil"/>
              <w:left w:val="nil"/>
              <w:bottom w:val="single" w:sz="4" w:space="0" w:color="000000"/>
              <w:right w:val="nil"/>
            </w:tcBorders>
            <w:vAlign w:val="center"/>
            <w:hideMark/>
          </w:tcPr>
          <w:p w14:paraId="2125DC54"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nil"/>
              <w:right w:val="nil"/>
            </w:tcBorders>
            <w:shd w:val="clear" w:color="auto" w:fill="auto"/>
            <w:noWrap/>
            <w:vAlign w:val="center"/>
            <w:hideMark/>
          </w:tcPr>
          <w:p w14:paraId="44823BB0"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SD</w:t>
            </w:r>
          </w:p>
        </w:tc>
        <w:tc>
          <w:tcPr>
            <w:tcW w:w="0" w:type="auto"/>
            <w:tcBorders>
              <w:top w:val="nil"/>
              <w:left w:val="nil"/>
              <w:bottom w:val="nil"/>
              <w:right w:val="nil"/>
            </w:tcBorders>
            <w:shd w:val="clear" w:color="auto" w:fill="auto"/>
            <w:noWrap/>
            <w:vAlign w:val="center"/>
            <w:hideMark/>
          </w:tcPr>
          <w:p w14:paraId="5338991E" w14:textId="77777777" w:rsidR="00D41D03" w:rsidRPr="00BC5198" w:rsidRDefault="00D41D03" w:rsidP="0065493C">
            <w:pPr>
              <w:spacing w:before="0" w:after="0" w:line="276" w:lineRule="auto"/>
              <w:rPr>
                <w:sz w:val="20"/>
                <w:szCs w:val="20"/>
              </w:rPr>
            </w:pPr>
            <w:r w:rsidRPr="00BC5198">
              <w:rPr>
                <w:sz w:val="20"/>
                <w:szCs w:val="20"/>
              </w:rPr>
              <w:t>3.52</w:t>
            </w:r>
          </w:p>
        </w:tc>
        <w:tc>
          <w:tcPr>
            <w:tcW w:w="0" w:type="auto"/>
            <w:tcBorders>
              <w:top w:val="nil"/>
              <w:left w:val="nil"/>
              <w:bottom w:val="nil"/>
              <w:right w:val="single" w:sz="4" w:space="0" w:color="auto"/>
            </w:tcBorders>
            <w:shd w:val="clear" w:color="auto" w:fill="auto"/>
            <w:noWrap/>
            <w:vAlign w:val="center"/>
            <w:hideMark/>
          </w:tcPr>
          <w:p w14:paraId="3D56E6FF" w14:textId="77777777" w:rsidR="00D41D03" w:rsidRPr="00BC5198" w:rsidRDefault="00D41D03" w:rsidP="0065493C">
            <w:pPr>
              <w:spacing w:before="0" w:after="0" w:line="276" w:lineRule="auto"/>
              <w:rPr>
                <w:sz w:val="20"/>
                <w:szCs w:val="20"/>
              </w:rPr>
            </w:pPr>
            <w:r w:rsidRPr="00BC5198">
              <w:rPr>
                <w:sz w:val="20"/>
                <w:szCs w:val="20"/>
              </w:rPr>
              <w:t>2.97</w:t>
            </w:r>
          </w:p>
        </w:tc>
      </w:tr>
      <w:tr w:rsidR="00D41D03" w:rsidRPr="00BC5198" w14:paraId="00EC1596" w14:textId="77777777" w:rsidTr="00F658CE">
        <w:trPr>
          <w:trHeight w:val="20"/>
          <w:jc w:val="center"/>
        </w:trPr>
        <w:tc>
          <w:tcPr>
            <w:tcW w:w="0" w:type="auto"/>
            <w:vMerge/>
            <w:tcBorders>
              <w:top w:val="nil"/>
              <w:left w:val="nil"/>
              <w:bottom w:val="single" w:sz="4" w:space="0" w:color="000000"/>
              <w:right w:val="nil"/>
            </w:tcBorders>
            <w:vAlign w:val="center"/>
            <w:hideMark/>
          </w:tcPr>
          <w:p w14:paraId="78DB851B"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single" w:sz="4" w:space="0" w:color="auto"/>
              <w:right w:val="nil"/>
            </w:tcBorders>
            <w:shd w:val="clear" w:color="auto" w:fill="auto"/>
            <w:noWrap/>
            <w:vAlign w:val="center"/>
            <w:hideMark/>
          </w:tcPr>
          <w:p w14:paraId="188E560C"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Count</w:t>
            </w:r>
          </w:p>
        </w:tc>
        <w:tc>
          <w:tcPr>
            <w:tcW w:w="0" w:type="auto"/>
            <w:tcBorders>
              <w:top w:val="nil"/>
              <w:left w:val="nil"/>
              <w:bottom w:val="single" w:sz="4" w:space="0" w:color="auto"/>
              <w:right w:val="nil"/>
            </w:tcBorders>
            <w:shd w:val="clear" w:color="auto" w:fill="auto"/>
            <w:noWrap/>
            <w:vAlign w:val="center"/>
            <w:hideMark/>
          </w:tcPr>
          <w:p w14:paraId="2787B9F1" w14:textId="77777777" w:rsidR="00D41D03" w:rsidRPr="00BC5198" w:rsidRDefault="00D41D03" w:rsidP="0065493C">
            <w:pPr>
              <w:spacing w:before="0" w:after="0" w:line="276" w:lineRule="auto"/>
              <w:rPr>
                <w:sz w:val="20"/>
                <w:szCs w:val="20"/>
              </w:rPr>
            </w:pPr>
            <w:r w:rsidRPr="00BC5198">
              <w:rPr>
                <w:sz w:val="20"/>
                <w:szCs w:val="20"/>
              </w:rPr>
              <w:t>58</w:t>
            </w:r>
          </w:p>
        </w:tc>
        <w:tc>
          <w:tcPr>
            <w:tcW w:w="0" w:type="auto"/>
            <w:tcBorders>
              <w:top w:val="nil"/>
              <w:left w:val="nil"/>
              <w:bottom w:val="single" w:sz="4" w:space="0" w:color="auto"/>
              <w:right w:val="single" w:sz="4" w:space="0" w:color="auto"/>
            </w:tcBorders>
            <w:shd w:val="clear" w:color="auto" w:fill="auto"/>
            <w:noWrap/>
            <w:vAlign w:val="center"/>
            <w:hideMark/>
          </w:tcPr>
          <w:p w14:paraId="1CF51324" w14:textId="77777777" w:rsidR="00D41D03" w:rsidRPr="00BC5198" w:rsidRDefault="00D41D03" w:rsidP="0065493C">
            <w:pPr>
              <w:spacing w:before="0" w:after="0" w:line="276" w:lineRule="auto"/>
              <w:rPr>
                <w:sz w:val="20"/>
                <w:szCs w:val="20"/>
              </w:rPr>
            </w:pPr>
            <w:r w:rsidRPr="00BC5198">
              <w:rPr>
                <w:sz w:val="20"/>
                <w:szCs w:val="20"/>
              </w:rPr>
              <w:t>56</w:t>
            </w:r>
          </w:p>
        </w:tc>
      </w:tr>
      <w:tr w:rsidR="00D41D03" w:rsidRPr="00BC5198" w14:paraId="321AC703" w14:textId="77777777" w:rsidTr="00F658CE">
        <w:trPr>
          <w:trHeight w:val="20"/>
          <w:jc w:val="center"/>
        </w:trPr>
        <w:tc>
          <w:tcPr>
            <w:tcW w:w="0" w:type="auto"/>
            <w:vMerge w:val="restart"/>
            <w:tcBorders>
              <w:top w:val="nil"/>
              <w:left w:val="nil"/>
              <w:bottom w:val="single" w:sz="4" w:space="0" w:color="000000"/>
              <w:right w:val="nil"/>
            </w:tcBorders>
            <w:shd w:val="clear" w:color="auto" w:fill="auto"/>
            <w:vAlign w:val="center"/>
            <w:hideMark/>
          </w:tcPr>
          <w:p w14:paraId="7C04D63C"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Total Phosphorus (µM)</w:t>
            </w:r>
          </w:p>
        </w:tc>
        <w:tc>
          <w:tcPr>
            <w:tcW w:w="0" w:type="auto"/>
            <w:tcBorders>
              <w:top w:val="nil"/>
              <w:left w:val="nil"/>
              <w:bottom w:val="nil"/>
              <w:right w:val="nil"/>
            </w:tcBorders>
            <w:shd w:val="clear" w:color="auto" w:fill="auto"/>
            <w:noWrap/>
            <w:vAlign w:val="center"/>
            <w:hideMark/>
          </w:tcPr>
          <w:p w14:paraId="609BA538"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Min.</w:t>
            </w:r>
          </w:p>
        </w:tc>
        <w:tc>
          <w:tcPr>
            <w:tcW w:w="0" w:type="auto"/>
            <w:tcBorders>
              <w:top w:val="nil"/>
              <w:left w:val="nil"/>
              <w:bottom w:val="nil"/>
              <w:right w:val="nil"/>
            </w:tcBorders>
            <w:shd w:val="clear" w:color="auto" w:fill="auto"/>
            <w:noWrap/>
            <w:vAlign w:val="center"/>
            <w:hideMark/>
          </w:tcPr>
          <w:p w14:paraId="4E1E509A" w14:textId="77777777" w:rsidR="00D41D03" w:rsidRPr="00BC5198" w:rsidRDefault="00D41D03" w:rsidP="0065493C">
            <w:pPr>
              <w:spacing w:before="0" w:after="0" w:line="276" w:lineRule="auto"/>
              <w:rPr>
                <w:sz w:val="20"/>
                <w:szCs w:val="20"/>
              </w:rPr>
            </w:pPr>
            <w:r w:rsidRPr="00BC5198">
              <w:rPr>
                <w:sz w:val="20"/>
                <w:szCs w:val="20"/>
              </w:rPr>
              <w:t>0.03</w:t>
            </w:r>
          </w:p>
        </w:tc>
        <w:tc>
          <w:tcPr>
            <w:tcW w:w="0" w:type="auto"/>
            <w:tcBorders>
              <w:top w:val="nil"/>
              <w:left w:val="nil"/>
              <w:bottom w:val="nil"/>
              <w:right w:val="single" w:sz="4" w:space="0" w:color="auto"/>
            </w:tcBorders>
            <w:shd w:val="clear" w:color="auto" w:fill="auto"/>
            <w:noWrap/>
            <w:vAlign w:val="center"/>
            <w:hideMark/>
          </w:tcPr>
          <w:p w14:paraId="7C06F610" w14:textId="77777777" w:rsidR="00D41D03" w:rsidRPr="00BC5198" w:rsidRDefault="00D41D03" w:rsidP="0065493C">
            <w:pPr>
              <w:spacing w:before="0" w:after="0" w:line="276" w:lineRule="auto"/>
              <w:rPr>
                <w:sz w:val="20"/>
                <w:szCs w:val="20"/>
              </w:rPr>
            </w:pPr>
            <w:r w:rsidRPr="00BC5198">
              <w:rPr>
                <w:sz w:val="20"/>
                <w:szCs w:val="20"/>
              </w:rPr>
              <w:t>0.06</w:t>
            </w:r>
          </w:p>
        </w:tc>
      </w:tr>
      <w:tr w:rsidR="00D41D03" w:rsidRPr="00BC5198" w14:paraId="7D6C8847" w14:textId="77777777" w:rsidTr="00F658CE">
        <w:trPr>
          <w:trHeight w:val="20"/>
          <w:jc w:val="center"/>
        </w:trPr>
        <w:tc>
          <w:tcPr>
            <w:tcW w:w="0" w:type="auto"/>
            <w:vMerge/>
            <w:tcBorders>
              <w:top w:val="nil"/>
              <w:left w:val="nil"/>
              <w:bottom w:val="single" w:sz="4" w:space="0" w:color="000000"/>
              <w:right w:val="nil"/>
            </w:tcBorders>
            <w:vAlign w:val="center"/>
            <w:hideMark/>
          </w:tcPr>
          <w:p w14:paraId="48519A07"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nil"/>
              <w:right w:val="nil"/>
            </w:tcBorders>
            <w:shd w:val="clear" w:color="auto" w:fill="auto"/>
            <w:noWrap/>
            <w:vAlign w:val="center"/>
            <w:hideMark/>
          </w:tcPr>
          <w:p w14:paraId="7D8ED382"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Max.</w:t>
            </w:r>
          </w:p>
        </w:tc>
        <w:tc>
          <w:tcPr>
            <w:tcW w:w="0" w:type="auto"/>
            <w:tcBorders>
              <w:top w:val="nil"/>
              <w:left w:val="nil"/>
              <w:bottom w:val="nil"/>
              <w:right w:val="nil"/>
            </w:tcBorders>
            <w:shd w:val="clear" w:color="auto" w:fill="auto"/>
            <w:noWrap/>
            <w:vAlign w:val="center"/>
            <w:hideMark/>
          </w:tcPr>
          <w:p w14:paraId="6B5521AD" w14:textId="77777777" w:rsidR="00D41D03" w:rsidRPr="00BC5198" w:rsidRDefault="00D41D03" w:rsidP="0065493C">
            <w:pPr>
              <w:spacing w:before="0" w:after="0" w:line="276" w:lineRule="auto"/>
              <w:rPr>
                <w:sz w:val="20"/>
                <w:szCs w:val="20"/>
              </w:rPr>
            </w:pPr>
            <w:r w:rsidRPr="00BC5198">
              <w:rPr>
                <w:sz w:val="20"/>
                <w:szCs w:val="20"/>
              </w:rPr>
              <w:t>0.74</w:t>
            </w:r>
          </w:p>
        </w:tc>
        <w:tc>
          <w:tcPr>
            <w:tcW w:w="0" w:type="auto"/>
            <w:tcBorders>
              <w:top w:val="nil"/>
              <w:left w:val="nil"/>
              <w:bottom w:val="nil"/>
              <w:right w:val="single" w:sz="4" w:space="0" w:color="auto"/>
            </w:tcBorders>
            <w:shd w:val="clear" w:color="auto" w:fill="auto"/>
            <w:noWrap/>
            <w:vAlign w:val="center"/>
            <w:hideMark/>
          </w:tcPr>
          <w:p w14:paraId="3BF9E900" w14:textId="77777777" w:rsidR="00D41D03" w:rsidRPr="00BC5198" w:rsidRDefault="00D41D03" w:rsidP="0065493C">
            <w:pPr>
              <w:spacing w:before="0" w:after="0" w:line="276" w:lineRule="auto"/>
              <w:rPr>
                <w:sz w:val="20"/>
                <w:szCs w:val="20"/>
              </w:rPr>
            </w:pPr>
            <w:r w:rsidRPr="00BC5198">
              <w:rPr>
                <w:sz w:val="20"/>
                <w:szCs w:val="20"/>
              </w:rPr>
              <w:t>0.29</w:t>
            </w:r>
          </w:p>
        </w:tc>
      </w:tr>
      <w:tr w:rsidR="00D41D03" w:rsidRPr="00BC5198" w14:paraId="176A3443" w14:textId="77777777" w:rsidTr="00F658CE">
        <w:trPr>
          <w:trHeight w:val="20"/>
          <w:jc w:val="center"/>
        </w:trPr>
        <w:tc>
          <w:tcPr>
            <w:tcW w:w="0" w:type="auto"/>
            <w:vMerge/>
            <w:tcBorders>
              <w:top w:val="nil"/>
              <w:left w:val="nil"/>
              <w:bottom w:val="single" w:sz="4" w:space="0" w:color="000000"/>
              <w:right w:val="nil"/>
            </w:tcBorders>
            <w:vAlign w:val="center"/>
            <w:hideMark/>
          </w:tcPr>
          <w:p w14:paraId="47B4FF7B"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nil"/>
              <w:right w:val="nil"/>
            </w:tcBorders>
            <w:shd w:val="clear" w:color="auto" w:fill="auto"/>
            <w:noWrap/>
            <w:vAlign w:val="center"/>
            <w:hideMark/>
          </w:tcPr>
          <w:p w14:paraId="05B9FCE9"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Mean</w:t>
            </w:r>
          </w:p>
        </w:tc>
        <w:tc>
          <w:tcPr>
            <w:tcW w:w="0" w:type="auto"/>
            <w:tcBorders>
              <w:top w:val="nil"/>
              <w:left w:val="nil"/>
              <w:bottom w:val="nil"/>
              <w:right w:val="nil"/>
            </w:tcBorders>
            <w:shd w:val="clear" w:color="auto" w:fill="auto"/>
            <w:noWrap/>
            <w:vAlign w:val="center"/>
            <w:hideMark/>
          </w:tcPr>
          <w:p w14:paraId="4B282759" w14:textId="77777777" w:rsidR="00D41D03" w:rsidRPr="00BC5198" w:rsidRDefault="00D41D03" w:rsidP="0065493C">
            <w:pPr>
              <w:spacing w:before="0" w:after="0" w:line="276" w:lineRule="auto"/>
              <w:rPr>
                <w:sz w:val="20"/>
                <w:szCs w:val="20"/>
              </w:rPr>
            </w:pPr>
            <w:r w:rsidRPr="00BC5198">
              <w:rPr>
                <w:sz w:val="20"/>
                <w:szCs w:val="20"/>
              </w:rPr>
              <w:t>0.14</w:t>
            </w:r>
          </w:p>
        </w:tc>
        <w:tc>
          <w:tcPr>
            <w:tcW w:w="0" w:type="auto"/>
            <w:tcBorders>
              <w:top w:val="nil"/>
              <w:left w:val="nil"/>
              <w:bottom w:val="nil"/>
              <w:right w:val="single" w:sz="4" w:space="0" w:color="auto"/>
            </w:tcBorders>
            <w:shd w:val="clear" w:color="auto" w:fill="auto"/>
            <w:noWrap/>
            <w:vAlign w:val="center"/>
            <w:hideMark/>
          </w:tcPr>
          <w:p w14:paraId="5E7A5DB8" w14:textId="77777777" w:rsidR="00D41D03" w:rsidRPr="00BC5198" w:rsidRDefault="00D41D03" w:rsidP="0065493C">
            <w:pPr>
              <w:spacing w:before="0" w:after="0" w:line="276" w:lineRule="auto"/>
              <w:rPr>
                <w:sz w:val="20"/>
                <w:szCs w:val="20"/>
              </w:rPr>
            </w:pPr>
            <w:r w:rsidRPr="00BC5198">
              <w:rPr>
                <w:sz w:val="20"/>
                <w:szCs w:val="20"/>
              </w:rPr>
              <w:t>0.14</w:t>
            </w:r>
          </w:p>
        </w:tc>
      </w:tr>
      <w:tr w:rsidR="00D41D03" w:rsidRPr="00BC5198" w14:paraId="167A14BE" w14:textId="77777777" w:rsidTr="00F658CE">
        <w:trPr>
          <w:trHeight w:val="20"/>
          <w:jc w:val="center"/>
        </w:trPr>
        <w:tc>
          <w:tcPr>
            <w:tcW w:w="0" w:type="auto"/>
            <w:vMerge/>
            <w:tcBorders>
              <w:top w:val="nil"/>
              <w:left w:val="nil"/>
              <w:bottom w:val="single" w:sz="4" w:space="0" w:color="000000"/>
              <w:right w:val="nil"/>
            </w:tcBorders>
            <w:vAlign w:val="center"/>
            <w:hideMark/>
          </w:tcPr>
          <w:p w14:paraId="6063AEB4"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nil"/>
              <w:right w:val="nil"/>
            </w:tcBorders>
            <w:shd w:val="clear" w:color="auto" w:fill="auto"/>
            <w:noWrap/>
            <w:vAlign w:val="center"/>
            <w:hideMark/>
          </w:tcPr>
          <w:p w14:paraId="6B320A5A"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SD</w:t>
            </w:r>
          </w:p>
        </w:tc>
        <w:tc>
          <w:tcPr>
            <w:tcW w:w="0" w:type="auto"/>
            <w:tcBorders>
              <w:top w:val="nil"/>
              <w:left w:val="nil"/>
              <w:bottom w:val="nil"/>
              <w:right w:val="nil"/>
            </w:tcBorders>
            <w:shd w:val="clear" w:color="auto" w:fill="auto"/>
            <w:noWrap/>
            <w:vAlign w:val="center"/>
            <w:hideMark/>
          </w:tcPr>
          <w:p w14:paraId="79C40C2A" w14:textId="77777777" w:rsidR="00D41D03" w:rsidRPr="00BC5198" w:rsidRDefault="00D41D03" w:rsidP="0065493C">
            <w:pPr>
              <w:spacing w:before="0" w:after="0" w:line="276" w:lineRule="auto"/>
              <w:rPr>
                <w:sz w:val="20"/>
                <w:szCs w:val="20"/>
              </w:rPr>
            </w:pPr>
            <w:r w:rsidRPr="00BC5198">
              <w:rPr>
                <w:sz w:val="20"/>
                <w:szCs w:val="20"/>
              </w:rPr>
              <w:t>0.10</w:t>
            </w:r>
          </w:p>
        </w:tc>
        <w:tc>
          <w:tcPr>
            <w:tcW w:w="0" w:type="auto"/>
            <w:tcBorders>
              <w:top w:val="nil"/>
              <w:left w:val="nil"/>
              <w:bottom w:val="nil"/>
              <w:right w:val="single" w:sz="4" w:space="0" w:color="auto"/>
            </w:tcBorders>
            <w:shd w:val="clear" w:color="auto" w:fill="auto"/>
            <w:noWrap/>
            <w:vAlign w:val="center"/>
            <w:hideMark/>
          </w:tcPr>
          <w:p w14:paraId="71138FA1" w14:textId="77777777" w:rsidR="00D41D03" w:rsidRPr="00BC5198" w:rsidRDefault="00D41D03" w:rsidP="0065493C">
            <w:pPr>
              <w:spacing w:before="0" w:after="0" w:line="276" w:lineRule="auto"/>
              <w:rPr>
                <w:sz w:val="20"/>
                <w:szCs w:val="20"/>
              </w:rPr>
            </w:pPr>
            <w:r w:rsidRPr="00BC5198">
              <w:rPr>
                <w:sz w:val="20"/>
                <w:szCs w:val="20"/>
              </w:rPr>
              <w:t>0.06</w:t>
            </w:r>
          </w:p>
        </w:tc>
      </w:tr>
      <w:tr w:rsidR="00D41D03" w:rsidRPr="00BC5198" w14:paraId="225CABEE" w14:textId="77777777" w:rsidTr="00F658CE">
        <w:trPr>
          <w:trHeight w:val="20"/>
          <w:jc w:val="center"/>
        </w:trPr>
        <w:tc>
          <w:tcPr>
            <w:tcW w:w="0" w:type="auto"/>
            <w:vMerge/>
            <w:tcBorders>
              <w:top w:val="nil"/>
              <w:left w:val="nil"/>
              <w:bottom w:val="single" w:sz="4" w:space="0" w:color="000000"/>
              <w:right w:val="nil"/>
            </w:tcBorders>
            <w:vAlign w:val="center"/>
            <w:hideMark/>
          </w:tcPr>
          <w:p w14:paraId="647A7D3C"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single" w:sz="4" w:space="0" w:color="auto"/>
              <w:right w:val="nil"/>
            </w:tcBorders>
            <w:shd w:val="clear" w:color="auto" w:fill="auto"/>
            <w:noWrap/>
            <w:vAlign w:val="center"/>
            <w:hideMark/>
          </w:tcPr>
          <w:p w14:paraId="4A235A30"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Count</w:t>
            </w:r>
          </w:p>
        </w:tc>
        <w:tc>
          <w:tcPr>
            <w:tcW w:w="0" w:type="auto"/>
            <w:tcBorders>
              <w:top w:val="nil"/>
              <w:left w:val="nil"/>
              <w:bottom w:val="single" w:sz="4" w:space="0" w:color="auto"/>
              <w:right w:val="nil"/>
            </w:tcBorders>
            <w:shd w:val="clear" w:color="auto" w:fill="auto"/>
            <w:noWrap/>
            <w:vAlign w:val="center"/>
            <w:hideMark/>
          </w:tcPr>
          <w:p w14:paraId="4947B2C9" w14:textId="77777777" w:rsidR="00D41D03" w:rsidRPr="00BC5198" w:rsidRDefault="00D41D03" w:rsidP="0065493C">
            <w:pPr>
              <w:spacing w:before="0" w:after="0" w:line="276" w:lineRule="auto"/>
              <w:rPr>
                <w:sz w:val="20"/>
                <w:szCs w:val="20"/>
              </w:rPr>
            </w:pPr>
            <w:r w:rsidRPr="00BC5198">
              <w:rPr>
                <w:sz w:val="20"/>
                <w:szCs w:val="20"/>
              </w:rPr>
              <w:t>59</w:t>
            </w:r>
          </w:p>
        </w:tc>
        <w:tc>
          <w:tcPr>
            <w:tcW w:w="0" w:type="auto"/>
            <w:tcBorders>
              <w:top w:val="nil"/>
              <w:left w:val="nil"/>
              <w:bottom w:val="single" w:sz="4" w:space="0" w:color="auto"/>
              <w:right w:val="single" w:sz="4" w:space="0" w:color="auto"/>
            </w:tcBorders>
            <w:shd w:val="clear" w:color="auto" w:fill="auto"/>
            <w:noWrap/>
            <w:vAlign w:val="center"/>
            <w:hideMark/>
          </w:tcPr>
          <w:p w14:paraId="5EA2B092" w14:textId="77777777" w:rsidR="00D41D03" w:rsidRPr="00BC5198" w:rsidRDefault="00D41D03" w:rsidP="0065493C">
            <w:pPr>
              <w:spacing w:before="0" w:after="0" w:line="276" w:lineRule="auto"/>
              <w:rPr>
                <w:sz w:val="20"/>
                <w:szCs w:val="20"/>
              </w:rPr>
            </w:pPr>
            <w:r w:rsidRPr="00BC5198">
              <w:rPr>
                <w:sz w:val="20"/>
                <w:szCs w:val="20"/>
              </w:rPr>
              <w:t>57</w:t>
            </w:r>
          </w:p>
        </w:tc>
      </w:tr>
      <w:tr w:rsidR="00D41D03" w:rsidRPr="00BC5198" w14:paraId="76290C11" w14:textId="77777777" w:rsidTr="00F658CE">
        <w:trPr>
          <w:trHeight w:val="20"/>
          <w:jc w:val="center"/>
        </w:trPr>
        <w:tc>
          <w:tcPr>
            <w:tcW w:w="0" w:type="auto"/>
            <w:vMerge w:val="restart"/>
            <w:tcBorders>
              <w:top w:val="nil"/>
              <w:left w:val="nil"/>
              <w:bottom w:val="single" w:sz="4" w:space="0" w:color="000000"/>
              <w:right w:val="nil"/>
            </w:tcBorders>
            <w:shd w:val="clear" w:color="auto" w:fill="auto"/>
            <w:vAlign w:val="center"/>
            <w:hideMark/>
          </w:tcPr>
          <w:p w14:paraId="583C8999"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Dissolved Inorganic Nitrogen (µM)</w:t>
            </w:r>
          </w:p>
        </w:tc>
        <w:tc>
          <w:tcPr>
            <w:tcW w:w="0" w:type="auto"/>
            <w:tcBorders>
              <w:top w:val="nil"/>
              <w:left w:val="nil"/>
              <w:bottom w:val="nil"/>
              <w:right w:val="nil"/>
            </w:tcBorders>
            <w:shd w:val="clear" w:color="auto" w:fill="auto"/>
            <w:noWrap/>
            <w:vAlign w:val="center"/>
            <w:hideMark/>
          </w:tcPr>
          <w:p w14:paraId="25779F01"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Min.</w:t>
            </w:r>
          </w:p>
        </w:tc>
        <w:tc>
          <w:tcPr>
            <w:tcW w:w="0" w:type="auto"/>
            <w:tcBorders>
              <w:top w:val="nil"/>
              <w:left w:val="nil"/>
              <w:bottom w:val="nil"/>
              <w:right w:val="nil"/>
            </w:tcBorders>
            <w:shd w:val="clear" w:color="auto" w:fill="auto"/>
            <w:noWrap/>
            <w:vAlign w:val="center"/>
            <w:hideMark/>
          </w:tcPr>
          <w:p w14:paraId="791BBCD5" w14:textId="77777777" w:rsidR="00D41D03" w:rsidRPr="00BC5198" w:rsidRDefault="00D41D03" w:rsidP="0065493C">
            <w:pPr>
              <w:spacing w:before="0" w:after="0" w:line="276" w:lineRule="auto"/>
              <w:rPr>
                <w:sz w:val="20"/>
                <w:szCs w:val="20"/>
              </w:rPr>
            </w:pPr>
            <w:r w:rsidRPr="00BC5198">
              <w:rPr>
                <w:sz w:val="20"/>
                <w:szCs w:val="20"/>
              </w:rPr>
              <w:t>6.00</w:t>
            </w:r>
          </w:p>
        </w:tc>
        <w:tc>
          <w:tcPr>
            <w:tcW w:w="0" w:type="auto"/>
            <w:tcBorders>
              <w:top w:val="nil"/>
              <w:left w:val="nil"/>
              <w:bottom w:val="nil"/>
              <w:right w:val="single" w:sz="4" w:space="0" w:color="auto"/>
            </w:tcBorders>
            <w:shd w:val="clear" w:color="auto" w:fill="auto"/>
            <w:noWrap/>
            <w:vAlign w:val="center"/>
            <w:hideMark/>
          </w:tcPr>
          <w:p w14:paraId="38281E8E" w14:textId="77777777" w:rsidR="00D41D03" w:rsidRPr="00BC5198" w:rsidRDefault="00D41D03" w:rsidP="0065493C">
            <w:pPr>
              <w:spacing w:before="0" w:after="0" w:line="276" w:lineRule="auto"/>
              <w:rPr>
                <w:sz w:val="20"/>
                <w:szCs w:val="20"/>
              </w:rPr>
            </w:pPr>
            <w:r w:rsidRPr="00BC5198">
              <w:rPr>
                <w:sz w:val="20"/>
                <w:szCs w:val="20"/>
              </w:rPr>
              <w:t>4.78</w:t>
            </w:r>
          </w:p>
        </w:tc>
      </w:tr>
      <w:tr w:rsidR="00D41D03" w:rsidRPr="00BC5198" w14:paraId="24A6151E" w14:textId="77777777" w:rsidTr="00F658CE">
        <w:trPr>
          <w:trHeight w:val="20"/>
          <w:jc w:val="center"/>
        </w:trPr>
        <w:tc>
          <w:tcPr>
            <w:tcW w:w="0" w:type="auto"/>
            <w:vMerge/>
            <w:tcBorders>
              <w:top w:val="nil"/>
              <w:left w:val="nil"/>
              <w:bottom w:val="single" w:sz="4" w:space="0" w:color="000000"/>
              <w:right w:val="nil"/>
            </w:tcBorders>
            <w:vAlign w:val="center"/>
            <w:hideMark/>
          </w:tcPr>
          <w:p w14:paraId="1FC0EA41"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nil"/>
              <w:right w:val="nil"/>
            </w:tcBorders>
            <w:shd w:val="clear" w:color="auto" w:fill="auto"/>
            <w:noWrap/>
            <w:vAlign w:val="center"/>
            <w:hideMark/>
          </w:tcPr>
          <w:p w14:paraId="46E77FAD"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Max.</w:t>
            </w:r>
          </w:p>
        </w:tc>
        <w:tc>
          <w:tcPr>
            <w:tcW w:w="0" w:type="auto"/>
            <w:tcBorders>
              <w:top w:val="nil"/>
              <w:left w:val="nil"/>
              <w:bottom w:val="nil"/>
              <w:right w:val="nil"/>
            </w:tcBorders>
            <w:shd w:val="clear" w:color="auto" w:fill="auto"/>
            <w:noWrap/>
            <w:vAlign w:val="center"/>
            <w:hideMark/>
          </w:tcPr>
          <w:p w14:paraId="3A19F54D" w14:textId="77777777" w:rsidR="00D41D03" w:rsidRPr="00BC5198" w:rsidRDefault="00D41D03" w:rsidP="0065493C">
            <w:pPr>
              <w:spacing w:before="0" w:after="0" w:line="276" w:lineRule="auto"/>
              <w:rPr>
                <w:sz w:val="20"/>
                <w:szCs w:val="20"/>
              </w:rPr>
            </w:pPr>
            <w:r w:rsidRPr="00BC5198">
              <w:rPr>
                <w:sz w:val="20"/>
                <w:szCs w:val="20"/>
              </w:rPr>
              <w:t>34.98</w:t>
            </w:r>
          </w:p>
        </w:tc>
        <w:tc>
          <w:tcPr>
            <w:tcW w:w="0" w:type="auto"/>
            <w:tcBorders>
              <w:top w:val="nil"/>
              <w:left w:val="nil"/>
              <w:bottom w:val="nil"/>
              <w:right w:val="single" w:sz="4" w:space="0" w:color="auto"/>
            </w:tcBorders>
            <w:shd w:val="clear" w:color="auto" w:fill="auto"/>
            <w:noWrap/>
            <w:vAlign w:val="center"/>
            <w:hideMark/>
          </w:tcPr>
          <w:p w14:paraId="10E46291" w14:textId="77777777" w:rsidR="00D41D03" w:rsidRPr="00BC5198" w:rsidRDefault="00D41D03" w:rsidP="0065493C">
            <w:pPr>
              <w:spacing w:before="0" w:after="0" w:line="276" w:lineRule="auto"/>
              <w:rPr>
                <w:sz w:val="20"/>
                <w:szCs w:val="20"/>
              </w:rPr>
            </w:pPr>
            <w:r w:rsidRPr="00BC5198">
              <w:rPr>
                <w:sz w:val="20"/>
                <w:szCs w:val="20"/>
              </w:rPr>
              <w:t>35.70</w:t>
            </w:r>
          </w:p>
        </w:tc>
      </w:tr>
      <w:tr w:rsidR="00D41D03" w:rsidRPr="00BC5198" w14:paraId="17AB5BED" w14:textId="77777777" w:rsidTr="00F658CE">
        <w:trPr>
          <w:trHeight w:val="20"/>
          <w:jc w:val="center"/>
        </w:trPr>
        <w:tc>
          <w:tcPr>
            <w:tcW w:w="0" w:type="auto"/>
            <w:vMerge/>
            <w:tcBorders>
              <w:top w:val="nil"/>
              <w:left w:val="nil"/>
              <w:bottom w:val="single" w:sz="4" w:space="0" w:color="000000"/>
              <w:right w:val="nil"/>
            </w:tcBorders>
            <w:vAlign w:val="center"/>
            <w:hideMark/>
          </w:tcPr>
          <w:p w14:paraId="1284DB78"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nil"/>
              <w:right w:val="nil"/>
            </w:tcBorders>
            <w:shd w:val="clear" w:color="auto" w:fill="auto"/>
            <w:noWrap/>
            <w:vAlign w:val="center"/>
            <w:hideMark/>
          </w:tcPr>
          <w:p w14:paraId="0DE44D95"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Mean</w:t>
            </w:r>
          </w:p>
        </w:tc>
        <w:tc>
          <w:tcPr>
            <w:tcW w:w="0" w:type="auto"/>
            <w:tcBorders>
              <w:top w:val="nil"/>
              <w:left w:val="nil"/>
              <w:bottom w:val="nil"/>
              <w:right w:val="nil"/>
            </w:tcBorders>
            <w:shd w:val="clear" w:color="auto" w:fill="auto"/>
            <w:noWrap/>
            <w:vAlign w:val="center"/>
            <w:hideMark/>
          </w:tcPr>
          <w:p w14:paraId="0A810F72" w14:textId="77777777" w:rsidR="00D41D03" w:rsidRPr="00BC5198" w:rsidRDefault="00D41D03" w:rsidP="0065493C">
            <w:pPr>
              <w:spacing w:before="0" w:after="0" w:line="276" w:lineRule="auto"/>
              <w:rPr>
                <w:sz w:val="20"/>
                <w:szCs w:val="20"/>
              </w:rPr>
            </w:pPr>
            <w:r w:rsidRPr="00BC5198">
              <w:rPr>
                <w:sz w:val="20"/>
                <w:szCs w:val="20"/>
              </w:rPr>
              <w:t>12.88</w:t>
            </w:r>
          </w:p>
        </w:tc>
        <w:tc>
          <w:tcPr>
            <w:tcW w:w="0" w:type="auto"/>
            <w:tcBorders>
              <w:top w:val="nil"/>
              <w:left w:val="nil"/>
              <w:bottom w:val="nil"/>
              <w:right w:val="single" w:sz="4" w:space="0" w:color="auto"/>
            </w:tcBorders>
            <w:shd w:val="clear" w:color="auto" w:fill="auto"/>
            <w:noWrap/>
            <w:vAlign w:val="center"/>
            <w:hideMark/>
          </w:tcPr>
          <w:p w14:paraId="143A3260" w14:textId="77777777" w:rsidR="00D41D03" w:rsidRPr="00BC5198" w:rsidRDefault="00D41D03" w:rsidP="0065493C">
            <w:pPr>
              <w:spacing w:before="0" w:after="0" w:line="276" w:lineRule="auto"/>
              <w:rPr>
                <w:sz w:val="20"/>
                <w:szCs w:val="20"/>
              </w:rPr>
            </w:pPr>
            <w:r w:rsidRPr="00BC5198">
              <w:rPr>
                <w:sz w:val="20"/>
                <w:szCs w:val="20"/>
              </w:rPr>
              <w:t>13.11</w:t>
            </w:r>
          </w:p>
        </w:tc>
      </w:tr>
      <w:tr w:rsidR="00D41D03" w:rsidRPr="00BC5198" w14:paraId="3454CDE5" w14:textId="77777777" w:rsidTr="00F658CE">
        <w:trPr>
          <w:trHeight w:val="20"/>
          <w:jc w:val="center"/>
        </w:trPr>
        <w:tc>
          <w:tcPr>
            <w:tcW w:w="0" w:type="auto"/>
            <w:vMerge/>
            <w:tcBorders>
              <w:top w:val="nil"/>
              <w:left w:val="nil"/>
              <w:bottom w:val="single" w:sz="4" w:space="0" w:color="000000"/>
              <w:right w:val="nil"/>
            </w:tcBorders>
            <w:vAlign w:val="center"/>
            <w:hideMark/>
          </w:tcPr>
          <w:p w14:paraId="23F25EC7"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nil"/>
              <w:right w:val="nil"/>
            </w:tcBorders>
            <w:shd w:val="clear" w:color="auto" w:fill="auto"/>
            <w:noWrap/>
            <w:vAlign w:val="center"/>
            <w:hideMark/>
          </w:tcPr>
          <w:p w14:paraId="242ABD4E"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SD</w:t>
            </w:r>
          </w:p>
        </w:tc>
        <w:tc>
          <w:tcPr>
            <w:tcW w:w="0" w:type="auto"/>
            <w:tcBorders>
              <w:top w:val="nil"/>
              <w:left w:val="nil"/>
              <w:bottom w:val="nil"/>
              <w:right w:val="nil"/>
            </w:tcBorders>
            <w:shd w:val="clear" w:color="auto" w:fill="auto"/>
            <w:noWrap/>
            <w:vAlign w:val="center"/>
            <w:hideMark/>
          </w:tcPr>
          <w:p w14:paraId="16AD17FB" w14:textId="77777777" w:rsidR="00D41D03" w:rsidRPr="00BC5198" w:rsidRDefault="00D41D03" w:rsidP="0065493C">
            <w:pPr>
              <w:spacing w:before="0" w:after="0" w:line="276" w:lineRule="auto"/>
              <w:rPr>
                <w:sz w:val="20"/>
                <w:szCs w:val="20"/>
              </w:rPr>
            </w:pPr>
            <w:r w:rsidRPr="00BC5198">
              <w:rPr>
                <w:sz w:val="20"/>
                <w:szCs w:val="20"/>
              </w:rPr>
              <w:t>4.99</w:t>
            </w:r>
          </w:p>
        </w:tc>
        <w:tc>
          <w:tcPr>
            <w:tcW w:w="0" w:type="auto"/>
            <w:tcBorders>
              <w:top w:val="nil"/>
              <w:left w:val="nil"/>
              <w:bottom w:val="nil"/>
              <w:right w:val="single" w:sz="4" w:space="0" w:color="auto"/>
            </w:tcBorders>
            <w:shd w:val="clear" w:color="auto" w:fill="auto"/>
            <w:noWrap/>
            <w:vAlign w:val="center"/>
            <w:hideMark/>
          </w:tcPr>
          <w:p w14:paraId="097DA5F8" w14:textId="77777777" w:rsidR="00D41D03" w:rsidRPr="00BC5198" w:rsidRDefault="00D41D03" w:rsidP="0065493C">
            <w:pPr>
              <w:spacing w:before="0" w:after="0" w:line="276" w:lineRule="auto"/>
              <w:rPr>
                <w:sz w:val="20"/>
                <w:szCs w:val="20"/>
              </w:rPr>
            </w:pPr>
            <w:r w:rsidRPr="00BC5198">
              <w:rPr>
                <w:sz w:val="20"/>
                <w:szCs w:val="20"/>
              </w:rPr>
              <w:t>5.05</w:t>
            </w:r>
          </w:p>
        </w:tc>
      </w:tr>
      <w:tr w:rsidR="00D41D03" w:rsidRPr="00BC5198" w14:paraId="05361004" w14:textId="77777777" w:rsidTr="00F658CE">
        <w:trPr>
          <w:trHeight w:val="20"/>
          <w:jc w:val="center"/>
        </w:trPr>
        <w:tc>
          <w:tcPr>
            <w:tcW w:w="0" w:type="auto"/>
            <w:vMerge/>
            <w:tcBorders>
              <w:top w:val="nil"/>
              <w:left w:val="nil"/>
              <w:bottom w:val="single" w:sz="4" w:space="0" w:color="000000"/>
              <w:right w:val="nil"/>
            </w:tcBorders>
            <w:vAlign w:val="center"/>
            <w:hideMark/>
          </w:tcPr>
          <w:p w14:paraId="346BA9E0"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nil"/>
              <w:right w:val="nil"/>
            </w:tcBorders>
            <w:shd w:val="clear" w:color="auto" w:fill="auto"/>
            <w:noWrap/>
            <w:vAlign w:val="center"/>
            <w:hideMark/>
          </w:tcPr>
          <w:p w14:paraId="2160CE7E"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Count</w:t>
            </w:r>
          </w:p>
        </w:tc>
        <w:tc>
          <w:tcPr>
            <w:tcW w:w="0" w:type="auto"/>
            <w:tcBorders>
              <w:top w:val="nil"/>
              <w:left w:val="nil"/>
              <w:bottom w:val="single" w:sz="4" w:space="0" w:color="auto"/>
              <w:right w:val="nil"/>
            </w:tcBorders>
            <w:shd w:val="clear" w:color="auto" w:fill="auto"/>
            <w:noWrap/>
            <w:vAlign w:val="center"/>
            <w:hideMark/>
          </w:tcPr>
          <w:p w14:paraId="19DE82A1" w14:textId="77777777" w:rsidR="00D41D03" w:rsidRPr="00BC5198" w:rsidRDefault="00D41D03" w:rsidP="0065493C">
            <w:pPr>
              <w:spacing w:before="0" w:after="0" w:line="276" w:lineRule="auto"/>
              <w:rPr>
                <w:sz w:val="20"/>
                <w:szCs w:val="20"/>
              </w:rPr>
            </w:pPr>
            <w:r w:rsidRPr="00BC5198">
              <w:rPr>
                <w:sz w:val="20"/>
                <w:szCs w:val="20"/>
              </w:rPr>
              <w:t>57</w:t>
            </w:r>
          </w:p>
        </w:tc>
        <w:tc>
          <w:tcPr>
            <w:tcW w:w="0" w:type="auto"/>
            <w:tcBorders>
              <w:top w:val="nil"/>
              <w:left w:val="nil"/>
              <w:bottom w:val="single" w:sz="4" w:space="0" w:color="auto"/>
              <w:right w:val="single" w:sz="4" w:space="0" w:color="auto"/>
            </w:tcBorders>
            <w:shd w:val="clear" w:color="auto" w:fill="auto"/>
            <w:noWrap/>
            <w:vAlign w:val="center"/>
            <w:hideMark/>
          </w:tcPr>
          <w:p w14:paraId="08461F93" w14:textId="77777777" w:rsidR="00D41D03" w:rsidRPr="00BC5198" w:rsidRDefault="00D41D03" w:rsidP="0065493C">
            <w:pPr>
              <w:spacing w:before="0" w:after="0" w:line="276" w:lineRule="auto"/>
              <w:rPr>
                <w:sz w:val="20"/>
                <w:szCs w:val="20"/>
              </w:rPr>
            </w:pPr>
            <w:r w:rsidRPr="00BC5198">
              <w:rPr>
                <w:sz w:val="20"/>
                <w:szCs w:val="20"/>
              </w:rPr>
              <w:t>57</w:t>
            </w:r>
          </w:p>
        </w:tc>
      </w:tr>
      <w:tr w:rsidR="00D41D03" w:rsidRPr="00BC5198" w14:paraId="776279A9" w14:textId="77777777" w:rsidTr="00F658CE">
        <w:trPr>
          <w:trHeight w:val="20"/>
          <w:jc w:val="center"/>
        </w:trPr>
        <w:tc>
          <w:tcPr>
            <w:tcW w:w="0" w:type="auto"/>
            <w:vMerge w:val="restart"/>
            <w:tcBorders>
              <w:top w:val="nil"/>
              <w:left w:val="nil"/>
              <w:bottom w:val="single" w:sz="4" w:space="0" w:color="000000"/>
              <w:right w:val="nil"/>
            </w:tcBorders>
            <w:shd w:val="clear" w:color="auto" w:fill="auto"/>
            <w:vAlign w:val="center"/>
            <w:hideMark/>
          </w:tcPr>
          <w:p w14:paraId="0611131E"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Dissolved Inorganic Phosphorus (µM)</w:t>
            </w:r>
          </w:p>
        </w:tc>
        <w:tc>
          <w:tcPr>
            <w:tcW w:w="0" w:type="auto"/>
            <w:tcBorders>
              <w:top w:val="single" w:sz="4" w:space="0" w:color="auto"/>
              <w:left w:val="nil"/>
              <w:bottom w:val="nil"/>
              <w:right w:val="single" w:sz="4" w:space="0" w:color="auto"/>
            </w:tcBorders>
            <w:shd w:val="clear" w:color="auto" w:fill="auto"/>
            <w:noWrap/>
            <w:vAlign w:val="center"/>
            <w:hideMark/>
          </w:tcPr>
          <w:p w14:paraId="58171913"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Min.</w:t>
            </w:r>
          </w:p>
        </w:tc>
        <w:tc>
          <w:tcPr>
            <w:tcW w:w="0" w:type="auto"/>
            <w:tcBorders>
              <w:top w:val="nil"/>
              <w:left w:val="nil"/>
              <w:bottom w:val="nil"/>
              <w:right w:val="nil"/>
            </w:tcBorders>
            <w:shd w:val="clear" w:color="auto" w:fill="auto"/>
            <w:noWrap/>
            <w:vAlign w:val="center"/>
            <w:hideMark/>
          </w:tcPr>
          <w:p w14:paraId="0929CA11" w14:textId="77777777" w:rsidR="00D41D03" w:rsidRPr="00BC5198" w:rsidRDefault="00D41D03" w:rsidP="0065493C">
            <w:pPr>
              <w:spacing w:before="0" w:after="0" w:line="276" w:lineRule="auto"/>
              <w:rPr>
                <w:sz w:val="20"/>
                <w:szCs w:val="20"/>
              </w:rPr>
            </w:pPr>
            <w:r w:rsidRPr="00BC5198">
              <w:rPr>
                <w:sz w:val="20"/>
                <w:szCs w:val="20"/>
              </w:rPr>
              <w:t>0.16</w:t>
            </w:r>
          </w:p>
        </w:tc>
        <w:tc>
          <w:tcPr>
            <w:tcW w:w="0" w:type="auto"/>
            <w:tcBorders>
              <w:top w:val="nil"/>
              <w:left w:val="nil"/>
              <w:bottom w:val="nil"/>
              <w:right w:val="single" w:sz="4" w:space="0" w:color="auto"/>
            </w:tcBorders>
            <w:shd w:val="clear" w:color="auto" w:fill="auto"/>
            <w:noWrap/>
            <w:vAlign w:val="center"/>
            <w:hideMark/>
          </w:tcPr>
          <w:p w14:paraId="2339B1B0" w14:textId="77777777" w:rsidR="00D41D03" w:rsidRPr="00BC5198" w:rsidRDefault="00D41D03" w:rsidP="0065493C">
            <w:pPr>
              <w:spacing w:before="0" w:after="0" w:line="276" w:lineRule="auto"/>
              <w:rPr>
                <w:sz w:val="20"/>
                <w:szCs w:val="20"/>
              </w:rPr>
            </w:pPr>
            <w:r w:rsidRPr="00BC5198">
              <w:rPr>
                <w:sz w:val="20"/>
                <w:szCs w:val="20"/>
              </w:rPr>
              <w:t>0.23</w:t>
            </w:r>
          </w:p>
        </w:tc>
      </w:tr>
      <w:tr w:rsidR="00D41D03" w:rsidRPr="00BC5198" w14:paraId="663372CF" w14:textId="77777777" w:rsidTr="00F658CE">
        <w:trPr>
          <w:trHeight w:val="20"/>
          <w:jc w:val="center"/>
        </w:trPr>
        <w:tc>
          <w:tcPr>
            <w:tcW w:w="0" w:type="auto"/>
            <w:vMerge/>
            <w:tcBorders>
              <w:top w:val="nil"/>
              <w:left w:val="nil"/>
              <w:bottom w:val="single" w:sz="4" w:space="0" w:color="000000"/>
              <w:right w:val="nil"/>
            </w:tcBorders>
            <w:vAlign w:val="center"/>
            <w:hideMark/>
          </w:tcPr>
          <w:p w14:paraId="17E2489A"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nil"/>
              <w:right w:val="nil"/>
            </w:tcBorders>
            <w:shd w:val="clear" w:color="auto" w:fill="auto"/>
            <w:noWrap/>
            <w:vAlign w:val="center"/>
            <w:hideMark/>
          </w:tcPr>
          <w:p w14:paraId="5F07E754"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Max.</w:t>
            </w:r>
          </w:p>
        </w:tc>
        <w:tc>
          <w:tcPr>
            <w:tcW w:w="0" w:type="auto"/>
            <w:tcBorders>
              <w:top w:val="nil"/>
              <w:left w:val="nil"/>
              <w:bottom w:val="nil"/>
              <w:right w:val="nil"/>
            </w:tcBorders>
            <w:shd w:val="clear" w:color="auto" w:fill="auto"/>
            <w:noWrap/>
            <w:vAlign w:val="center"/>
            <w:hideMark/>
          </w:tcPr>
          <w:p w14:paraId="4D4261DF" w14:textId="77777777" w:rsidR="00D41D03" w:rsidRPr="00BC5198" w:rsidRDefault="00D41D03" w:rsidP="0065493C">
            <w:pPr>
              <w:spacing w:before="0" w:after="0" w:line="276" w:lineRule="auto"/>
              <w:rPr>
                <w:sz w:val="20"/>
                <w:szCs w:val="20"/>
              </w:rPr>
            </w:pPr>
            <w:r w:rsidRPr="00BC5198">
              <w:rPr>
                <w:sz w:val="20"/>
                <w:szCs w:val="20"/>
              </w:rPr>
              <w:t>0.97</w:t>
            </w:r>
          </w:p>
        </w:tc>
        <w:tc>
          <w:tcPr>
            <w:tcW w:w="0" w:type="auto"/>
            <w:tcBorders>
              <w:top w:val="nil"/>
              <w:left w:val="nil"/>
              <w:bottom w:val="nil"/>
              <w:right w:val="single" w:sz="4" w:space="0" w:color="auto"/>
            </w:tcBorders>
            <w:shd w:val="clear" w:color="auto" w:fill="auto"/>
            <w:noWrap/>
            <w:vAlign w:val="center"/>
            <w:hideMark/>
          </w:tcPr>
          <w:p w14:paraId="06B1987C" w14:textId="77777777" w:rsidR="00D41D03" w:rsidRPr="00BC5198" w:rsidRDefault="00D41D03" w:rsidP="0065493C">
            <w:pPr>
              <w:spacing w:before="0" w:after="0" w:line="276" w:lineRule="auto"/>
              <w:rPr>
                <w:sz w:val="20"/>
                <w:szCs w:val="20"/>
              </w:rPr>
            </w:pPr>
            <w:r w:rsidRPr="00BC5198">
              <w:rPr>
                <w:sz w:val="20"/>
                <w:szCs w:val="20"/>
              </w:rPr>
              <w:t>1.29</w:t>
            </w:r>
          </w:p>
        </w:tc>
      </w:tr>
      <w:tr w:rsidR="00D41D03" w:rsidRPr="00BC5198" w14:paraId="6D66852E" w14:textId="77777777" w:rsidTr="00F658CE">
        <w:trPr>
          <w:trHeight w:val="20"/>
          <w:jc w:val="center"/>
        </w:trPr>
        <w:tc>
          <w:tcPr>
            <w:tcW w:w="0" w:type="auto"/>
            <w:vMerge/>
            <w:tcBorders>
              <w:top w:val="nil"/>
              <w:left w:val="nil"/>
              <w:bottom w:val="single" w:sz="4" w:space="0" w:color="000000"/>
              <w:right w:val="nil"/>
            </w:tcBorders>
            <w:vAlign w:val="center"/>
            <w:hideMark/>
          </w:tcPr>
          <w:p w14:paraId="5EC85E04"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nil"/>
              <w:right w:val="nil"/>
            </w:tcBorders>
            <w:shd w:val="clear" w:color="auto" w:fill="auto"/>
            <w:noWrap/>
            <w:vAlign w:val="center"/>
            <w:hideMark/>
          </w:tcPr>
          <w:p w14:paraId="47CBB218"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Mean</w:t>
            </w:r>
          </w:p>
        </w:tc>
        <w:tc>
          <w:tcPr>
            <w:tcW w:w="0" w:type="auto"/>
            <w:tcBorders>
              <w:top w:val="nil"/>
              <w:left w:val="nil"/>
              <w:bottom w:val="nil"/>
              <w:right w:val="nil"/>
            </w:tcBorders>
            <w:shd w:val="clear" w:color="auto" w:fill="auto"/>
            <w:noWrap/>
            <w:vAlign w:val="center"/>
            <w:hideMark/>
          </w:tcPr>
          <w:p w14:paraId="6C7C191C" w14:textId="77777777" w:rsidR="00D41D03" w:rsidRPr="00BC5198" w:rsidRDefault="00D41D03" w:rsidP="0065493C">
            <w:pPr>
              <w:spacing w:before="0" w:after="0" w:line="276" w:lineRule="auto"/>
              <w:rPr>
                <w:sz w:val="20"/>
                <w:szCs w:val="20"/>
              </w:rPr>
            </w:pPr>
            <w:r w:rsidRPr="00BC5198">
              <w:rPr>
                <w:sz w:val="20"/>
                <w:szCs w:val="20"/>
              </w:rPr>
              <w:t>0.34</w:t>
            </w:r>
          </w:p>
        </w:tc>
        <w:tc>
          <w:tcPr>
            <w:tcW w:w="0" w:type="auto"/>
            <w:tcBorders>
              <w:top w:val="nil"/>
              <w:left w:val="nil"/>
              <w:bottom w:val="nil"/>
              <w:right w:val="single" w:sz="4" w:space="0" w:color="auto"/>
            </w:tcBorders>
            <w:shd w:val="clear" w:color="auto" w:fill="auto"/>
            <w:noWrap/>
            <w:vAlign w:val="center"/>
            <w:hideMark/>
          </w:tcPr>
          <w:p w14:paraId="6FDC3191" w14:textId="77777777" w:rsidR="00D41D03" w:rsidRPr="00BC5198" w:rsidRDefault="00D41D03" w:rsidP="0065493C">
            <w:pPr>
              <w:spacing w:before="0" w:after="0" w:line="276" w:lineRule="auto"/>
              <w:rPr>
                <w:sz w:val="20"/>
                <w:szCs w:val="20"/>
              </w:rPr>
            </w:pPr>
            <w:r w:rsidRPr="00BC5198">
              <w:rPr>
                <w:sz w:val="20"/>
                <w:szCs w:val="20"/>
              </w:rPr>
              <w:t>0.38</w:t>
            </w:r>
          </w:p>
        </w:tc>
      </w:tr>
      <w:tr w:rsidR="00D41D03" w:rsidRPr="00BC5198" w14:paraId="488ABB3F" w14:textId="77777777" w:rsidTr="00F658CE">
        <w:trPr>
          <w:trHeight w:val="20"/>
          <w:jc w:val="center"/>
        </w:trPr>
        <w:tc>
          <w:tcPr>
            <w:tcW w:w="0" w:type="auto"/>
            <w:vMerge/>
            <w:tcBorders>
              <w:top w:val="nil"/>
              <w:left w:val="nil"/>
              <w:bottom w:val="single" w:sz="4" w:space="0" w:color="000000"/>
              <w:right w:val="nil"/>
            </w:tcBorders>
            <w:vAlign w:val="center"/>
            <w:hideMark/>
          </w:tcPr>
          <w:p w14:paraId="11101925"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nil"/>
              <w:right w:val="nil"/>
            </w:tcBorders>
            <w:shd w:val="clear" w:color="auto" w:fill="auto"/>
            <w:noWrap/>
            <w:vAlign w:val="center"/>
            <w:hideMark/>
          </w:tcPr>
          <w:p w14:paraId="31A1556B"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SD</w:t>
            </w:r>
          </w:p>
        </w:tc>
        <w:tc>
          <w:tcPr>
            <w:tcW w:w="0" w:type="auto"/>
            <w:tcBorders>
              <w:top w:val="nil"/>
              <w:left w:val="nil"/>
              <w:bottom w:val="nil"/>
              <w:right w:val="nil"/>
            </w:tcBorders>
            <w:shd w:val="clear" w:color="auto" w:fill="auto"/>
            <w:noWrap/>
            <w:vAlign w:val="center"/>
            <w:hideMark/>
          </w:tcPr>
          <w:p w14:paraId="1556AD76" w14:textId="77777777" w:rsidR="00D41D03" w:rsidRPr="00BC5198" w:rsidRDefault="00D41D03" w:rsidP="0065493C">
            <w:pPr>
              <w:spacing w:before="0" w:after="0" w:line="276" w:lineRule="auto"/>
              <w:rPr>
                <w:sz w:val="20"/>
                <w:szCs w:val="20"/>
              </w:rPr>
            </w:pPr>
            <w:r w:rsidRPr="00BC5198">
              <w:rPr>
                <w:sz w:val="20"/>
                <w:szCs w:val="20"/>
              </w:rPr>
              <w:t>0.17</w:t>
            </w:r>
          </w:p>
        </w:tc>
        <w:tc>
          <w:tcPr>
            <w:tcW w:w="0" w:type="auto"/>
            <w:tcBorders>
              <w:top w:val="nil"/>
              <w:left w:val="nil"/>
              <w:bottom w:val="nil"/>
              <w:right w:val="single" w:sz="4" w:space="0" w:color="auto"/>
            </w:tcBorders>
            <w:shd w:val="clear" w:color="auto" w:fill="auto"/>
            <w:noWrap/>
            <w:vAlign w:val="center"/>
            <w:hideMark/>
          </w:tcPr>
          <w:p w14:paraId="39493533" w14:textId="77777777" w:rsidR="00D41D03" w:rsidRPr="00BC5198" w:rsidRDefault="00D41D03" w:rsidP="0065493C">
            <w:pPr>
              <w:spacing w:before="0" w:after="0" w:line="276" w:lineRule="auto"/>
              <w:rPr>
                <w:sz w:val="20"/>
                <w:szCs w:val="20"/>
              </w:rPr>
            </w:pPr>
            <w:r w:rsidRPr="00BC5198">
              <w:rPr>
                <w:sz w:val="20"/>
                <w:szCs w:val="20"/>
              </w:rPr>
              <w:t>0.19</w:t>
            </w:r>
          </w:p>
        </w:tc>
      </w:tr>
      <w:tr w:rsidR="00D41D03" w:rsidRPr="00BC5198" w14:paraId="4C43C72C" w14:textId="77777777" w:rsidTr="00F658CE">
        <w:trPr>
          <w:trHeight w:val="20"/>
          <w:jc w:val="center"/>
        </w:trPr>
        <w:tc>
          <w:tcPr>
            <w:tcW w:w="0" w:type="auto"/>
            <w:vMerge/>
            <w:tcBorders>
              <w:top w:val="nil"/>
              <w:left w:val="nil"/>
              <w:bottom w:val="single" w:sz="4" w:space="0" w:color="000000"/>
              <w:right w:val="nil"/>
            </w:tcBorders>
            <w:vAlign w:val="center"/>
            <w:hideMark/>
          </w:tcPr>
          <w:p w14:paraId="0D3E31F0"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single" w:sz="4" w:space="0" w:color="auto"/>
              <w:right w:val="nil"/>
            </w:tcBorders>
            <w:shd w:val="clear" w:color="auto" w:fill="auto"/>
            <w:noWrap/>
            <w:vAlign w:val="center"/>
            <w:hideMark/>
          </w:tcPr>
          <w:p w14:paraId="260E73B2"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Count</w:t>
            </w:r>
          </w:p>
        </w:tc>
        <w:tc>
          <w:tcPr>
            <w:tcW w:w="0" w:type="auto"/>
            <w:tcBorders>
              <w:top w:val="nil"/>
              <w:left w:val="nil"/>
              <w:bottom w:val="single" w:sz="4" w:space="0" w:color="auto"/>
              <w:right w:val="nil"/>
            </w:tcBorders>
            <w:shd w:val="clear" w:color="auto" w:fill="auto"/>
            <w:noWrap/>
            <w:vAlign w:val="center"/>
            <w:hideMark/>
          </w:tcPr>
          <w:p w14:paraId="13792D49" w14:textId="77777777" w:rsidR="00D41D03" w:rsidRPr="00BC5198" w:rsidRDefault="00D41D03" w:rsidP="0065493C">
            <w:pPr>
              <w:spacing w:before="0" w:after="0" w:line="276" w:lineRule="auto"/>
              <w:rPr>
                <w:sz w:val="20"/>
                <w:szCs w:val="20"/>
              </w:rPr>
            </w:pPr>
            <w:r w:rsidRPr="00BC5198">
              <w:rPr>
                <w:sz w:val="20"/>
                <w:szCs w:val="20"/>
              </w:rPr>
              <w:t>59</w:t>
            </w:r>
          </w:p>
        </w:tc>
        <w:tc>
          <w:tcPr>
            <w:tcW w:w="0" w:type="auto"/>
            <w:tcBorders>
              <w:top w:val="nil"/>
              <w:left w:val="nil"/>
              <w:bottom w:val="single" w:sz="4" w:space="0" w:color="auto"/>
              <w:right w:val="single" w:sz="4" w:space="0" w:color="auto"/>
            </w:tcBorders>
            <w:shd w:val="clear" w:color="auto" w:fill="auto"/>
            <w:noWrap/>
            <w:vAlign w:val="center"/>
            <w:hideMark/>
          </w:tcPr>
          <w:p w14:paraId="2ACB1726" w14:textId="77777777" w:rsidR="00D41D03" w:rsidRPr="00BC5198" w:rsidRDefault="00D41D03" w:rsidP="0065493C">
            <w:pPr>
              <w:spacing w:before="0" w:after="0" w:line="276" w:lineRule="auto"/>
              <w:rPr>
                <w:sz w:val="20"/>
                <w:szCs w:val="20"/>
              </w:rPr>
            </w:pPr>
            <w:r w:rsidRPr="00BC5198">
              <w:rPr>
                <w:sz w:val="20"/>
                <w:szCs w:val="20"/>
              </w:rPr>
              <w:t>57</w:t>
            </w:r>
          </w:p>
        </w:tc>
      </w:tr>
      <w:tr w:rsidR="00D41D03" w:rsidRPr="00BC5198" w14:paraId="36F9E30E" w14:textId="77777777" w:rsidTr="00F658CE">
        <w:trPr>
          <w:trHeight w:val="20"/>
          <w:jc w:val="center"/>
        </w:trPr>
        <w:tc>
          <w:tcPr>
            <w:tcW w:w="0" w:type="auto"/>
            <w:vMerge w:val="restart"/>
            <w:tcBorders>
              <w:top w:val="nil"/>
              <w:left w:val="nil"/>
              <w:bottom w:val="single" w:sz="4" w:space="0" w:color="000000"/>
              <w:right w:val="nil"/>
            </w:tcBorders>
            <w:shd w:val="clear" w:color="auto" w:fill="auto"/>
            <w:vAlign w:val="center"/>
            <w:hideMark/>
          </w:tcPr>
          <w:p w14:paraId="5F3CCFEE"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Particulate Nitrogen (µM)</w:t>
            </w:r>
          </w:p>
        </w:tc>
        <w:tc>
          <w:tcPr>
            <w:tcW w:w="0" w:type="auto"/>
            <w:tcBorders>
              <w:top w:val="nil"/>
              <w:left w:val="nil"/>
              <w:bottom w:val="nil"/>
              <w:right w:val="nil"/>
            </w:tcBorders>
            <w:shd w:val="clear" w:color="auto" w:fill="auto"/>
            <w:noWrap/>
            <w:vAlign w:val="center"/>
            <w:hideMark/>
          </w:tcPr>
          <w:p w14:paraId="3B01BB59"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Min.</w:t>
            </w:r>
          </w:p>
        </w:tc>
        <w:tc>
          <w:tcPr>
            <w:tcW w:w="0" w:type="auto"/>
            <w:tcBorders>
              <w:top w:val="nil"/>
              <w:left w:val="nil"/>
              <w:bottom w:val="nil"/>
              <w:right w:val="nil"/>
            </w:tcBorders>
            <w:shd w:val="clear" w:color="auto" w:fill="auto"/>
            <w:noWrap/>
            <w:vAlign w:val="center"/>
            <w:hideMark/>
          </w:tcPr>
          <w:p w14:paraId="4C7D0FA9" w14:textId="77777777" w:rsidR="00D41D03" w:rsidRPr="00BC5198" w:rsidRDefault="00D41D03" w:rsidP="0065493C">
            <w:pPr>
              <w:spacing w:before="0" w:after="0" w:line="276" w:lineRule="auto"/>
              <w:rPr>
                <w:sz w:val="20"/>
                <w:szCs w:val="20"/>
              </w:rPr>
            </w:pPr>
            <w:r w:rsidRPr="00BC5198">
              <w:rPr>
                <w:sz w:val="20"/>
                <w:szCs w:val="20"/>
              </w:rPr>
              <w:t>0.14</w:t>
            </w:r>
          </w:p>
        </w:tc>
        <w:tc>
          <w:tcPr>
            <w:tcW w:w="0" w:type="auto"/>
            <w:tcBorders>
              <w:top w:val="nil"/>
              <w:left w:val="nil"/>
              <w:bottom w:val="nil"/>
              <w:right w:val="single" w:sz="4" w:space="0" w:color="auto"/>
            </w:tcBorders>
            <w:shd w:val="clear" w:color="auto" w:fill="auto"/>
            <w:noWrap/>
            <w:vAlign w:val="center"/>
            <w:hideMark/>
          </w:tcPr>
          <w:p w14:paraId="74CEA76C" w14:textId="77777777" w:rsidR="00D41D03" w:rsidRPr="00BC5198" w:rsidRDefault="00D41D03" w:rsidP="0065493C">
            <w:pPr>
              <w:spacing w:before="0" w:after="0" w:line="276" w:lineRule="auto"/>
              <w:rPr>
                <w:sz w:val="20"/>
                <w:szCs w:val="20"/>
              </w:rPr>
            </w:pPr>
            <w:r w:rsidRPr="00BC5198">
              <w:rPr>
                <w:sz w:val="20"/>
                <w:szCs w:val="20"/>
              </w:rPr>
              <w:t>0.21</w:t>
            </w:r>
          </w:p>
        </w:tc>
      </w:tr>
      <w:tr w:rsidR="00D41D03" w:rsidRPr="00BC5198" w14:paraId="3A672BAC" w14:textId="77777777" w:rsidTr="00F658CE">
        <w:trPr>
          <w:trHeight w:val="20"/>
          <w:jc w:val="center"/>
        </w:trPr>
        <w:tc>
          <w:tcPr>
            <w:tcW w:w="0" w:type="auto"/>
            <w:vMerge/>
            <w:tcBorders>
              <w:top w:val="nil"/>
              <w:left w:val="nil"/>
              <w:bottom w:val="single" w:sz="4" w:space="0" w:color="000000"/>
              <w:right w:val="nil"/>
            </w:tcBorders>
            <w:vAlign w:val="center"/>
            <w:hideMark/>
          </w:tcPr>
          <w:p w14:paraId="2B885DA3"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nil"/>
              <w:right w:val="nil"/>
            </w:tcBorders>
            <w:shd w:val="clear" w:color="auto" w:fill="auto"/>
            <w:noWrap/>
            <w:vAlign w:val="center"/>
            <w:hideMark/>
          </w:tcPr>
          <w:p w14:paraId="297D0FFB"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Max.</w:t>
            </w:r>
          </w:p>
        </w:tc>
        <w:tc>
          <w:tcPr>
            <w:tcW w:w="0" w:type="auto"/>
            <w:tcBorders>
              <w:top w:val="nil"/>
              <w:left w:val="nil"/>
              <w:bottom w:val="nil"/>
              <w:right w:val="nil"/>
            </w:tcBorders>
            <w:shd w:val="clear" w:color="auto" w:fill="auto"/>
            <w:noWrap/>
            <w:vAlign w:val="center"/>
            <w:hideMark/>
          </w:tcPr>
          <w:p w14:paraId="3DDADAE3" w14:textId="77777777" w:rsidR="00D41D03" w:rsidRPr="00BC5198" w:rsidRDefault="00D41D03" w:rsidP="0065493C">
            <w:pPr>
              <w:spacing w:before="0" w:after="0" w:line="276" w:lineRule="auto"/>
              <w:rPr>
                <w:sz w:val="20"/>
                <w:szCs w:val="20"/>
              </w:rPr>
            </w:pPr>
            <w:r w:rsidRPr="00BC5198">
              <w:rPr>
                <w:sz w:val="20"/>
                <w:szCs w:val="20"/>
              </w:rPr>
              <w:t>16.28</w:t>
            </w:r>
          </w:p>
        </w:tc>
        <w:tc>
          <w:tcPr>
            <w:tcW w:w="0" w:type="auto"/>
            <w:tcBorders>
              <w:top w:val="nil"/>
              <w:left w:val="nil"/>
              <w:bottom w:val="nil"/>
              <w:right w:val="single" w:sz="4" w:space="0" w:color="auto"/>
            </w:tcBorders>
            <w:shd w:val="clear" w:color="auto" w:fill="auto"/>
            <w:noWrap/>
            <w:vAlign w:val="center"/>
            <w:hideMark/>
          </w:tcPr>
          <w:p w14:paraId="100C13FB" w14:textId="77777777" w:rsidR="00D41D03" w:rsidRPr="00BC5198" w:rsidRDefault="00D41D03" w:rsidP="0065493C">
            <w:pPr>
              <w:spacing w:before="0" w:after="0" w:line="276" w:lineRule="auto"/>
              <w:rPr>
                <w:sz w:val="20"/>
                <w:szCs w:val="20"/>
              </w:rPr>
            </w:pPr>
            <w:r w:rsidRPr="00BC5198">
              <w:rPr>
                <w:sz w:val="20"/>
                <w:szCs w:val="20"/>
              </w:rPr>
              <w:t>12.28</w:t>
            </w:r>
          </w:p>
        </w:tc>
      </w:tr>
      <w:tr w:rsidR="00D41D03" w:rsidRPr="00BC5198" w14:paraId="39BEC76F" w14:textId="77777777" w:rsidTr="00F658CE">
        <w:trPr>
          <w:trHeight w:val="20"/>
          <w:jc w:val="center"/>
        </w:trPr>
        <w:tc>
          <w:tcPr>
            <w:tcW w:w="0" w:type="auto"/>
            <w:vMerge/>
            <w:tcBorders>
              <w:top w:val="nil"/>
              <w:left w:val="nil"/>
              <w:bottom w:val="single" w:sz="4" w:space="0" w:color="000000"/>
              <w:right w:val="nil"/>
            </w:tcBorders>
            <w:vAlign w:val="center"/>
            <w:hideMark/>
          </w:tcPr>
          <w:p w14:paraId="230334C3"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nil"/>
              <w:right w:val="nil"/>
            </w:tcBorders>
            <w:shd w:val="clear" w:color="auto" w:fill="auto"/>
            <w:noWrap/>
            <w:vAlign w:val="center"/>
            <w:hideMark/>
          </w:tcPr>
          <w:p w14:paraId="4D0BD70F"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Mean</w:t>
            </w:r>
          </w:p>
        </w:tc>
        <w:tc>
          <w:tcPr>
            <w:tcW w:w="0" w:type="auto"/>
            <w:tcBorders>
              <w:top w:val="nil"/>
              <w:left w:val="nil"/>
              <w:bottom w:val="nil"/>
              <w:right w:val="nil"/>
            </w:tcBorders>
            <w:shd w:val="clear" w:color="auto" w:fill="auto"/>
            <w:noWrap/>
            <w:vAlign w:val="center"/>
            <w:hideMark/>
          </w:tcPr>
          <w:p w14:paraId="5A463975" w14:textId="77777777" w:rsidR="00D41D03" w:rsidRPr="00BC5198" w:rsidRDefault="00D41D03" w:rsidP="0065493C">
            <w:pPr>
              <w:spacing w:before="0" w:after="0" w:line="276" w:lineRule="auto"/>
              <w:rPr>
                <w:sz w:val="20"/>
                <w:szCs w:val="20"/>
              </w:rPr>
            </w:pPr>
            <w:r w:rsidRPr="00BC5198">
              <w:rPr>
                <w:sz w:val="20"/>
                <w:szCs w:val="20"/>
              </w:rPr>
              <w:t>1.91</w:t>
            </w:r>
          </w:p>
        </w:tc>
        <w:tc>
          <w:tcPr>
            <w:tcW w:w="0" w:type="auto"/>
            <w:tcBorders>
              <w:top w:val="nil"/>
              <w:left w:val="nil"/>
              <w:bottom w:val="nil"/>
              <w:right w:val="single" w:sz="4" w:space="0" w:color="auto"/>
            </w:tcBorders>
            <w:shd w:val="clear" w:color="auto" w:fill="auto"/>
            <w:noWrap/>
            <w:vAlign w:val="center"/>
            <w:hideMark/>
          </w:tcPr>
          <w:p w14:paraId="531723A1" w14:textId="77777777" w:rsidR="00D41D03" w:rsidRPr="00BC5198" w:rsidRDefault="00D41D03" w:rsidP="0065493C">
            <w:pPr>
              <w:spacing w:before="0" w:after="0" w:line="276" w:lineRule="auto"/>
              <w:rPr>
                <w:sz w:val="20"/>
                <w:szCs w:val="20"/>
              </w:rPr>
            </w:pPr>
            <w:r w:rsidRPr="00BC5198">
              <w:rPr>
                <w:sz w:val="20"/>
                <w:szCs w:val="20"/>
              </w:rPr>
              <w:t>2.44</w:t>
            </w:r>
          </w:p>
        </w:tc>
      </w:tr>
      <w:tr w:rsidR="00D41D03" w:rsidRPr="00BC5198" w14:paraId="2611C90B" w14:textId="77777777" w:rsidTr="00F658CE">
        <w:trPr>
          <w:trHeight w:val="20"/>
          <w:jc w:val="center"/>
        </w:trPr>
        <w:tc>
          <w:tcPr>
            <w:tcW w:w="0" w:type="auto"/>
            <w:vMerge/>
            <w:tcBorders>
              <w:top w:val="nil"/>
              <w:left w:val="nil"/>
              <w:bottom w:val="single" w:sz="4" w:space="0" w:color="000000"/>
              <w:right w:val="nil"/>
            </w:tcBorders>
            <w:vAlign w:val="center"/>
            <w:hideMark/>
          </w:tcPr>
          <w:p w14:paraId="66F5AF09"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nil"/>
              <w:right w:val="nil"/>
            </w:tcBorders>
            <w:shd w:val="clear" w:color="auto" w:fill="auto"/>
            <w:noWrap/>
            <w:vAlign w:val="center"/>
            <w:hideMark/>
          </w:tcPr>
          <w:p w14:paraId="7A48D192"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SD</w:t>
            </w:r>
          </w:p>
        </w:tc>
        <w:tc>
          <w:tcPr>
            <w:tcW w:w="0" w:type="auto"/>
            <w:tcBorders>
              <w:top w:val="nil"/>
              <w:left w:val="nil"/>
              <w:bottom w:val="nil"/>
              <w:right w:val="nil"/>
            </w:tcBorders>
            <w:shd w:val="clear" w:color="auto" w:fill="auto"/>
            <w:noWrap/>
            <w:vAlign w:val="center"/>
            <w:hideMark/>
          </w:tcPr>
          <w:p w14:paraId="569CBE0E" w14:textId="77777777" w:rsidR="00D41D03" w:rsidRPr="00BC5198" w:rsidRDefault="00D41D03" w:rsidP="0065493C">
            <w:pPr>
              <w:spacing w:before="0" w:after="0" w:line="276" w:lineRule="auto"/>
              <w:rPr>
                <w:sz w:val="20"/>
                <w:szCs w:val="20"/>
              </w:rPr>
            </w:pPr>
            <w:r w:rsidRPr="00BC5198">
              <w:rPr>
                <w:sz w:val="20"/>
                <w:szCs w:val="20"/>
              </w:rPr>
              <w:t>2.60</w:t>
            </w:r>
          </w:p>
        </w:tc>
        <w:tc>
          <w:tcPr>
            <w:tcW w:w="0" w:type="auto"/>
            <w:tcBorders>
              <w:top w:val="nil"/>
              <w:left w:val="nil"/>
              <w:bottom w:val="nil"/>
              <w:right w:val="single" w:sz="4" w:space="0" w:color="auto"/>
            </w:tcBorders>
            <w:shd w:val="clear" w:color="auto" w:fill="auto"/>
            <w:noWrap/>
            <w:vAlign w:val="center"/>
            <w:hideMark/>
          </w:tcPr>
          <w:p w14:paraId="56340E34" w14:textId="77777777" w:rsidR="00D41D03" w:rsidRPr="00BC5198" w:rsidRDefault="00D41D03" w:rsidP="0065493C">
            <w:pPr>
              <w:spacing w:before="0" w:after="0" w:line="276" w:lineRule="auto"/>
              <w:rPr>
                <w:sz w:val="20"/>
                <w:szCs w:val="20"/>
              </w:rPr>
            </w:pPr>
            <w:r w:rsidRPr="00BC5198">
              <w:rPr>
                <w:sz w:val="20"/>
                <w:szCs w:val="20"/>
              </w:rPr>
              <w:t>2.42</w:t>
            </w:r>
          </w:p>
        </w:tc>
      </w:tr>
      <w:tr w:rsidR="00D41D03" w:rsidRPr="00BC5198" w14:paraId="0B4D1342" w14:textId="77777777" w:rsidTr="00F658CE">
        <w:trPr>
          <w:trHeight w:val="20"/>
          <w:jc w:val="center"/>
        </w:trPr>
        <w:tc>
          <w:tcPr>
            <w:tcW w:w="0" w:type="auto"/>
            <w:vMerge/>
            <w:tcBorders>
              <w:top w:val="nil"/>
              <w:left w:val="nil"/>
              <w:bottom w:val="single" w:sz="4" w:space="0" w:color="000000"/>
              <w:right w:val="nil"/>
            </w:tcBorders>
            <w:vAlign w:val="center"/>
            <w:hideMark/>
          </w:tcPr>
          <w:p w14:paraId="135A70E8"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single" w:sz="4" w:space="0" w:color="auto"/>
              <w:right w:val="nil"/>
            </w:tcBorders>
            <w:shd w:val="clear" w:color="auto" w:fill="auto"/>
            <w:noWrap/>
            <w:vAlign w:val="center"/>
            <w:hideMark/>
          </w:tcPr>
          <w:p w14:paraId="0FAA39D1"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Count</w:t>
            </w:r>
          </w:p>
        </w:tc>
        <w:tc>
          <w:tcPr>
            <w:tcW w:w="0" w:type="auto"/>
            <w:tcBorders>
              <w:top w:val="nil"/>
              <w:left w:val="nil"/>
              <w:bottom w:val="single" w:sz="4" w:space="0" w:color="auto"/>
              <w:right w:val="nil"/>
            </w:tcBorders>
            <w:shd w:val="clear" w:color="auto" w:fill="auto"/>
            <w:noWrap/>
            <w:vAlign w:val="center"/>
            <w:hideMark/>
          </w:tcPr>
          <w:p w14:paraId="1078CFFC" w14:textId="77777777" w:rsidR="00D41D03" w:rsidRPr="00BC5198" w:rsidRDefault="00D41D03" w:rsidP="0065493C">
            <w:pPr>
              <w:spacing w:before="0" w:after="0" w:line="276" w:lineRule="auto"/>
              <w:rPr>
                <w:sz w:val="20"/>
                <w:szCs w:val="20"/>
              </w:rPr>
            </w:pPr>
            <w:r w:rsidRPr="00BC5198">
              <w:rPr>
                <w:sz w:val="20"/>
                <w:szCs w:val="20"/>
              </w:rPr>
              <w:t>56</w:t>
            </w:r>
          </w:p>
        </w:tc>
        <w:tc>
          <w:tcPr>
            <w:tcW w:w="0" w:type="auto"/>
            <w:tcBorders>
              <w:top w:val="nil"/>
              <w:left w:val="nil"/>
              <w:bottom w:val="single" w:sz="4" w:space="0" w:color="auto"/>
              <w:right w:val="single" w:sz="4" w:space="0" w:color="auto"/>
            </w:tcBorders>
            <w:shd w:val="clear" w:color="auto" w:fill="auto"/>
            <w:noWrap/>
            <w:vAlign w:val="center"/>
            <w:hideMark/>
          </w:tcPr>
          <w:p w14:paraId="05CFADD9" w14:textId="77777777" w:rsidR="00D41D03" w:rsidRPr="00BC5198" w:rsidRDefault="00D41D03" w:rsidP="0065493C">
            <w:pPr>
              <w:spacing w:before="0" w:after="0" w:line="276" w:lineRule="auto"/>
              <w:rPr>
                <w:sz w:val="20"/>
                <w:szCs w:val="20"/>
              </w:rPr>
            </w:pPr>
            <w:r w:rsidRPr="00BC5198">
              <w:rPr>
                <w:sz w:val="20"/>
                <w:szCs w:val="20"/>
              </w:rPr>
              <w:t>56</w:t>
            </w:r>
          </w:p>
        </w:tc>
      </w:tr>
      <w:tr w:rsidR="00D41D03" w:rsidRPr="00BC5198" w14:paraId="197FCAB6" w14:textId="77777777" w:rsidTr="00F658CE">
        <w:trPr>
          <w:trHeight w:val="20"/>
          <w:jc w:val="center"/>
        </w:trPr>
        <w:tc>
          <w:tcPr>
            <w:tcW w:w="0" w:type="auto"/>
            <w:vMerge w:val="restart"/>
            <w:tcBorders>
              <w:top w:val="nil"/>
              <w:left w:val="nil"/>
              <w:bottom w:val="single" w:sz="4" w:space="0" w:color="000000"/>
              <w:right w:val="nil"/>
            </w:tcBorders>
            <w:shd w:val="clear" w:color="auto" w:fill="auto"/>
            <w:vAlign w:val="center"/>
            <w:hideMark/>
          </w:tcPr>
          <w:p w14:paraId="26E89203"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Particulate Phosphorus (µM)</w:t>
            </w:r>
          </w:p>
        </w:tc>
        <w:tc>
          <w:tcPr>
            <w:tcW w:w="0" w:type="auto"/>
            <w:tcBorders>
              <w:top w:val="nil"/>
              <w:left w:val="nil"/>
              <w:bottom w:val="nil"/>
              <w:right w:val="nil"/>
            </w:tcBorders>
            <w:shd w:val="clear" w:color="auto" w:fill="auto"/>
            <w:noWrap/>
            <w:vAlign w:val="center"/>
            <w:hideMark/>
          </w:tcPr>
          <w:p w14:paraId="4336380F"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Min.</w:t>
            </w:r>
          </w:p>
        </w:tc>
        <w:tc>
          <w:tcPr>
            <w:tcW w:w="0" w:type="auto"/>
            <w:tcBorders>
              <w:top w:val="nil"/>
              <w:left w:val="nil"/>
              <w:bottom w:val="nil"/>
              <w:right w:val="nil"/>
            </w:tcBorders>
            <w:shd w:val="clear" w:color="auto" w:fill="auto"/>
            <w:noWrap/>
            <w:vAlign w:val="center"/>
            <w:hideMark/>
          </w:tcPr>
          <w:p w14:paraId="12116F6B" w14:textId="77777777" w:rsidR="00D41D03" w:rsidRPr="00BC5198" w:rsidRDefault="00D41D03" w:rsidP="0065493C">
            <w:pPr>
              <w:spacing w:before="0" w:after="0" w:line="276" w:lineRule="auto"/>
              <w:rPr>
                <w:sz w:val="20"/>
                <w:szCs w:val="20"/>
              </w:rPr>
            </w:pPr>
            <w:r w:rsidRPr="00BC5198">
              <w:rPr>
                <w:sz w:val="20"/>
                <w:szCs w:val="20"/>
              </w:rPr>
              <w:t>0.00</w:t>
            </w:r>
          </w:p>
        </w:tc>
        <w:tc>
          <w:tcPr>
            <w:tcW w:w="0" w:type="auto"/>
            <w:tcBorders>
              <w:top w:val="nil"/>
              <w:left w:val="nil"/>
              <w:bottom w:val="nil"/>
              <w:right w:val="single" w:sz="4" w:space="0" w:color="auto"/>
            </w:tcBorders>
            <w:shd w:val="clear" w:color="auto" w:fill="auto"/>
            <w:noWrap/>
            <w:vAlign w:val="center"/>
            <w:hideMark/>
          </w:tcPr>
          <w:p w14:paraId="41EC18CA" w14:textId="77777777" w:rsidR="00D41D03" w:rsidRPr="00BC5198" w:rsidRDefault="00D41D03" w:rsidP="0065493C">
            <w:pPr>
              <w:spacing w:before="0" w:after="0" w:line="276" w:lineRule="auto"/>
              <w:rPr>
                <w:sz w:val="20"/>
                <w:szCs w:val="20"/>
              </w:rPr>
            </w:pPr>
            <w:r w:rsidRPr="00BC5198">
              <w:rPr>
                <w:sz w:val="20"/>
                <w:szCs w:val="20"/>
              </w:rPr>
              <w:t>0.00</w:t>
            </w:r>
          </w:p>
        </w:tc>
      </w:tr>
      <w:tr w:rsidR="00D41D03" w:rsidRPr="00BC5198" w14:paraId="61CF4B44" w14:textId="77777777" w:rsidTr="00F658CE">
        <w:trPr>
          <w:trHeight w:val="20"/>
          <w:jc w:val="center"/>
        </w:trPr>
        <w:tc>
          <w:tcPr>
            <w:tcW w:w="0" w:type="auto"/>
            <w:vMerge/>
            <w:tcBorders>
              <w:top w:val="nil"/>
              <w:left w:val="nil"/>
              <w:bottom w:val="single" w:sz="4" w:space="0" w:color="000000"/>
              <w:right w:val="nil"/>
            </w:tcBorders>
            <w:vAlign w:val="center"/>
            <w:hideMark/>
          </w:tcPr>
          <w:p w14:paraId="56906CFA"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nil"/>
              <w:right w:val="nil"/>
            </w:tcBorders>
            <w:shd w:val="clear" w:color="auto" w:fill="auto"/>
            <w:noWrap/>
            <w:vAlign w:val="center"/>
            <w:hideMark/>
          </w:tcPr>
          <w:p w14:paraId="7DB189E2"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Max.</w:t>
            </w:r>
          </w:p>
        </w:tc>
        <w:tc>
          <w:tcPr>
            <w:tcW w:w="0" w:type="auto"/>
            <w:tcBorders>
              <w:top w:val="nil"/>
              <w:left w:val="nil"/>
              <w:bottom w:val="nil"/>
              <w:right w:val="nil"/>
            </w:tcBorders>
            <w:shd w:val="clear" w:color="auto" w:fill="auto"/>
            <w:noWrap/>
            <w:vAlign w:val="center"/>
            <w:hideMark/>
          </w:tcPr>
          <w:p w14:paraId="1F03A5DB" w14:textId="77777777" w:rsidR="00D41D03" w:rsidRPr="00BC5198" w:rsidRDefault="00D41D03" w:rsidP="0065493C">
            <w:pPr>
              <w:spacing w:before="0" w:after="0" w:line="276" w:lineRule="auto"/>
              <w:rPr>
                <w:sz w:val="20"/>
                <w:szCs w:val="20"/>
              </w:rPr>
            </w:pPr>
            <w:r w:rsidRPr="00BC5198">
              <w:rPr>
                <w:sz w:val="20"/>
                <w:szCs w:val="20"/>
              </w:rPr>
              <w:t>0.61</w:t>
            </w:r>
          </w:p>
        </w:tc>
        <w:tc>
          <w:tcPr>
            <w:tcW w:w="0" w:type="auto"/>
            <w:tcBorders>
              <w:top w:val="nil"/>
              <w:left w:val="nil"/>
              <w:bottom w:val="nil"/>
              <w:right w:val="single" w:sz="4" w:space="0" w:color="auto"/>
            </w:tcBorders>
            <w:shd w:val="clear" w:color="auto" w:fill="auto"/>
            <w:noWrap/>
            <w:vAlign w:val="center"/>
            <w:hideMark/>
          </w:tcPr>
          <w:p w14:paraId="69FE74AF" w14:textId="77777777" w:rsidR="00D41D03" w:rsidRPr="00BC5198" w:rsidRDefault="00D41D03" w:rsidP="0065493C">
            <w:pPr>
              <w:spacing w:before="0" w:after="0" w:line="276" w:lineRule="auto"/>
              <w:rPr>
                <w:sz w:val="20"/>
                <w:szCs w:val="20"/>
              </w:rPr>
            </w:pPr>
            <w:r w:rsidRPr="00BC5198">
              <w:rPr>
                <w:sz w:val="20"/>
                <w:szCs w:val="20"/>
              </w:rPr>
              <w:t>0.90</w:t>
            </w:r>
          </w:p>
        </w:tc>
      </w:tr>
      <w:tr w:rsidR="00D41D03" w:rsidRPr="00BC5198" w14:paraId="1CCB5C59" w14:textId="77777777" w:rsidTr="00F658CE">
        <w:trPr>
          <w:trHeight w:val="20"/>
          <w:jc w:val="center"/>
        </w:trPr>
        <w:tc>
          <w:tcPr>
            <w:tcW w:w="0" w:type="auto"/>
            <w:vMerge/>
            <w:tcBorders>
              <w:top w:val="nil"/>
              <w:left w:val="nil"/>
              <w:bottom w:val="single" w:sz="4" w:space="0" w:color="000000"/>
              <w:right w:val="nil"/>
            </w:tcBorders>
            <w:vAlign w:val="center"/>
            <w:hideMark/>
          </w:tcPr>
          <w:p w14:paraId="68876CE8"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nil"/>
              <w:right w:val="nil"/>
            </w:tcBorders>
            <w:shd w:val="clear" w:color="auto" w:fill="auto"/>
            <w:noWrap/>
            <w:vAlign w:val="center"/>
            <w:hideMark/>
          </w:tcPr>
          <w:p w14:paraId="2E69EE21"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Mean</w:t>
            </w:r>
          </w:p>
        </w:tc>
        <w:tc>
          <w:tcPr>
            <w:tcW w:w="0" w:type="auto"/>
            <w:tcBorders>
              <w:top w:val="nil"/>
              <w:left w:val="nil"/>
              <w:bottom w:val="nil"/>
              <w:right w:val="nil"/>
            </w:tcBorders>
            <w:shd w:val="clear" w:color="auto" w:fill="auto"/>
            <w:noWrap/>
            <w:vAlign w:val="center"/>
            <w:hideMark/>
          </w:tcPr>
          <w:p w14:paraId="30E12668" w14:textId="77777777" w:rsidR="00D41D03" w:rsidRPr="00BC5198" w:rsidRDefault="00D41D03" w:rsidP="0065493C">
            <w:pPr>
              <w:spacing w:before="0" w:after="0" w:line="276" w:lineRule="auto"/>
              <w:rPr>
                <w:sz w:val="20"/>
                <w:szCs w:val="20"/>
              </w:rPr>
            </w:pPr>
            <w:r w:rsidRPr="00BC5198">
              <w:rPr>
                <w:sz w:val="20"/>
                <w:szCs w:val="20"/>
              </w:rPr>
              <w:t>0.10</w:t>
            </w:r>
          </w:p>
        </w:tc>
        <w:tc>
          <w:tcPr>
            <w:tcW w:w="0" w:type="auto"/>
            <w:tcBorders>
              <w:top w:val="nil"/>
              <w:left w:val="nil"/>
              <w:bottom w:val="nil"/>
              <w:right w:val="single" w:sz="4" w:space="0" w:color="auto"/>
            </w:tcBorders>
            <w:shd w:val="clear" w:color="auto" w:fill="auto"/>
            <w:noWrap/>
            <w:vAlign w:val="center"/>
            <w:hideMark/>
          </w:tcPr>
          <w:p w14:paraId="488B2305" w14:textId="77777777" w:rsidR="00D41D03" w:rsidRPr="00BC5198" w:rsidRDefault="00D41D03" w:rsidP="0065493C">
            <w:pPr>
              <w:spacing w:before="0" w:after="0" w:line="276" w:lineRule="auto"/>
              <w:rPr>
                <w:sz w:val="20"/>
                <w:szCs w:val="20"/>
              </w:rPr>
            </w:pPr>
            <w:r w:rsidRPr="00BC5198">
              <w:rPr>
                <w:sz w:val="20"/>
                <w:szCs w:val="20"/>
              </w:rPr>
              <w:t>0.13</w:t>
            </w:r>
          </w:p>
        </w:tc>
      </w:tr>
      <w:tr w:rsidR="00D41D03" w:rsidRPr="00BC5198" w14:paraId="6D51C5F0" w14:textId="77777777" w:rsidTr="00F658CE">
        <w:trPr>
          <w:trHeight w:val="20"/>
          <w:jc w:val="center"/>
        </w:trPr>
        <w:tc>
          <w:tcPr>
            <w:tcW w:w="0" w:type="auto"/>
            <w:vMerge/>
            <w:tcBorders>
              <w:top w:val="nil"/>
              <w:left w:val="nil"/>
              <w:bottom w:val="single" w:sz="4" w:space="0" w:color="000000"/>
              <w:right w:val="nil"/>
            </w:tcBorders>
            <w:vAlign w:val="center"/>
            <w:hideMark/>
          </w:tcPr>
          <w:p w14:paraId="40A27A87"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nil"/>
              <w:right w:val="nil"/>
            </w:tcBorders>
            <w:shd w:val="clear" w:color="auto" w:fill="auto"/>
            <w:noWrap/>
            <w:vAlign w:val="center"/>
            <w:hideMark/>
          </w:tcPr>
          <w:p w14:paraId="34436FB9"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SD</w:t>
            </w:r>
          </w:p>
        </w:tc>
        <w:tc>
          <w:tcPr>
            <w:tcW w:w="0" w:type="auto"/>
            <w:tcBorders>
              <w:top w:val="nil"/>
              <w:left w:val="nil"/>
              <w:bottom w:val="nil"/>
              <w:right w:val="nil"/>
            </w:tcBorders>
            <w:shd w:val="clear" w:color="auto" w:fill="auto"/>
            <w:noWrap/>
            <w:vAlign w:val="center"/>
            <w:hideMark/>
          </w:tcPr>
          <w:p w14:paraId="1A21EE84" w14:textId="77777777" w:rsidR="00D41D03" w:rsidRPr="00BC5198" w:rsidRDefault="00D41D03" w:rsidP="0065493C">
            <w:pPr>
              <w:spacing w:before="0" w:after="0" w:line="276" w:lineRule="auto"/>
              <w:rPr>
                <w:sz w:val="20"/>
                <w:szCs w:val="20"/>
              </w:rPr>
            </w:pPr>
            <w:r w:rsidRPr="00BC5198">
              <w:rPr>
                <w:sz w:val="20"/>
                <w:szCs w:val="20"/>
              </w:rPr>
              <w:t>0.13</w:t>
            </w:r>
          </w:p>
        </w:tc>
        <w:tc>
          <w:tcPr>
            <w:tcW w:w="0" w:type="auto"/>
            <w:tcBorders>
              <w:top w:val="nil"/>
              <w:left w:val="nil"/>
              <w:bottom w:val="nil"/>
              <w:right w:val="single" w:sz="4" w:space="0" w:color="auto"/>
            </w:tcBorders>
            <w:shd w:val="clear" w:color="auto" w:fill="auto"/>
            <w:noWrap/>
            <w:vAlign w:val="center"/>
            <w:hideMark/>
          </w:tcPr>
          <w:p w14:paraId="22C7FD6B" w14:textId="77777777" w:rsidR="00D41D03" w:rsidRPr="00BC5198" w:rsidRDefault="00D41D03" w:rsidP="0065493C">
            <w:pPr>
              <w:spacing w:before="0" w:after="0" w:line="276" w:lineRule="auto"/>
              <w:rPr>
                <w:sz w:val="20"/>
                <w:szCs w:val="20"/>
              </w:rPr>
            </w:pPr>
            <w:r w:rsidRPr="00BC5198">
              <w:rPr>
                <w:sz w:val="20"/>
                <w:szCs w:val="20"/>
              </w:rPr>
              <w:t>0.17</w:t>
            </w:r>
          </w:p>
        </w:tc>
      </w:tr>
      <w:tr w:rsidR="00D41D03" w:rsidRPr="00BC5198" w14:paraId="7A36AEA9" w14:textId="77777777" w:rsidTr="00F658CE">
        <w:trPr>
          <w:trHeight w:val="20"/>
          <w:jc w:val="center"/>
        </w:trPr>
        <w:tc>
          <w:tcPr>
            <w:tcW w:w="0" w:type="auto"/>
            <w:vMerge/>
            <w:tcBorders>
              <w:top w:val="nil"/>
              <w:left w:val="nil"/>
              <w:bottom w:val="single" w:sz="4" w:space="0" w:color="000000"/>
              <w:right w:val="nil"/>
            </w:tcBorders>
            <w:vAlign w:val="center"/>
            <w:hideMark/>
          </w:tcPr>
          <w:p w14:paraId="752380BF"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single" w:sz="4" w:space="0" w:color="auto"/>
              <w:right w:val="nil"/>
            </w:tcBorders>
            <w:shd w:val="clear" w:color="auto" w:fill="auto"/>
            <w:noWrap/>
            <w:vAlign w:val="center"/>
            <w:hideMark/>
          </w:tcPr>
          <w:p w14:paraId="6E0F0343"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Count</w:t>
            </w:r>
          </w:p>
        </w:tc>
        <w:tc>
          <w:tcPr>
            <w:tcW w:w="0" w:type="auto"/>
            <w:tcBorders>
              <w:top w:val="nil"/>
              <w:left w:val="nil"/>
              <w:bottom w:val="single" w:sz="4" w:space="0" w:color="auto"/>
              <w:right w:val="nil"/>
            </w:tcBorders>
            <w:shd w:val="clear" w:color="auto" w:fill="auto"/>
            <w:noWrap/>
            <w:vAlign w:val="center"/>
            <w:hideMark/>
          </w:tcPr>
          <w:p w14:paraId="50FD267D" w14:textId="77777777" w:rsidR="00D41D03" w:rsidRPr="00BC5198" w:rsidRDefault="00D41D03" w:rsidP="0065493C">
            <w:pPr>
              <w:spacing w:before="0" w:after="0" w:line="276" w:lineRule="auto"/>
              <w:rPr>
                <w:sz w:val="20"/>
                <w:szCs w:val="20"/>
              </w:rPr>
            </w:pPr>
            <w:r w:rsidRPr="00BC5198">
              <w:rPr>
                <w:sz w:val="20"/>
                <w:szCs w:val="20"/>
              </w:rPr>
              <w:t>59</w:t>
            </w:r>
          </w:p>
        </w:tc>
        <w:tc>
          <w:tcPr>
            <w:tcW w:w="0" w:type="auto"/>
            <w:tcBorders>
              <w:top w:val="nil"/>
              <w:left w:val="nil"/>
              <w:bottom w:val="single" w:sz="4" w:space="0" w:color="auto"/>
              <w:right w:val="single" w:sz="4" w:space="0" w:color="auto"/>
            </w:tcBorders>
            <w:shd w:val="clear" w:color="auto" w:fill="auto"/>
            <w:noWrap/>
            <w:vAlign w:val="center"/>
            <w:hideMark/>
          </w:tcPr>
          <w:p w14:paraId="1ABA5AB6" w14:textId="77777777" w:rsidR="00D41D03" w:rsidRPr="00BC5198" w:rsidRDefault="00D41D03" w:rsidP="0065493C">
            <w:pPr>
              <w:spacing w:before="0" w:after="0" w:line="276" w:lineRule="auto"/>
              <w:rPr>
                <w:sz w:val="20"/>
                <w:szCs w:val="20"/>
              </w:rPr>
            </w:pPr>
            <w:r w:rsidRPr="00BC5198">
              <w:rPr>
                <w:sz w:val="20"/>
                <w:szCs w:val="20"/>
              </w:rPr>
              <w:t>57</w:t>
            </w:r>
          </w:p>
        </w:tc>
      </w:tr>
      <w:tr w:rsidR="00D41D03" w:rsidRPr="00BC5198" w14:paraId="7CF97816" w14:textId="77777777" w:rsidTr="00F658CE">
        <w:trPr>
          <w:trHeight w:val="20"/>
          <w:jc w:val="center"/>
        </w:trPr>
        <w:tc>
          <w:tcPr>
            <w:tcW w:w="0" w:type="auto"/>
            <w:vMerge w:val="restart"/>
            <w:tcBorders>
              <w:top w:val="nil"/>
              <w:left w:val="nil"/>
              <w:bottom w:val="single" w:sz="4" w:space="0" w:color="000000"/>
              <w:right w:val="nil"/>
            </w:tcBorders>
            <w:shd w:val="clear" w:color="auto" w:fill="auto"/>
            <w:vAlign w:val="center"/>
            <w:hideMark/>
          </w:tcPr>
          <w:p w14:paraId="1ED79297"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Silica (µM)</w:t>
            </w:r>
          </w:p>
        </w:tc>
        <w:tc>
          <w:tcPr>
            <w:tcW w:w="0" w:type="auto"/>
            <w:tcBorders>
              <w:top w:val="nil"/>
              <w:left w:val="nil"/>
              <w:bottom w:val="nil"/>
              <w:right w:val="nil"/>
            </w:tcBorders>
            <w:shd w:val="clear" w:color="auto" w:fill="auto"/>
            <w:noWrap/>
            <w:vAlign w:val="center"/>
            <w:hideMark/>
          </w:tcPr>
          <w:p w14:paraId="4F1F74CF"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Min.</w:t>
            </w:r>
          </w:p>
        </w:tc>
        <w:tc>
          <w:tcPr>
            <w:tcW w:w="0" w:type="auto"/>
            <w:tcBorders>
              <w:top w:val="nil"/>
              <w:left w:val="nil"/>
              <w:bottom w:val="nil"/>
              <w:right w:val="nil"/>
            </w:tcBorders>
            <w:shd w:val="clear" w:color="auto" w:fill="auto"/>
            <w:noWrap/>
            <w:vAlign w:val="center"/>
            <w:hideMark/>
          </w:tcPr>
          <w:p w14:paraId="04D10DC2" w14:textId="77777777" w:rsidR="00D41D03" w:rsidRPr="00BC5198" w:rsidRDefault="00D41D03" w:rsidP="0065493C">
            <w:pPr>
              <w:spacing w:before="0" w:after="0" w:line="276" w:lineRule="auto"/>
              <w:rPr>
                <w:sz w:val="20"/>
                <w:szCs w:val="20"/>
              </w:rPr>
            </w:pPr>
            <w:r w:rsidRPr="00BC5198">
              <w:rPr>
                <w:sz w:val="20"/>
                <w:szCs w:val="20"/>
              </w:rPr>
              <w:t>1.71</w:t>
            </w:r>
          </w:p>
        </w:tc>
        <w:tc>
          <w:tcPr>
            <w:tcW w:w="0" w:type="auto"/>
            <w:tcBorders>
              <w:top w:val="nil"/>
              <w:left w:val="nil"/>
              <w:bottom w:val="nil"/>
              <w:right w:val="single" w:sz="4" w:space="0" w:color="auto"/>
            </w:tcBorders>
            <w:shd w:val="clear" w:color="auto" w:fill="auto"/>
            <w:noWrap/>
            <w:vAlign w:val="center"/>
            <w:hideMark/>
          </w:tcPr>
          <w:p w14:paraId="630975CF" w14:textId="77777777" w:rsidR="00D41D03" w:rsidRPr="00BC5198" w:rsidRDefault="00D41D03" w:rsidP="0065493C">
            <w:pPr>
              <w:spacing w:before="0" w:after="0" w:line="276" w:lineRule="auto"/>
              <w:rPr>
                <w:sz w:val="20"/>
                <w:szCs w:val="20"/>
              </w:rPr>
            </w:pPr>
            <w:r w:rsidRPr="00BC5198">
              <w:rPr>
                <w:sz w:val="20"/>
                <w:szCs w:val="20"/>
              </w:rPr>
              <w:t>1.24</w:t>
            </w:r>
          </w:p>
        </w:tc>
      </w:tr>
      <w:tr w:rsidR="00D41D03" w:rsidRPr="00BC5198" w14:paraId="4F136B6F" w14:textId="77777777" w:rsidTr="00F658CE">
        <w:trPr>
          <w:trHeight w:val="20"/>
          <w:jc w:val="center"/>
        </w:trPr>
        <w:tc>
          <w:tcPr>
            <w:tcW w:w="0" w:type="auto"/>
            <w:vMerge/>
            <w:tcBorders>
              <w:top w:val="nil"/>
              <w:left w:val="nil"/>
              <w:bottom w:val="single" w:sz="4" w:space="0" w:color="000000"/>
              <w:right w:val="nil"/>
            </w:tcBorders>
            <w:vAlign w:val="center"/>
            <w:hideMark/>
          </w:tcPr>
          <w:p w14:paraId="0980E7CB"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nil"/>
              <w:right w:val="nil"/>
            </w:tcBorders>
            <w:shd w:val="clear" w:color="auto" w:fill="auto"/>
            <w:noWrap/>
            <w:vAlign w:val="center"/>
            <w:hideMark/>
          </w:tcPr>
          <w:p w14:paraId="31491DB4"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Max.</w:t>
            </w:r>
          </w:p>
        </w:tc>
        <w:tc>
          <w:tcPr>
            <w:tcW w:w="0" w:type="auto"/>
            <w:tcBorders>
              <w:top w:val="nil"/>
              <w:left w:val="nil"/>
              <w:bottom w:val="nil"/>
              <w:right w:val="nil"/>
            </w:tcBorders>
            <w:shd w:val="clear" w:color="auto" w:fill="auto"/>
            <w:noWrap/>
            <w:vAlign w:val="center"/>
            <w:hideMark/>
          </w:tcPr>
          <w:p w14:paraId="5D055CC1" w14:textId="77777777" w:rsidR="00D41D03" w:rsidRPr="00BC5198" w:rsidRDefault="00D41D03" w:rsidP="0065493C">
            <w:pPr>
              <w:spacing w:before="0" w:after="0" w:line="276" w:lineRule="auto"/>
              <w:rPr>
                <w:sz w:val="20"/>
                <w:szCs w:val="20"/>
              </w:rPr>
            </w:pPr>
            <w:r w:rsidRPr="00BC5198">
              <w:rPr>
                <w:sz w:val="20"/>
                <w:szCs w:val="20"/>
              </w:rPr>
              <w:t>177.95</w:t>
            </w:r>
          </w:p>
        </w:tc>
        <w:tc>
          <w:tcPr>
            <w:tcW w:w="0" w:type="auto"/>
            <w:tcBorders>
              <w:top w:val="nil"/>
              <w:left w:val="nil"/>
              <w:bottom w:val="nil"/>
              <w:right w:val="single" w:sz="4" w:space="0" w:color="auto"/>
            </w:tcBorders>
            <w:shd w:val="clear" w:color="auto" w:fill="auto"/>
            <w:noWrap/>
            <w:vAlign w:val="center"/>
            <w:hideMark/>
          </w:tcPr>
          <w:p w14:paraId="31C43434" w14:textId="77777777" w:rsidR="00D41D03" w:rsidRPr="00BC5198" w:rsidRDefault="00D41D03" w:rsidP="0065493C">
            <w:pPr>
              <w:spacing w:before="0" w:after="0" w:line="276" w:lineRule="auto"/>
              <w:rPr>
                <w:sz w:val="20"/>
                <w:szCs w:val="20"/>
              </w:rPr>
            </w:pPr>
            <w:r w:rsidRPr="00BC5198">
              <w:rPr>
                <w:sz w:val="20"/>
                <w:szCs w:val="20"/>
              </w:rPr>
              <w:t>154.56</w:t>
            </w:r>
          </w:p>
        </w:tc>
      </w:tr>
      <w:tr w:rsidR="00D41D03" w:rsidRPr="00BC5198" w14:paraId="40C4ADB5" w14:textId="77777777" w:rsidTr="00F658CE">
        <w:trPr>
          <w:trHeight w:val="20"/>
          <w:jc w:val="center"/>
        </w:trPr>
        <w:tc>
          <w:tcPr>
            <w:tcW w:w="0" w:type="auto"/>
            <w:vMerge/>
            <w:tcBorders>
              <w:top w:val="nil"/>
              <w:left w:val="nil"/>
              <w:bottom w:val="single" w:sz="4" w:space="0" w:color="000000"/>
              <w:right w:val="nil"/>
            </w:tcBorders>
            <w:vAlign w:val="center"/>
            <w:hideMark/>
          </w:tcPr>
          <w:p w14:paraId="370D522C"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nil"/>
              <w:right w:val="nil"/>
            </w:tcBorders>
            <w:shd w:val="clear" w:color="auto" w:fill="auto"/>
            <w:noWrap/>
            <w:vAlign w:val="center"/>
            <w:hideMark/>
          </w:tcPr>
          <w:p w14:paraId="15163B74"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Mean</w:t>
            </w:r>
          </w:p>
        </w:tc>
        <w:tc>
          <w:tcPr>
            <w:tcW w:w="0" w:type="auto"/>
            <w:tcBorders>
              <w:top w:val="nil"/>
              <w:left w:val="nil"/>
              <w:bottom w:val="nil"/>
              <w:right w:val="nil"/>
            </w:tcBorders>
            <w:shd w:val="clear" w:color="auto" w:fill="auto"/>
            <w:noWrap/>
            <w:vAlign w:val="center"/>
            <w:hideMark/>
          </w:tcPr>
          <w:p w14:paraId="10F37FF9" w14:textId="77777777" w:rsidR="00D41D03" w:rsidRPr="00BC5198" w:rsidRDefault="00D41D03" w:rsidP="0065493C">
            <w:pPr>
              <w:spacing w:before="0" w:after="0" w:line="276" w:lineRule="auto"/>
              <w:rPr>
                <w:sz w:val="20"/>
                <w:szCs w:val="20"/>
              </w:rPr>
            </w:pPr>
            <w:r w:rsidRPr="00BC5198">
              <w:rPr>
                <w:sz w:val="20"/>
                <w:szCs w:val="20"/>
              </w:rPr>
              <w:t>31.18</w:t>
            </w:r>
          </w:p>
        </w:tc>
        <w:tc>
          <w:tcPr>
            <w:tcW w:w="0" w:type="auto"/>
            <w:tcBorders>
              <w:top w:val="nil"/>
              <w:left w:val="nil"/>
              <w:bottom w:val="nil"/>
              <w:right w:val="single" w:sz="4" w:space="0" w:color="auto"/>
            </w:tcBorders>
            <w:shd w:val="clear" w:color="auto" w:fill="auto"/>
            <w:noWrap/>
            <w:vAlign w:val="center"/>
            <w:hideMark/>
          </w:tcPr>
          <w:p w14:paraId="68813B16" w14:textId="77777777" w:rsidR="00D41D03" w:rsidRPr="00BC5198" w:rsidRDefault="00D41D03" w:rsidP="0065493C">
            <w:pPr>
              <w:spacing w:before="0" w:after="0" w:line="276" w:lineRule="auto"/>
              <w:rPr>
                <w:sz w:val="20"/>
                <w:szCs w:val="20"/>
              </w:rPr>
            </w:pPr>
            <w:r w:rsidRPr="00BC5198">
              <w:rPr>
                <w:sz w:val="20"/>
                <w:szCs w:val="20"/>
              </w:rPr>
              <w:t>19.14</w:t>
            </w:r>
          </w:p>
        </w:tc>
      </w:tr>
      <w:tr w:rsidR="00D41D03" w:rsidRPr="00BC5198" w14:paraId="530AEF22" w14:textId="77777777" w:rsidTr="00F658CE">
        <w:trPr>
          <w:trHeight w:val="20"/>
          <w:jc w:val="center"/>
        </w:trPr>
        <w:tc>
          <w:tcPr>
            <w:tcW w:w="0" w:type="auto"/>
            <w:vMerge/>
            <w:tcBorders>
              <w:top w:val="nil"/>
              <w:left w:val="nil"/>
              <w:bottom w:val="single" w:sz="4" w:space="0" w:color="000000"/>
              <w:right w:val="nil"/>
            </w:tcBorders>
            <w:vAlign w:val="center"/>
            <w:hideMark/>
          </w:tcPr>
          <w:p w14:paraId="5448D61D"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nil"/>
              <w:right w:val="nil"/>
            </w:tcBorders>
            <w:shd w:val="clear" w:color="auto" w:fill="auto"/>
            <w:noWrap/>
            <w:vAlign w:val="center"/>
            <w:hideMark/>
          </w:tcPr>
          <w:p w14:paraId="094AFCD1"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SD</w:t>
            </w:r>
          </w:p>
        </w:tc>
        <w:tc>
          <w:tcPr>
            <w:tcW w:w="0" w:type="auto"/>
            <w:tcBorders>
              <w:top w:val="nil"/>
              <w:left w:val="nil"/>
              <w:bottom w:val="nil"/>
              <w:right w:val="nil"/>
            </w:tcBorders>
            <w:shd w:val="clear" w:color="auto" w:fill="auto"/>
            <w:noWrap/>
            <w:vAlign w:val="center"/>
            <w:hideMark/>
          </w:tcPr>
          <w:p w14:paraId="1CD18F15" w14:textId="77777777" w:rsidR="00D41D03" w:rsidRPr="00BC5198" w:rsidRDefault="00D41D03" w:rsidP="0065493C">
            <w:pPr>
              <w:spacing w:before="0" w:after="0" w:line="276" w:lineRule="auto"/>
              <w:rPr>
                <w:sz w:val="20"/>
                <w:szCs w:val="20"/>
              </w:rPr>
            </w:pPr>
            <w:r w:rsidRPr="00BC5198">
              <w:rPr>
                <w:sz w:val="20"/>
                <w:szCs w:val="20"/>
              </w:rPr>
              <w:t>44.16</w:t>
            </w:r>
          </w:p>
        </w:tc>
        <w:tc>
          <w:tcPr>
            <w:tcW w:w="0" w:type="auto"/>
            <w:tcBorders>
              <w:top w:val="nil"/>
              <w:left w:val="nil"/>
              <w:bottom w:val="nil"/>
              <w:right w:val="single" w:sz="4" w:space="0" w:color="auto"/>
            </w:tcBorders>
            <w:shd w:val="clear" w:color="auto" w:fill="auto"/>
            <w:noWrap/>
            <w:vAlign w:val="center"/>
            <w:hideMark/>
          </w:tcPr>
          <w:p w14:paraId="2E6AD21A" w14:textId="77777777" w:rsidR="00D41D03" w:rsidRPr="00BC5198" w:rsidRDefault="00D41D03" w:rsidP="0065493C">
            <w:pPr>
              <w:spacing w:before="0" w:after="0" w:line="276" w:lineRule="auto"/>
              <w:rPr>
                <w:sz w:val="20"/>
                <w:szCs w:val="20"/>
              </w:rPr>
            </w:pPr>
            <w:r w:rsidRPr="00BC5198">
              <w:rPr>
                <w:sz w:val="20"/>
                <w:szCs w:val="20"/>
              </w:rPr>
              <w:t>33.63</w:t>
            </w:r>
          </w:p>
        </w:tc>
      </w:tr>
      <w:tr w:rsidR="00D41D03" w:rsidRPr="00BC5198" w14:paraId="7E99F33C" w14:textId="77777777" w:rsidTr="00F658CE">
        <w:trPr>
          <w:trHeight w:val="20"/>
          <w:jc w:val="center"/>
        </w:trPr>
        <w:tc>
          <w:tcPr>
            <w:tcW w:w="0" w:type="auto"/>
            <w:vMerge/>
            <w:tcBorders>
              <w:top w:val="nil"/>
              <w:left w:val="nil"/>
              <w:bottom w:val="single" w:sz="4" w:space="0" w:color="000000"/>
              <w:right w:val="nil"/>
            </w:tcBorders>
            <w:vAlign w:val="center"/>
            <w:hideMark/>
          </w:tcPr>
          <w:p w14:paraId="6584D453" w14:textId="77777777" w:rsidR="00D41D03" w:rsidRPr="00BC5198" w:rsidRDefault="00D41D03" w:rsidP="0065493C">
            <w:pPr>
              <w:spacing w:before="0" w:after="0" w:line="276" w:lineRule="auto"/>
              <w:rPr>
                <w:rStyle w:val="BookTitle"/>
                <w:rFonts w:asciiTheme="minorHAnsi" w:hAnsiTheme="minorHAnsi"/>
              </w:rPr>
            </w:pPr>
          </w:p>
        </w:tc>
        <w:tc>
          <w:tcPr>
            <w:tcW w:w="0" w:type="auto"/>
            <w:tcBorders>
              <w:top w:val="nil"/>
              <w:left w:val="nil"/>
              <w:bottom w:val="single" w:sz="4" w:space="0" w:color="auto"/>
              <w:right w:val="nil"/>
            </w:tcBorders>
            <w:shd w:val="clear" w:color="auto" w:fill="auto"/>
            <w:noWrap/>
            <w:vAlign w:val="center"/>
            <w:hideMark/>
          </w:tcPr>
          <w:p w14:paraId="33D2605A" w14:textId="77777777" w:rsidR="00D41D03" w:rsidRPr="00BC5198" w:rsidRDefault="00D41D03" w:rsidP="0065493C">
            <w:pPr>
              <w:spacing w:before="0" w:after="0" w:line="276" w:lineRule="auto"/>
              <w:rPr>
                <w:rStyle w:val="BookTitle"/>
                <w:rFonts w:asciiTheme="minorHAnsi" w:hAnsiTheme="minorHAnsi"/>
              </w:rPr>
            </w:pPr>
            <w:r w:rsidRPr="00BC5198">
              <w:rPr>
                <w:rStyle w:val="BookTitle"/>
                <w:rFonts w:asciiTheme="minorHAnsi" w:hAnsiTheme="minorHAnsi"/>
              </w:rPr>
              <w:t>Count</w:t>
            </w:r>
          </w:p>
        </w:tc>
        <w:tc>
          <w:tcPr>
            <w:tcW w:w="0" w:type="auto"/>
            <w:tcBorders>
              <w:top w:val="nil"/>
              <w:left w:val="nil"/>
              <w:bottom w:val="single" w:sz="4" w:space="0" w:color="auto"/>
              <w:right w:val="nil"/>
            </w:tcBorders>
            <w:shd w:val="clear" w:color="auto" w:fill="auto"/>
            <w:noWrap/>
            <w:vAlign w:val="center"/>
            <w:hideMark/>
          </w:tcPr>
          <w:p w14:paraId="28C71B43" w14:textId="77777777" w:rsidR="00D41D03" w:rsidRPr="00BC5198" w:rsidRDefault="00D41D03" w:rsidP="0065493C">
            <w:pPr>
              <w:spacing w:before="0" w:after="0" w:line="276" w:lineRule="auto"/>
              <w:rPr>
                <w:sz w:val="20"/>
                <w:szCs w:val="20"/>
              </w:rPr>
            </w:pPr>
            <w:r w:rsidRPr="00BC5198">
              <w:rPr>
                <w:sz w:val="20"/>
                <w:szCs w:val="20"/>
              </w:rPr>
              <w:t>49</w:t>
            </w:r>
          </w:p>
        </w:tc>
        <w:tc>
          <w:tcPr>
            <w:tcW w:w="0" w:type="auto"/>
            <w:tcBorders>
              <w:top w:val="nil"/>
              <w:left w:val="nil"/>
              <w:bottom w:val="single" w:sz="4" w:space="0" w:color="auto"/>
              <w:right w:val="single" w:sz="4" w:space="0" w:color="auto"/>
            </w:tcBorders>
            <w:shd w:val="clear" w:color="auto" w:fill="auto"/>
            <w:noWrap/>
            <w:vAlign w:val="center"/>
            <w:hideMark/>
          </w:tcPr>
          <w:p w14:paraId="796DA683" w14:textId="77777777" w:rsidR="00D41D03" w:rsidRPr="00BC5198" w:rsidRDefault="00D41D03" w:rsidP="0065493C">
            <w:pPr>
              <w:spacing w:before="0" w:after="0" w:line="276" w:lineRule="auto"/>
              <w:rPr>
                <w:sz w:val="20"/>
                <w:szCs w:val="20"/>
              </w:rPr>
            </w:pPr>
            <w:r w:rsidRPr="00BC5198">
              <w:rPr>
                <w:sz w:val="20"/>
                <w:szCs w:val="20"/>
              </w:rPr>
              <w:t>49</w:t>
            </w:r>
          </w:p>
        </w:tc>
      </w:tr>
    </w:tbl>
    <w:p w14:paraId="73154A8B" w14:textId="77777777" w:rsidR="00E77510" w:rsidRDefault="00E77510" w:rsidP="009D74F9"/>
    <w:p w14:paraId="12D9992E" w14:textId="77777777" w:rsidR="009D74F9" w:rsidRPr="00533D6A" w:rsidRDefault="002854A3" w:rsidP="009D74F9">
      <w:r w:rsidRPr="00533D6A">
        <w:t>It is difficult to compare and contrast data across one sampling period in wet season conditions due to the high variability of the water quality data</w:t>
      </w:r>
      <w:r w:rsidR="00A26858" w:rsidRPr="00533D6A">
        <w:t xml:space="preserve"> in response to river flow and prevailing weather conditions</w:t>
      </w:r>
      <w:r w:rsidRPr="00533D6A">
        <w:t xml:space="preserve">. </w:t>
      </w:r>
      <w:r w:rsidR="009D74F9" w:rsidRPr="00533D6A">
        <w:t xml:space="preserve">The concentrations of water quality </w:t>
      </w:r>
      <w:r w:rsidR="002827F5" w:rsidRPr="00533D6A">
        <w:t>parameters</w:t>
      </w:r>
      <w:r w:rsidR="009D74F9" w:rsidRPr="00533D6A">
        <w:t xml:space="preserve"> in plumes are directly related to the degree of mixing between the fresh and salt water. </w:t>
      </w:r>
      <w:r w:rsidR="00A26858" w:rsidRPr="00533D6A">
        <w:t xml:space="preserve">If the </w:t>
      </w:r>
      <w:r w:rsidR="009D74F9" w:rsidRPr="00533D6A">
        <w:t>changes in concentration result only from the dilution associated with mixing, the constituents are said to behave conservatively</w:t>
      </w:r>
      <w:r w:rsidR="00A26858" w:rsidRPr="00533D6A">
        <w:t>. O</w:t>
      </w:r>
      <w:r w:rsidR="009D74F9" w:rsidRPr="00533D6A">
        <w:t xml:space="preserve">ne of the most useful techniques available for interpreting mixing processes is to examine whether data is consistent with conservative behaviour. This is undertaken by testing the linearity of the relationship between the concentration of the water quality parameter and an index of conservative mixing. In applying this technique, salinity is usually used as an index of conservative mixing (Devlin et al., 2001). </w:t>
      </w:r>
      <w:r w:rsidR="00A26858" w:rsidRPr="00533D6A">
        <w:t>Salinity m</w:t>
      </w:r>
      <w:r w:rsidR="001B7270" w:rsidRPr="00533D6A">
        <w:t>ixing plots for</w:t>
      </w:r>
      <w:r w:rsidR="001D6FE0">
        <w:t xml:space="preserve"> the data </w:t>
      </w:r>
      <w:r w:rsidR="001D6FE0" w:rsidRPr="00533D6A">
        <w:t>collected in the 201</w:t>
      </w:r>
      <w:r w:rsidR="001D6FE0">
        <w:t>3</w:t>
      </w:r>
      <w:r w:rsidR="001D6FE0" w:rsidRPr="00533D6A">
        <w:t>-201</w:t>
      </w:r>
      <w:r w:rsidR="001D6FE0">
        <w:t>4</w:t>
      </w:r>
      <w:r w:rsidR="001D6FE0" w:rsidRPr="00533D6A">
        <w:t xml:space="preserve"> wet season</w:t>
      </w:r>
      <w:r w:rsidR="001B7270" w:rsidRPr="00533D6A">
        <w:t xml:space="preserve"> </w:t>
      </w:r>
      <w:r w:rsidR="001D6FE0">
        <w:t xml:space="preserve">at the </w:t>
      </w:r>
      <w:r w:rsidR="001B7270" w:rsidRPr="00533D6A">
        <w:t>Tully</w:t>
      </w:r>
      <w:r w:rsidR="001D6FE0">
        <w:t xml:space="preserve"> and Russell-Mulgrave sites (two sampled rivers </w:t>
      </w:r>
      <w:r w:rsidR="001D6FE0" w:rsidRPr="00533D6A">
        <w:t>with sufficient sampling points</w:t>
      </w:r>
      <w:r w:rsidR="001D6FE0">
        <w:t xml:space="preserve">) at each sampling event </w:t>
      </w:r>
      <w:r w:rsidR="001B7270" w:rsidRPr="00533D6A">
        <w:t xml:space="preserve">are presented for DIN (Figure </w:t>
      </w:r>
      <w:r w:rsidR="00F81A7B" w:rsidRPr="00533D6A">
        <w:t>4-</w:t>
      </w:r>
      <w:r w:rsidR="00BC5198">
        <w:t>5a), DIP</w:t>
      </w:r>
      <w:r w:rsidR="001B7270" w:rsidRPr="00533D6A">
        <w:t xml:space="preserve"> (Figure </w:t>
      </w:r>
      <w:r w:rsidR="00F81A7B" w:rsidRPr="00533D6A">
        <w:t>4-</w:t>
      </w:r>
      <w:r w:rsidR="00BC5198">
        <w:t>5</w:t>
      </w:r>
      <w:r w:rsidR="001B7270" w:rsidRPr="00533D6A">
        <w:t xml:space="preserve">b), </w:t>
      </w:r>
      <w:r w:rsidR="00362A9F" w:rsidRPr="00533D6A">
        <w:t>Kd(PAR)</w:t>
      </w:r>
      <w:r w:rsidR="001B7270" w:rsidRPr="00533D6A">
        <w:t xml:space="preserve"> (Figure </w:t>
      </w:r>
      <w:r w:rsidR="00F81A7B" w:rsidRPr="00533D6A">
        <w:t>4-</w:t>
      </w:r>
      <w:r w:rsidR="00BC5198">
        <w:t>5</w:t>
      </w:r>
      <w:r w:rsidR="001B7270" w:rsidRPr="00533D6A">
        <w:t xml:space="preserve">c), TSS (Figure </w:t>
      </w:r>
      <w:r w:rsidR="00F81A7B" w:rsidRPr="00533D6A">
        <w:t>4-</w:t>
      </w:r>
      <w:r w:rsidR="00BC5198">
        <w:t>5</w:t>
      </w:r>
      <w:r w:rsidR="001B7270" w:rsidRPr="00533D6A">
        <w:t>d)</w:t>
      </w:r>
      <w:r w:rsidR="002210C7" w:rsidRPr="00533D6A">
        <w:t xml:space="preserve">, </w:t>
      </w:r>
      <w:r w:rsidR="009919D4">
        <w:t>C</w:t>
      </w:r>
      <w:r w:rsidR="00362A9F" w:rsidRPr="00533D6A">
        <w:t>hl</w:t>
      </w:r>
      <w:r w:rsidR="002210C7" w:rsidRPr="00533D6A">
        <w:t xml:space="preserve">-a (Figure </w:t>
      </w:r>
      <w:r w:rsidR="00F81A7B" w:rsidRPr="00533D6A">
        <w:t>4-</w:t>
      </w:r>
      <w:r w:rsidR="00BC5198">
        <w:t>5</w:t>
      </w:r>
      <w:r w:rsidR="002210C7" w:rsidRPr="00533D6A">
        <w:t xml:space="preserve">e) and CDOM (Figure </w:t>
      </w:r>
      <w:r w:rsidR="00F81A7B" w:rsidRPr="00533D6A">
        <w:t>4-</w:t>
      </w:r>
      <w:r w:rsidR="00BC5198">
        <w:t>5</w:t>
      </w:r>
      <w:r w:rsidR="002210C7" w:rsidRPr="00533D6A">
        <w:t>f).</w:t>
      </w:r>
    </w:p>
    <w:p w14:paraId="40D635BB" w14:textId="77777777" w:rsidR="009919D4" w:rsidRDefault="009919D4" w:rsidP="009919D4">
      <w:r w:rsidRPr="00533D6A">
        <w:t>Tully and Russell-Mulgrave exhibited some typical mixing plots with reduction of WQ parameters as moving away from the source (i.e., river mouth). Clearer patterns were always observed for WQ parameters when sites were sampled after some peak discharge. Examples are the DIN and DIP concentrations that generally follow a conservative mixing process, diluting in a linear pattern in relation to the salinity concentrations (Figs. 4-4a, 4-4b). Source and end concentrations are variable between catchment and as a result, there are different slopes to the lines in relation to catchment</w:t>
      </w:r>
      <w:r w:rsidRPr="009B1FE8">
        <w:t>.</w:t>
      </w:r>
    </w:p>
    <w:p w14:paraId="74D80D5D" w14:textId="77777777" w:rsidR="009919D4" w:rsidRDefault="009919D4" w:rsidP="009919D4">
      <w:r>
        <w:t xml:space="preserve">TSS, DIN, DIP, CDOM and Kd (PAR) all show some linearity through the salinity ranges, however both rivers show spikes in the mid-range salinities that may be more influenced by (i)  the resuspension or mixing of plume waters in high wind conditions or the transition from dilution processes controlling concentrations to physical and biological processes influencing the nutrient, CDOM and sediment concentration and thus influencing the light attenuation. </w:t>
      </w:r>
    </w:p>
    <w:p w14:paraId="1F859F19" w14:textId="77777777" w:rsidR="009919D4" w:rsidRDefault="009919D4" w:rsidP="009919D4">
      <w:pPr>
        <w:jc w:val="left"/>
        <w:sectPr w:rsidR="009919D4" w:rsidSect="00330E11">
          <w:footerReference w:type="default" r:id="rId76"/>
          <w:type w:val="continuous"/>
          <w:pgSz w:w="11907" w:h="16840" w:code="9"/>
          <w:pgMar w:top="1440" w:right="1440" w:bottom="1440" w:left="1440" w:header="709" w:footer="720" w:gutter="0"/>
          <w:cols w:space="708"/>
          <w:docGrid w:linePitch="360"/>
        </w:sectPr>
      </w:pPr>
      <w:r>
        <w:t xml:space="preserve">In contrast, the Chl-a concentrations are variable, particularly in the Tully, where concentrations stay elevated into the mid and high salinity ranges, supporting the formation of secondary plumes in less turbid waters. For the Russell-Mulgrave, show a large peak in Chl-a concentration at up to 40km away from the river mouth.  </w:t>
      </w:r>
    </w:p>
    <w:p w14:paraId="643554BA" w14:textId="77777777" w:rsidR="00D41D03" w:rsidRDefault="002E3D95" w:rsidP="00D41D03">
      <w:r>
        <w:rPr>
          <w:noProof/>
        </w:rPr>
        <w:lastRenderedPageBreak/>
        <mc:AlternateContent>
          <mc:Choice Requires="wps">
            <w:drawing>
              <wp:anchor distT="0" distB="0" distL="114300" distR="114300" simplePos="0" relativeHeight="251797504" behindDoc="0" locked="0" layoutInCell="1" allowOverlap="1" wp14:anchorId="12DF0973" wp14:editId="117A4005">
                <wp:simplePos x="0" y="0"/>
                <wp:positionH relativeFrom="column">
                  <wp:posOffset>6293485</wp:posOffset>
                </wp:positionH>
                <wp:positionV relativeFrom="paragraph">
                  <wp:posOffset>4170680</wp:posOffset>
                </wp:positionV>
                <wp:extent cx="2245360" cy="1351280"/>
                <wp:effectExtent l="0" t="0" r="0" b="1270"/>
                <wp:wrapNone/>
                <wp:docPr id="7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5360" cy="1351280"/>
                        </a:xfrm>
                        <a:prstGeom prst="rect">
                          <a:avLst/>
                        </a:prstGeom>
                        <a:noFill/>
                        <a:ln w="9525">
                          <a:noFill/>
                          <a:miter lim="800000"/>
                          <a:headEnd/>
                          <a:tailEnd/>
                        </a:ln>
                      </wps:spPr>
                      <wps:txbx>
                        <w:txbxContent>
                          <w:p w14:paraId="3CFCFEF2" w14:textId="0A5C3E39" w:rsidR="00546C7F" w:rsidRPr="000328D9" w:rsidRDefault="00546C7F" w:rsidP="00D41D03">
                            <w:pPr>
                              <w:pStyle w:val="Caption"/>
                              <w:tabs>
                                <w:tab w:val="clear" w:pos="1134"/>
                              </w:tabs>
                              <w:ind w:left="284" w:hanging="284"/>
                              <w:rPr>
                                <w:sz w:val="18"/>
                              </w:rPr>
                            </w:pPr>
                            <w:bookmarkStart w:id="154" w:name="_Toc454303910"/>
                            <w:r w:rsidRPr="000328D9">
                              <w:rPr>
                                <w:sz w:val="18"/>
                              </w:rPr>
                              <w:t xml:space="preserve">Figure </w:t>
                            </w:r>
                            <w:r>
                              <w:rPr>
                                <w:sz w:val="18"/>
                              </w:rPr>
                              <w:fldChar w:fldCharType="begin"/>
                            </w:r>
                            <w:r>
                              <w:rPr>
                                <w:sz w:val="18"/>
                              </w:rPr>
                              <w:instrText xml:space="preserve"> STYLEREF 1 \s </w:instrText>
                            </w:r>
                            <w:r>
                              <w:rPr>
                                <w:sz w:val="18"/>
                              </w:rPr>
                              <w:fldChar w:fldCharType="separate"/>
                            </w:r>
                            <w:r>
                              <w:rPr>
                                <w:noProof/>
                                <w:sz w:val="18"/>
                              </w:rPr>
                              <w:t>4</w:t>
                            </w:r>
                            <w:r>
                              <w:rPr>
                                <w:sz w:val="18"/>
                              </w:rPr>
                              <w:fldChar w:fldCharType="end"/>
                            </w:r>
                            <w:r>
                              <w:rPr>
                                <w:sz w:val="18"/>
                              </w:rPr>
                              <w:noBreakHyphen/>
                            </w:r>
                            <w:r>
                              <w:rPr>
                                <w:sz w:val="18"/>
                              </w:rPr>
                              <w:fldChar w:fldCharType="begin"/>
                            </w:r>
                            <w:r>
                              <w:rPr>
                                <w:sz w:val="18"/>
                              </w:rPr>
                              <w:instrText xml:space="preserve"> SEQ Figure \* ARABIC \s 1 </w:instrText>
                            </w:r>
                            <w:r>
                              <w:rPr>
                                <w:sz w:val="18"/>
                              </w:rPr>
                              <w:fldChar w:fldCharType="separate"/>
                            </w:r>
                            <w:r>
                              <w:rPr>
                                <w:noProof/>
                                <w:sz w:val="18"/>
                              </w:rPr>
                              <w:t>5</w:t>
                            </w:r>
                            <w:r>
                              <w:rPr>
                                <w:sz w:val="18"/>
                              </w:rPr>
                              <w:fldChar w:fldCharType="end"/>
                            </w:r>
                            <w:r>
                              <w:rPr>
                                <w:sz w:val="18"/>
                              </w:rPr>
                              <w:t>a</w:t>
                            </w:r>
                            <w:r w:rsidRPr="000328D9">
                              <w:rPr>
                                <w:sz w:val="18"/>
                              </w:rPr>
                              <w:t>: (i) Sites are colour coded to identify location on maps, (ii) date of sampling relative to river flow over wet season, and (iii) mixing plots for DI</w:t>
                            </w:r>
                            <w:r>
                              <w:rPr>
                                <w:sz w:val="18"/>
                              </w:rPr>
                              <w:t>N</w:t>
                            </w:r>
                            <w:r w:rsidRPr="000328D9">
                              <w:rPr>
                                <w:sz w:val="18"/>
                              </w:rPr>
                              <w:t xml:space="preserve"> in the Tully and Russell-Mulgrave regions for 2013-14.  Freshwater end were estimated from all samples collected at salinity &lt; 5</w:t>
                            </w:r>
                            <w:r>
                              <w:rPr>
                                <w:sz w:val="18"/>
                              </w:rPr>
                              <w:t xml:space="preserve"> in each region</w:t>
                            </w:r>
                            <w:r w:rsidRPr="000328D9">
                              <w:rPr>
                                <w:sz w:val="18"/>
                              </w:rPr>
                              <w:t>.</w:t>
                            </w:r>
                            <w:bookmarkEnd w:id="154"/>
                            <w:r w:rsidRPr="000328D9">
                              <w:rPr>
                                <w:sz w:val="18"/>
                              </w:rPr>
                              <w:t xml:space="preserve"> </w:t>
                            </w:r>
                          </w:p>
                          <w:p w14:paraId="50CD4F72" w14:textId="77777777" w:rsidR="00546C7F" w:rsidRPr="000328D9" w:rsidRDefault="00546C7F" w:rsidP="00D41D03">
                            <w:pPr>
                              <w:rPr>
                                <w:sz w:val="1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495.55pt;margin-top:328.4pt;width:176.8pt;height:106.4pt;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" filled="f" stroked="f">
                <v:textbox>
                  <w:txbxContent>
                    <w:p w14:paraId="3CFCFEF2" w14:textId="0A5C3E39" w:rsidR="00546C7F" w:rsidRPr="000328D9" w:rsidRDefault="00546C7F" w:rsidP="00D41D03">
                      <w:pPr>
                        <w:pStyle w:val="Caption"/>
                        <w:tabs>
                          <w:tab w:val="clear" w:pos="1134"/>
                        </w:tabs>
                        <w:ind w:left="284" w:hanging="284"/>
                        <w:rPr>
                          <w:sz w:val="18"/>
                        </w:rPr>
                      </w:pPr>
                      <w:bookmarkStart w:id="155" w:name="_Toc454303910"/>
                      <w:r w:rsidRPr="000328D9">
                        <w:rPr>
                          <w:sz w:val="18"/>
                        </w:rPr>
                        <w:t xml:space="preserve">Figure </w:t>
                      </w:r>
                      <w:r>
                        <w:rPr>
                          <w:sz w:val="18"/>
                        </w:rPr>
                        <w:fldChar w:fldCharType="begin"/>
                      </w:r>
                      <w:r>
                        <w:rPr>
                          <w:sz w:val="18"/>
                        </w:rPr>
                        <w:instrText xml:space="preserve"> STYLEREF 1 \s </w:instrText>
                      </w:r>
                      <w:r>
                        <w:rPr>
                          <w:sz w:val="18"/>
                        </w:rPr>
                        <w:fldChar w:fldCharType="separate"/>
                      </w:r>
                      <w:r>
                        <w:rPr>
                          <w:noProof/>
                          <w:sz w:val="18"/>
                        </w:rPr>
                        <w:t>4</w:t>
                      </w:r>
                      <w:r>
                        <w:rPr>
                          <w:sz w:val="18"/>
                        </w:rPr>
                        <w:fldChar w:fldCharType="end"/>
                      </w:r>
                      <w:r>
                        <w:rPr>
                          <w:sz w:val="18"/>
                        </w:rPr>
                        <w:noBreakHyphen/>
                      </w:r>
                      <w:r>
                        <w:rPr>
                          <w:sz w:val="18"/>
                        </w:rPr>
                        <w:fldChar w:fldCharType="begin"/>
                      </w:r>
                      <w:r>
                        <w:rPr>
                          <w:sz w:val="18"/>
                        </w:rPr>
                        <w:instrText xml:space="preserve"> SEQ Figure \* ARABIC \s 1 </w:instrText>
                      </w:r>
                      <w:r>
                        <w:rPr>
                          <w:sz w:val="18"/>
                        </w:rPr>
                        <w:fldChar w:fldCharType="separate"/>
                      </w:r>
                      <w:r>
                        <w:rPr>
                          <w:noProof/>
                          <w:sz w:val="18"/>
                        </w:rPr>
                        <w:t>5</w:t>
                      </w:r>
                      <w:r>
                        <w:rPr>
                          <w:sz w:val="18"/>
                        </w:rPr>
                        <w:fldChar w:fldCharType="end"/>
                      </w:r>
                      <w:r>
                        <w:rPr>
                          <w:sz w:val="18"/>
                        </w:rPr>
                        <w:t>a</w:t>
                      </w:r>
                      <w:r w:rsidRPr="000328D9">
                        <w:rPr>
                          <w:sz w:val="18"/>
                        </w:rPr>
                        <w:t>: (i) Sites are colour coded to identify location on maps, (ii) date of sampling relative to river flow over wet season, and (iii) mixing plots for DI</w:t>
                      </w:r>
                      <w:r>
                        <w:rPr>
                          <w:sz w:val="18"/>
                        </w:rPr>
                        <w:t>N</w:t>
                      </w:r>
                      <w:r w:rsidRPr="000328D9">
                        <w:rPr>
                          <w:sz w:val="18"/>
                        </w:rPr>
                        <w:t xml:space="preserve"> in the Tully and Russell-Mulgrave regions for 2013-14.  Freshwater end were estimated from all samples collected at salinity &lt; 5</w:t>
                      </w:r>
                      <w:r>
                        <w:rPr>
                          <w:sz w:val="18"/>
                        </w:rPr>
                        <w:t xml:space="preserve"> in each region</w:t>
                      </w:r>
                      <w:r w:rsidRPr="000328D9">
                        <w:rPr>
                          <w:sz w:val="18"/>
                        </w:rPr>
                        <w:t>.</w:t>
                      </w:r>
                      <w:bookmarkEnd w:id="155"/>
                      <w:r w:rsidRPr="000328D9">
                        <w:rPr>
                          <w:sz w:val="18"/>
                        </w:rPr>
                        <w:t xml:space="preserve"> </w:t>
                      </w:r>
                    </w:p>
                    <w:p w14:paraId="50CD4F72" w14:textId="77777777" w:rsidR="00546C7F" w:rsidRPr="000328D9" w:rsidRDefault="00546C7F" w:rsidP="00D41D03">
                      <w:pPr>
                        <w:rPr>
                          <w:sz w:val="18"/>
                        </w:rPr>
                      </w:pPr>
                    </w:p>
                  </w:txbxContent>
                </v:textbox>
              </v:shape>
            </w:pict>
          </mc:Fallback>
        </mc:AlternateContent>
      </w:r>
      <w:r w:rsidR="00D41D03">
        <w:rPr>
          <w:noProof/>
        </w:rPr>
        <w:drawing>
          <wp:inline distT="0" distB="0" distL="0" distR="0" wp14:anchorId="19F6BEFC" wp14:editId="6E68CE2E">
            <wp:extent cx="8640000" cy="5400000"/>
            <wp:effectExtent l="0" t="0" r="0" b="0"/>
            <wp:docPr id="60" name="Picture 60" descr="(i) Sites are colour coded to identify location on maps, (ii) date of sampling relative to river flow over wet season, and (iii) mixing plots for DIN in the Tully and Russell-Mulgrave regions for 2013-14.  Freshwater end were estimated from all samples collected at salinity &lt; 5. " title="(i) Sites are colour coded to identify location on maps, (ii) date of sampling relative to river flow over wet season, and (iii) mixing plots for DIN in the Tully and Russell-Mulgrave regions for 2013-14.  Freshwater end were estimated from all samples collected at salinity &lt; 5.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Nfig.jpg"/>
                    <pic:cNvPicPr/>
                  </pic:nvPicPr>
                  <pic:blipFill>
                    <a:blip r:embed="rId77" cstate="screen">
                      <a:extLst>
                        <a:ext uri="{28A0092B-C50C-407E-A947-70E740481C1C}">
                          <a14:useLocalDpi xmlns:a14="http://schemas.microsoft.com/office/drawing/2010/main"/>
                        </a:ext>
                      </a:extLst>
                    </a:blip>
                    <a:stretch>
                      <a:fillRect/>
                    </a:stretch>
                  </pic:blipFill>
                  <pic:spPr>
                    <a:xfrm>
                      <a:off x="0" y="0"/>
                      <a:ext cx="8640000" cy="5400000"/>
                    </a:xfrm>
                    <a:prstGeom prst="rect">
                      <a:avLst/>
                    </a:prstGeom>
                  </pic:spPr>
                </pic:pic>
              </a:graphicData>
            </a:graphic>
          </wp:inline>
        </w:drawing>
      </w:r>
    </w:p>
    <w:p w14:paraId="6D004AD2" w14:textId="77777777" w:rsidR="00D41D03" w:rsidRDefault="002E3D95" w:rsidP="00D41D03">
      <w:r>
        <w:rPr>
          <w:noProof/>
        </w:rPr>
        <w:lastRenderedPageBreak/>
        <mc:AlternateContent>
          <mc:Choice Requires="wps">
            <w:drawing>
              <wp:anchor distT="0" distB="0" distL="114300" distR="114300" simplePos="0" relativeHeight="251796480" behindDoc="0" locked="0" layoutInCell="1" allowOverlap="1" wp14:anchorId="49C338B4" wp14:editId="616333B2">
                <wp:simplePos x="0" y="0"/>
                <wp:positionH relativeFrom="column">
                  <wp:posOffset>6396355</wp:posOffset>
                </wp:positionH>
                <wp:positionV relativeFrom="paragraph">
                  <wp:posOffset>4048125</wp:posOffset>
                </wp:positionV>
                <wp:extent cx="2245360" cy="1351280"/>
                <wp:effectExtent l="0" t="0" r="0" b="1270"/>
                <wp:wrapNone/>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5360" cy="1351280"/>
                        </a:xfrm>
                        <a:prstGeom prst="rect">
                          <a:avLst/>
                        </a:prstGeom>
                        <a:noFill/>
                        <a:ln w="9525">
                          <a:noFill/>
                          <a:miter lim="800000"/>
                          <a:headEnd/>
                          <a:tailEnd/>
                        </a:ln>
                      </wps:spPr>
                      <wps:txbx>
                        <w:txbxContent>
                          <w:p w14:paraId="5F32440A" w14:textId="77777777" w:rsidR="00546C7F" w:rsidRPr="000328D9" w:rsidRDefault="00546C7F" w:rsidP="00D41D03">
                            <w:pPr>
                              <w:pStyle w:val="Caption"/>
                              <w:tabs>
                                <w:tab w:val="clear" w:pos="1134"/>
                              </w:tabs>
                              <w:ind w:left="284" w:hanging="284"/>
                              <w:rPr>
                                <w:sz w:val="18"/>
                              </w:rPr>
                            </w:pPr>
                            <w:r w:rsidRPr="000328D9">
                              <w:rPr>
                                <w:sz w:val="18"/>
                              </w:rPr>
                              <w:t xml:space="preserve">Figure </w:t>
                            </w:r>
                            <w:r>
                              <w:rPr>
                                <w:sz w:val="18"/>
                              </w:rPr>
                              <w:t>4</w:t>
                            </w:r>
                            <w:r>
                              <w:rPr>
                                <w:sz w:val="18"/>
                              </w:rPr>
                              <w:noBreakHyphen/>
                              <w:t>5b</w:t>
                            </w:r>
                            <w:r w:rsidRPr="000328D9">
                              <w:rPr>
                                <w:sz w:val="18"/>
                              </w:rPr>
                              <w:t>: (i) Sites are colour coded to identify location on maps, (ii) date of sampling relative to river flow over wet season, and (iii) mixing plots for DIP in the Tully and Russell-Mulgrave regions for 2013-14.  Freshwater end were estimated from all samples collected at salinity &lt; 5</w:t>
                            </w:r>
                            <w:r w:rsidRPr="009919D4">
                              <w:rPr>
                                <w:sz w:val="18"/>
                              </w:rPr>
                              <w:t xml:space="preserve"> </w:t>
                            </w:r>
                            <w:r>
                              <w:rPr>
                                <w:sz w:val="18"/>
                              </w:rPr>
                              <w:t>in each region</w:t>
                            </w:r>
                            <w:r w:rsidRPr="000328D9">
                              <w:rPr>
                                <w:sz w:val="18"/>
                              </w:rPr>
                              <w:t xml:space="preserve">.  </w:t>
                            </w:r>
                          </w:p>
                          <w:p w14:paraId="26690F92" w14:textId="77777777" w:rsidR="00546C7F" w:rsidRPr="000328D9" w:rsidRDefault="00546C7F" w:rsidP="00D41D03">
                            <w:pPr>
                              <w:rPr>
                                <w:sz w:val="1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left:0;text-align:left;margin-left:503.65pt;margin-top:318.75pt;width:176.8pt;height:106.4pt;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" filled="f" stroked="f">
                <v:textbox>
                  <w:txbxContent>
                    <w:p w14:paraId="5F32440A" w14:textId="77777777" w:rsidR="00546C7F" w:rsidRPr="000328D9" w:rsidRDefault="00546C7F" w:rsidP="00D41D03">
                      <w:pPr>
                        <w:pStyle w:val="Caption"/>
                        <w:tabs>
                          <w:tab w:val="clear" w:pos="1134"/>
                        </w:tabs>
                        <w:ind w:left="284" w:hanging="284"/>
                        <w:rPr>
                          <w:sz w:val="18"/>
                        </w:rPr>
                      </w:pPr>
                      <w:r w:rsidRPr="000328D9">
                        <w:rPr>
                          <w:sz w:val="18"/>
                        </w:rPr>
                        <w:t xml:space="preserve">Figure </w:t>
                      </w:r>
                      <w:r>
                        <w:rPr>
                          <w:sz w:val="18"/>
                        </w:rPr>
                        <w:t>4</w:t>
                      </w:r>
                      <w:r>
                        <w:rPr>
                          <w:sz w:val="18"/>
                        </w:rPr>
                        <w:noBreakHyphen/>
                        <w:t>5b</w:t>
                      </w:r>
                      <w:r w:rsidRPr="000328D9">
                        <w:rPr>
                          <w:sz w:val="18"/>
                        </w:rPr>
                        <w:t>: (i) Sites are colour coded to identify location on maps, (ii) date of sampling relative to river flow over wet season, and (iii) mixing plots for DIP in the Tully and Russell-Mulgrave regions for 2013-14.  Freshwater end were estimated from all samples collected at salinity &lt; 5</w:t>
                      </w:r>
                      <w:r w:rsidRPr="009919D4">
                        <w:rPr>
                          <w:sz w:val="18"/>
                        </w:rPr>
                        <w:t xml:space="preserve"> </w:t>
                      </w:r>
                      <w:r>
                        <w:rPr>
                          <w:sz w:val="18"/>
                        </w:rPr>
                        <w:t>in each region</w:t>
                      </w:r>
                      <w:r w:rsidRPr="000328D9">
                        <w:rPr>
                          <w:sz w:val="18"/>
                        </w:rPr>
                        <w:t xml:space="preserve">.  </w:t>
                      </w:r>
                    </w:p>
                    <w:p w14:paraId="26690F92" w14:textId="77777777" w:rsidR="00546C7F" w:rsidRPr="000328D9" w:rsidRDefault="00546C7F" w:rsidP="00D41D03">
                      <w:pPr>
                        <w:rPr>
                          <w:sz w:val="18"/>
                        </w:rPr>
                      </w:pPr>
                    </w:p>
                  </w:txbxContent>
                </v:textbox>
              </v:shape>
            </w:pict>
          </mc:Fallback>
        </mc:AlternateContent>
      </w:r>
      <w:r w:rsidR="00D41D03">
        <w:rPr>
          <w:noProof/>
        </w:rPr>
        <w:drawing>
          <wp:inline distT="0" distB="0" distL="0" distR="0" wp14:anchorId="35C3197E" wp14:editId="27D81260">
            <wp:extent cx="8640000" cy="5400000"/>
            <wp:effectExtent l="0" t="0" r="0" b="0"/>
            <wp:docPr id="61" name="Picture 61" descr="(i) Sites are colour coded to identify location on maps, (ii) date of sampling relative to river flow over wet season, and (iii) mixing plots for DIP in the Tully and Russell-Mulgrave regions for 2013-14.  Freshwater end were estimated from all samples collected at salinity &lt; 5. " title="(i) Sites are colour coded to identify location on maps, (ii) date of sampling relative to river flow over wet season, and (iii) mixing plots for DIP in the Tully and Russell-Mulgrave regions for 2013-14.  Freshwater end were estimated from all samples collected at salinity &lt; 5 in each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Pfig.jpg"/>
                    <pic:cNvPicPr/>
                  </pic:nvPicPr>
                  <pic:blipFill>
                    <a:blip r:embed="rId78" cstate="screen">
                      <a:extLst>
                        <a:ext uri="{28A0092B-C50C-407E-A947-70E740481C1C}">
                          <a14:useLocalDpi xmlns:a14="http://schemas.microsoft.com/office/drawing/2010/main"/>
                        </a:ext>
                      </a:extLst>
                    </a:blip>
                    <a:stretch>
                      <a:fillRect/>
                    </a:stretch>
                  </pic:blipFill>
                  <pic:spPr>
                    <a:xfrm>
                      <a:off x="0" y="0"/>
                      <a:ext cx="8640000" cy="5400000"/>
                    </a:xfrm>
                    <a:prstGeom prst="rect">
                      <a:avLst/>
                    </a:prstGeom>
                  </pic:spPr>
                </pic:pic>
              </a:graphicData>
            </a:graphic>
          </wp:inline>
        </w:drawing>
      </w:r>
    </w:p>
    <w:p w14:paraId="3F433FAB" w14:textId="77777777" w:rsidR="00D41D03" w:rsidRDefault="002E3D95" w:rsidP="00D41D03">
      <w:r>
        <w:rPr>
          <w:noProof/>
        </w:rPr>
        <w:lastRenderedPageBreak/>
        <mc:AlternateContent>
          <mc:Choice Requires="wps">
            <w:drawing>
              <wp:anchor distT="0" distB="0" distL="114300" distR="114300" simplePos="0" relativeHeight="251795456" behindDoc="0" locked="0" layoutInCell="1" allowOverlap="1" wp14:anchorId="113392AB" wp14:editId="028E6791">
                <wp:simplePos x="0" y="0"/>
                <wp:positionH relativeFrom="column">
                  <wp:posOffset>6976110</wp:posOffset>
                </wp:positionH>
                <wp:positionV relativeFrom="paragraph">
                  <wp:posOffset>4122420</wp:posOffset>
                </wp:positionV>
                <wp:extent cx="2244725" cy="1350645"/>
                <wp:effectExtent l="0" t="0" r="0" b="1905"/>
                <wp:wrapNone/>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4725" cy="1350645"/>
                        </a:xfrm>
                        <a:prstGeom prst="rect">
                          <a:avLst/>
                        </a:prstGeom>
                        <a:noFill/>
                        <a:ln w="9525">
                          <a:noFill/>
                          <a:miter lim="800000"/>
                          <a:headEnd/>
                          <a:tailEnd/>
                        </a:ln>
                      </wps:spPr>
                      <wps:txbx>
                        <w:txbxContent>
                          <w:p w14:paraId="073D0AD2" w14:textId="77777777" w:rsidR="00546C7F" w:rsidRPr="000328D9" w:rsidRDefault="00546C7F" w:rsidP="00D41D03">
                            <w:pPr>
                              <w:pStyle w:val="Caption"/>
                              <w:tabs>
                                <w:tab w:val="clear" w:pos="1134"/>
                              </w:tabs>
                              <w:ind w:left="284" w:hanging="284"/>
                              <w:rPr>
                                <w:sz w:val="18"/>
                              </w:rPr>
                            </w:pPr>
                            <w:r w:rsidRPr="000328D9">
                              <w:rPr>
                                <w:sz w:val="18"/>
                              </w:rPr>
                              <w:t xml:space="preserve">Figure </w:t>
                            </w:r>
                            <w:r>
                              <w:rPr>
                                <w:sz w:val="18"/>
                              </w:rPr>
                              <w:t>4</w:t>
                            </w:r>
                            <w:r>
                              <w:rPr>
                                <w:sz w:val="18"/>
                              </w:rPr>
                              <w:noBreakHyphen/>
                              <w:t>5c</w:t>
                            </w:r>
                            <w:r w:rsidRPr="000328D9">
                              <w:rPr>
                                <w:sz w:val="18"/>
                              </w:rPr>
                              <w:t xml:space="preserve">: (i) Sites are colour coded to identify location on maps, (ii) date of sampling relative to river flow over wet season, and (iii) mixing plots for </w:t>
                            </w:r>
                            <w:r>
                              <w:rPr>
                                <w:sz w:val="18"/>
                              </w:rPr>
                              <w:t>Kd(PAR)</w:t>
                            </w:r>
                            <w:r w:rsidRPr="000328D9">
                              <w:rPr>
                                <w:sz w:val="18"/>
                              </w:rPr>
                              <w:t xml:space="preserve"> in the Tully and Russell-Mulgrave regions for 2013-14.  Freshwater end were estimated from all samples collected at salinity &lt; 5</w:t>
                            </w:r>
                            <w:r>
                              <w:rPr>
                                <w:sz w:val="18"/>
                              </w:rPr>
                              <w:t xml:space="preserve"> in each region</w:t>
                            </w:r>
                            <w:r w:rsidRPr="000328D9">
                              <w:rPr>
                                <w:sz w:val="18"/>
                              </w:rPr>
                              <w:t xml:space="preserve">.  </w:t>
                            </w:r>
                          </w:p>
                          <w:p w14:paraId="4BD4CCA4" w14:textId="77777777" w:rsidR="00546C7F" w:rsidRPr="000328D9" w:rsidRDefault="00546C7F" w:rsidP="00D41D03">
                            <w:pPr>
                              <w:rPr>
                                <w:sz w:val="1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left:0;text-align:left;margin-left:549.3pt;margin-top:324.6pt;width:176.75pt;height:106.35pt;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" filled="f" stroked="f">
                <v:textbox>
                  <w:txbxContent>
                    <w:p w14:paraId="073D0AD2" w14:textId="77777777" w:rsidR="00546C7F" w:rsidRPr="000328D9" w:rsidRDefault="00546C7F" w:rsidP="00D41D03">
                      <w:pPr>
                        <w:pStyle w:val="Caption"/>
                        <w:tabs>
                          <w:tab w:val="clear" w:pos="1134"/>
                        </w:tabs>
                        <w:ind w:left="284" w:hanging="284"/>
                        <w:rPr>
                          <w:sz w:val="18"/>
                        </w:rPr>
                      </w:pPr>
                      <w:r w:rsidRPr="000328D9">
                        <w:rPr>
                          <w:sz w:val="18"/>
                        </w:rPr>
                        <w:t xml:space="preserve">Figure </w:t>
                      </w:r>
                      <w:r>
                        <w:rPr>
                          <w:sz w:val="18"/>
                        </w:rPr>
                        <w:t>4</w:t>
                      </w:r>
                      <w:r>
                        <w:rPr>
                          <w:sz w:val="18"/>
                        </w:rPr>
                        <w:noBreakHyphen/>
                        <w:t>5c</w:t>
                      </w:r>
                      <w:r w:rsidRPr="000328D9">
                        <w:rPr>
                          <w:sz w:val="18"/>
                        </w:rPr>
                        <w:t xml:space="preserve">: (i) Sites are colour coded to identify location on maps, (ii) date of sampling relative to river flow over wet season, and (iii) mixing plots for </w:t>
                      </w:r>
                      <w:r>
                        <w:rPr>
                          <w:sz w:val="18"/>
                        </w:rPr>
                        <w:t>Kd(PAR)</w:t>
                      </w:r>
                      <w:r w:rsidRPr="000328D9">
                        <w:rPr>
                          <w:sz w:val="18"/>
                        </w:rPr>
                        <w:t xml:space="preserve"> in the Tully and Russell-Mulgrave regions for 2013-14.  Freshwater end were estimated from all samples collected at salinity &lt; 5</w:t>
                      </w:r>
                      <w:r>
                        <w:rPr>
                          <w:sz w:val="18"/>
                        </w:rPr>
                        <w:t xml:space="preserve"> in each region</w:t>
                      </w:r>
                      <w:r w:rsidRPr="000328D9">
                        <w:rPr>
                          <w:sz w:val="18"/>
                        </w:rPr>
                        <w:t xml:space="preserve">.  </w:t>
                      </w:r>
                    </w:p>
                    <w:p w14:paraId="4BD4CCA4" w14:textId="77777777" w:rsidR="00546C7F" w:rsidRPr="000328D9" w:rsidRDefault="00546C7F" w:rsidP="00D41D03">
                      <w:pPr>
                        <w:rPr>
                          <w:sz w:val="18"/>
                        </w:rPr>
                      </w:pPr>
                    </w:p>
                  </w:txbxContent>
                </v:textbox>
              </v:shape>
            </w:pict>
          </mc:Fallback>
        </mc:AlternateContent>
      </w:r>
      <w:r w:rsidR="00D41D03">
        <w:rPr>
          <w:noProof/>
        </w:rPr>
        <w:drawing>
          <wp:inline distT="0" distB="0" distL="0" distR="0" wp14:anchorId="2C27D70E" wp14:editId="36EE79CE">
            <wp:extent cx="8640000" cy="5400000"/>
            <wp:effectExtent l="0" t="0" r="0" b="0"/>
            <wp:docPr id="63" name="Picture 63" descr="(i) Sites are colour coded to identify location on maps, (ii) date of sampling relative to river flow over wet season, and (iii) mixing plots for Kd(PAR) in the Tully and Russell-Mulgrave regions for 2013-14.  Freshwater end were estimated from all samples collected at salinity &lt; 5. " title="(i) Sites are colour coded to identify location on maps, (ii) date of sampling relative to river flow over wet season, and (iii) mixing plots for Kd(PAR) in the Tully and Russell-Mulgrave regions for 2013-14.  Freshwater end were estimated from all samples collected at salinity &lt; 5.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dfig.jpg"/>
                    <pic:cNvPicPr/>
                  </pic:nvPicPr>
                  <pic:blipFill>
                    <a:blip r:embed="rId79" cstate="screen">
                      <a:extLst>
                        <a:ext uri="{28A0092B-C50C-407E-A947-70E740481C1C}">
                          <a14:useLocalDpi xmlns:a14="http://schemas.microsoft.com/office/drawing/2010/main"/>
                        </a:ext>
                      </a:extLst>
                    </a:blip>
                    <a:stretch>
                      <a:fillRect/>
                    </a:stretch>
                  </pic:blipFill>
                  <pic:spPr>
                    <a:xfrm>
                      <a:off x="0" y="0"/>
                      <a:ext cx="8640000" cy="5400000"/>
                    </a:xfrm>
                    <a:prstGeom prst="rect">
                      <a:avLst/>
                    </a:prstGeom>
                  </pic:spPr>
                </pic:pic>
              </a:graphicData>
            </a:graphic>
          </wp:inline>
        </w:drawing>
      </w:r>
    </w:p>
    <w:p w14:paraId="11EE53D2" w14:textId="77777777" w:rsidR="00D41D03" w:rsidRDefault="002E3D95" w:rsidP="00D41D03">
      <w:r>
        <w:rPr>
          <w:noProof/>
        </w:rPr>
        <w:lastRenderedPageBreak/>
        <mc:AlternateContent>
          <mc:Choice Requires="wps">
            <w:drawing>
              <wp:anchor distT="0" distB="0" distL="114300" distR="114300" simplePos="0" relativeHeight="251794432" behindDoc="0" locked="0" layoutInCell="1" allowOverlap="1" wp14:anchorId="23D55990" wp14:editId="4AD9A3FB">
                <wp:simplePos x="0" y="0"/>
                <wp:positionH relativeFrom="column">
                  <wp:posOffset>6905625</wp:posOffset>
                </wp:positionH>
                <wp:positionV relativeFrom="paragraph">
                  <wp:posOffset>4128135</wp:posOffset>
                </wp:positionV>
                <wp:extent cx="2245360" cy="1351280"/>
                <wp:effectExtent l="0" t="0" r="0" b="1270"/>
                <wp:wrapNone/>
                <wp:docPr id="6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5360" cy="1351280"/>
                        </a:xfrm>
                        <a:prstGeom prst="rect">
                          <a:avLst/>
                        </a:prstGeom>
                        <a:noFill/>
                        <a:ln w="9525">
                          <a:noFill/>
                          <a:miter lim="800000"/>
                          <a:headEnd/>
                          <a:tailEnd/>
                        </a:ln>
                      </wps:spPr>
                      <wps:txbx>
                        <w:txbxContent>
                          <w:p w14:paraId="5EEF9B67" w14:textId="77777777" w:rsidR="00546C7F" w:rsidRPr="000328D9" w:rsidRDefault="00546C7F" w:rsidP="00D41D03">
                            <w:pPr>
                              <w:pStyle w:val="Caption"/>
                              <w:tabs>
                                <w:tab w:val="clear" w:pos="1134"/>
                              </w:tabs>
                              <w:ind w:left="284" w:hanging="284"/>
                              <w:rPr>
                                <w:sz w:val="18"/>
                              </w:rPr>
                            </w:pPr>
                            <w:r w:rsidRPr="000328D9">
                              <w:rPr>
                                <w:sz w:val="18"/>
                              </w:rPr>
                              <w:t xml:space="preserve">Figure </w:t>
                            </w:r>
                            <w:r>
                              <w:rPr>
                                <w:sz w:val="18"/>
                              </w:rPr>
                              <w:t>4</w:t>
                            </w:r>
                            <w:r>
                              <w:rPr>
                                <w:sz w:val="18"/>
                              </w:rPr>
                              <w:noBreakHyphen/>
                              <w:t>5d</w:t>
                            </w:r>
                            <w:r w:rsidRPr="000328D9">
                              <w:rPr>
                                <w:sz w:val="18"/>
                              </w:rPr>
                              <w:t xml:space="preserve">: (i) Sites are colour coded to identify location on maps, (ii) date of sampling relative to river flow over wet season, and (iii) mixing plots for </w:t>
                            </w:r>
                            <w:r>
                              <w:rPr>
                                <w:sz w:val="18"/>
                              </w:rPr>
                              <w:t>TSS</w:t>
                            </w:r>
                            <w:r w:rsidRPr="000328D9">
                              <w:rPr>
                                <w:sz w:val="18"/>
                              </w:rPr>
                              <w:t xml:space="preserve"> in the Tully and Russell-Mulgrave regions for 2013-14.  Freshwater end were estimated from all samples collected at salinity &lt; 5. </w:t>
                            </w:r>
                          </w:p>
                          <w:p w14:paraId="2929AD63" w14:textId="77777777" w:rsidR="00546C7F" w:rsidRPr="000328D9" w:rsidRDefault="00546C7F" w:rsidP="00D41D03">
                            <w:pPr>
                              <w:rPr>
                                <w:sz w:val="1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1" type="#_x0000_t202" style="position:absolute;left:0;text-align:left;margin-left:543.75pt;margin-top:325.05pt;width:176.8pt;height:106.4pt;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" filled="f" stroked="f">
                <v:textbox>
                  <w:txbxContent>
                    <w:p w14:paraId="5EEF9B67" w14:textId="77777777" w:rsidR="00546C7F" w:rsidRPr="000328D9" w:rsidRDefault="00546C7F" w:rsidP="00D41D03">
                      <w:pPr>
                        <w:pStyle w:val="Caption"/>
                        <w:tabs>
                          <w:tab w:val="clear" w:pos="1134"/>
                        </w:tabs>
                        <w:ind w:left="284" w:hanging="284"/>
                        <w:rPr>
                          <w:sz w:val="18"/>
                        </w:rPr>
                      </w:pPr>
                      <w:r w:rsidRPr="000328D9">
                        <w:rPr>
                          <w:sz w:val="18"/>
                        </w:rPr>
                        <w:t xml:space="preserve">Figure </w:t>
                      </w:r>
                      <w:r>
                        <w:rPr>
                          <w:sz w:val="18"/>
                        </w:rPr>
                        <w:t>4</w:t>
                      </w:r>
                      <w:r>
                        <w:rPr>
                          <w:sz w:val="18"/>
                        </w:rPr>
                        <w:noBreakHyphen/>
                        <w:t>5d</w:t>
                      </w:r>
                      <w:r w:rsidRPr="000328D9">
                        <w:rPr>
                          <w:sz w:val="18"/>
                        </w:rPr>
                        <w:t xml:space="preserve">: (i) Sites are colour coded to identify location on maps, (ii) date of sampling relative to river flow over wet season, and (iii) mixing plots for </w:t>
                      </w:r>
                      <w:r>
                        <w:rPr>
                          <w:sz w:val="18"/>
                        </w:rPr>
                        <w:t>TSS</w:t>
                      </w:r>
                      <w:r w:rsidRPr="000328D9">
                        <w:rPr>
                          <w:sz w:val="18"/>
                        </w:rPr>
                        <w:t xml:space="preserve"> in the Tully and Russell-Mulgrave regions for 2013-14.  Freshwater end were estimated from all samples collected at salinity &lt; 5. </w:t>
                      </w:r>
                    </w:p>
                    <w:p w14:paraId="2929AD63" w14:textId="77777777" w:rsidR="00546C7F" w:rsidRPr="000328D9" w:rsidRDefault="00546C7F" w:rsidP="00D41D03">
                      <w:pPr>
                        <w:rPr>
                          <w:sz w:val="18"/>
                        </w:rPr>
                      </w:pPr>
                    </w:p>
                  </w:txbxContent>
                </v:textbox>
              </v:shape>
            </w:pict>
          </mc:Fallback>
        </mc:AlternateContent>
      </w:r>
      <w:r w:rsidR="00D41D03">
        <w:rPr>
          <w:noProof/>
        </w:rPr>
        <w:drawing>
          <wp:inline distT="0" distB="0" distL="0" distR="0" wp14:anchorId="1A74B6A4" wp14:editId="168EA534">
            <wp:extent cx="8640000" cy="5400000"/>
            <wp:effectExtent l="0" t="0" r="0" b="0"/>
            <wp:docPr id="25" name="Picture 25" descr="(i) Sites are colour coded to identify location on maps, (ii) date of sampling relative to river flow over wet season, and (iii) mixing plots for TSS in the Tully and Russell-Mulgrave regions for 2013-14.  Freshwater end were estimated from all samples collected at salinity &lt; 5. " title="water quality graph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SSfig.jpg"/>
                    <pic:cNvPicPr/>
                  </pic:nvPicPr>
                  <pic:blipFill>
                    <a:blip r:embed="rId80" cstate="screen">
                      <a:extLst>
                        <a:ext uri="{28A0092B-C50C-407E-A947-70E740481C1C}">
                          <a14:useLocalDpi xmlns:a14="http://schemas.microsoft.com/office/drawing/2010/main"/>
                        </a:ext>
                      </a:extLst>
                    </a:blip>
                    <a:stretch>
                      <a:fillRect/>
                    </a:stretch>
                  </pic:blipFill>
                  <pic:spPr>
                    <a:xfrm>
                      <a:off x="0" y="0"/>
                      <a:ext cx="8640000" cy="5400000"/>
                    </a:xfrm>
                    <a:prstGeom prst="rect">
                      <a:avLst/>
                    </a:prstGeom>
                  </pic:spPr>
                </pic:pic>
              </a:graphicData>
            </a:graphic>
          </wp:inline>
        </w:drawing>
      </w:r>
    </w:p>
    <w:p w14:paraId="7F126AD0" w14:textId="77777777" w:rsidR="00D41D03" w:rsidRDefault="002E3D95" w:rsidP="00D41D03">
      <w:r>
        <w:rPr>
          <w:noProof/>
        </w:rPr>
        <w:lastRenderedPageBreak/>
        <mc:AlternateContent>
          <mc:Choice Requires="wps">
            <w:drawing>
              <wp:anchor distT="0" distB="0" distL="114300" distR="114300" simplePos="0" relativeHeight="251798528" behindDoc="0" locked="0" layoutInCell="1" allowOverlap="1" wp14:anchorId="3E072F03" wp14:editId="34A35909">
                <wp:simplePos x="0" y="0"/>
                <wp:positionH relativeFrom="column">
                  <wp:posOffset>6948805</wp:posOffset>
                </wp:positionH>
                <wp:positionV relativeFrom="paragraph">
                  <wp:posOffset>4048125</wp:posOffset>
                </wp:positionV>
                <wp:extent cx="2244725" cy="1350645"/>
                <wp:effectExtent l="0" t="0" r="0" b="1905"/>
                <wp:wrapNone/>
                <wp:docPr id="7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4725" cy="1350645"/>
                        </a:xfrm>
                        <a:prstGeom prst="rect">
                          <a:avLst/>
                        </a:prstGeom>
                        <a:noFill/>
                        <a:ln w="9525">
                          <a:noFill/>
                          <a:miter lim="800000"/>
                          <a:headEnd/>
                          <a:tailEnd/>
                        </a:ln>
                      </wps:spPr>
                      <wps:txbx>
                        <w:txbxContent>
                          <w:p w14:paraId="39B477DD" w14:textId="77777777" w:rsidR="00546C7F" w:rsidRPr="000328D9" w:rsidRDefault="00546C7F" w:rsidP="00D41D03">
                            <w:pPr>
                              <w:pStyle w:val="Caption"/>
                              <w:tabs>
                                <w:tab w:val="clear" w:pos="1134"/>
                              </w:tabs>
                              <w:ind w:left="284" w:hanging="284"/>
                              <w:rPr>
                                <w:sz w:val="18"/>
                              </w:rPr>
                            </w:pPr>
                            <w:r w:rsidRPr="000328D9">
                              <w:rPr>
                                <w:sz w:val="18"/>
                              </w:rPr>
                              <w:t xml:space="preserve">Figure </w:t>
                            </w:r>
                            <w:r>
                              <w:rPr>
                                <w:sz w:val="18"/>
                              </w:rPr>
                              <w:t>4</w:t>
                            </w:r>
                            <w:r>
                              <w:rPr>
                                <w:sz w:val="18"/>
                              </w:rPr>
                              <w:noBreakHyphen/>
                              <w:t>5e</w:t>
                            </w:r>
                            <w:r w:rsidRPr="000328D9">
                              <w:rPr>
                                <w:sz w:val="18"/>
                              </w:rPr>
                              <w:t xml:space="preserve">: (i) Sites are colour coded to identify location on maps, (ii) date of sampling relative to river flow over wet season, and (iii) mixing plots for </w:t>
                            </w:r>
                            <w:r>
                              <w:rPr>
                                <w:sz w:val="18"/>
                              </w:rPr>
                              <w:t>Chl-a</w:t>
                            </w:r>
                            <w:r w:rsidRPr="000328D9">
                              <w:rPr>
                                <w:sz w:val="18"/>
                              </w:rPr>
                              <w:t xml:space="preserve"> in the Tully and Russell-Mulgrave regions for 2013-14.  Freshwater end were estimated from all samples collected at salinity &lt; 5</w:t>
                            </w:r>
                            <w:r>
                              <w:rPr>
                                <w:sz w:val="18"/>
                              </w:rPr>
                              <w:t xml:space="preserve"> in each region</w:t>
                            </w:r>
                            <w:r w:rsidRPr="000328D9">
                              <w:rPr>
                                <w:sz w:val="18"/>
                              </w:rPr>
                              <w:t xml:space="preserve">.  </w:t>
                            </w:r>
                          </w:p>
                          <w:p w14:paraId="5B671E11" w14:textId="77777777" w:rsidR="00546C7F" w:rsidRPr="000328D9" w:rsidRDefault="00546C7F" w:rsidP="00D41D03">
                            <w:pPr>
                              <w:rPr>
                                <w:sz w:val="1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2" type="#_x0000_t202" style="position:absolute;left:0;text-align:left;margin-left:547.15pt;margin-top:318.75pt;width:176.75pt;height:106.35pt;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" filled="f" stroked="f">
                <v:textbox>
                  <w:txbxContent>
                    <w:p w14:paraId="39B477DD" w14:textId="77777777" w:rsidR="00546C7F" w:rsidRPr="000328D9" w:rsidRDefault="00546C7F" w:rsidP="00D41D03">
                      <w:pPr>
                        <w:pStyle w:val="Caption"/>
                        <w:tabs>
                          <w:tab w:val="clear" w:pos="1134"/>
                        </w:tabs>
                        <w:ind w:left="284" w:hanging="284"/>
                        <w:rPr>
                          <w:sz w:val="18"/>
                        </w:rPr>
                      </w:pPr>
                      <w:r w:rsidRPr="000328D9">
                        <w:rPr>
                          <w:sz w:val="18"/>
                        </w:rPr>
                        <w:t xml:space="preserve">Figure </w:t>
                      </w:r>
                      <w:r>
                        <w:rPr>
                          <w:sz w:val="18"/>
                        </w:rPr>
                        <w:t>4</w:t>
                      </w:r>
                      <w:r>
                        <w:rPr>
                          <w:sz w:val="18"/>
                        </w:rPr>
                        <w:noBreakHyphen/>
                        <w:t>5e</w:t>
                      </w:r>
                      <w:r w:rsidRPr="000328D9">
                        <w:rPr>
                          <w:sz w:val="18"/>
                        </w:rPr>
                        <w:t xml:space="preserve">: (i) Sites are colour coded to identify location on maps, (ii) date of sampling relative to river flow over wet season, and (iii) mixing plots for </w:t>
                      </w:r>
                      <w:r>
                        <w:rPr>
                          <w:sz w:val="18"/>
                        </w:rPr>
                        <w:t>Chl-a</w:t>
                      </w:r>
                      <w:r w:rsidRPr="000328D9">
                        <w:rPr>
                          <w:sz w:val="18"/>
                        </w:rPr>
                        <w:t xml:space="preserve"> in the Tully and Russell-Mulgrave regions for 2013-14.  Freshwater end were estimated from all samples collected at salinity &lt; 5</w:t>
                      </w:r>
                      <w:r>
                        <w:rPr>
                          <w:sz w:val="18"/>
                        </w:rPr>
                        <w:t xml:space="preserve"> in each region</w:t>
                      </w:r>
                      <w:r w:rsidRPr="000328D9">
                        <w:rPr>
                          <w:sz w:val="18"/>
                        </w:rPr>
                        <w:t xml:space="preserve">.  </w:t>
                      </w:r>
                    </w:p>
                    <w:p w14:paraId="5B671E11" w14:textId="77777777" w:rsidR="00546C7F" w:rsidRPr="000328D9" w:rsidRDefault="00546C7F" w:rsidP="00D41D03">
                      <w:pPr>
                        <w:rPr>
                          <w:sz w:val="18"/>
                        </w:rPr>
                      </w:pPr>
                    </w:p>
                  </w:txbxContent>
                </v:textbox>
              </v:shape>
            </w:pict>
          </mc:Fallback>
        </mc:AlternateContent>
      </w:r>
      <w:r w:rsidR="00D41D03">
        <w:rPr>
          <w:noProof/>
        </w:rPr>
        <w:drawing>
          <wp:inline distT="0" distB="0" distL="0" distR="0" wp14:anchorId="799B8B07" wp14:editId="611FB66D">
            <wp:extent cx="8640000" cy="5400000"/>
            <wp:effectExtent l="0" t="0" r="0" b="0"/>
            <wp:docPr id="71" name="Picture 71" descr=" (i) Sites are colour coded to identify location on maps, (ii) date of sampling relative to river flow over wet season, and (iii) mixing plots for Chl-a in the Tully and Russell-Mulgrave regions for 2013-14.  Freshwater end were estimated from all samples collected at salinity &lt; 5. " title="Figure 4.5e, water quality graph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lfig.jpg"/>
                    <pic:cNvPicPr/>
                  </pic:nvPicPr>
                  <pic:blipFill>
                    <a:blip r:embed="rId81" cstate="screen">
                      <a:extLst>
                        <a:ext uri="{28A0092B-C50C-407E-A947-70E740481C1C}">
                          <a14:useLocalDpi xmlns:a14="http://schemas.microsoft.com/office/drawing/2010/main"/>
                        </a:ext>
                      </a:extLst>
                    </a:blip>
                    <a:stretch>
                      <a:fillRect/>
                    </a:stretch>
                  </pic:blipFill>
                  <pic:spPr>
                    <a:xfrm>
                      <a:off x="0" y="0"/>
                      <a:ext cx="8640000" cy="5400000"/>
                    </a:xfrm>
                    <a:prstGeom prst="rect">
                      <a:avLst/>
                    </a:prstGeom>
                  </pic:spPr>
                </pic:pic>
              </a:graphicData>
            </a:graphic>
          </wp:inline>
        </w:drawing>
      </w:r>
    </w:p>
    <w:p w14:paraId="0098B15E" w14:textId="77777777" w:rsidR="00D41D03" w:rsidRPr="00782908" w:rsidRDefault="002E3D95" w:rsidP="00D41D03">
      <w:pPr>
        <w:sectPr w:rsidR="00D41D03" w:rsidRPr="00782908" w:rsidSect="00935052">
          <w:footerReference w:type="default" r:id="rId82"/>
          <w:pgSz w:w="16840" w:h="11907" w:orient="landscape" w:code="9"/>
          <w:pgMar w:top="1440" w:right="1440" w:bottom="1440" w:left="1440" w:header="709" w:footer="720" w:gutter="0"/>
          <w:cols w:space="708"/>
          <w:docGrid w:linePitch="360"/>
        </w:sectPr>
      </w:pPr>
      <w:r>
        <w:rPr>
          <w:noProof/>
        </w:rPr>
        <w:lastRenderedPageBreak/>
        <mc:AlternateContent>
          <mc:Choice Requires="wps">
            <w:drawing>
              <wp:anchor distT="0" distB="0" distL="114300" distR="114300" simplePos="0" relativeHeight="251799552" behindDoc="0" locked="0" layoutInCell="1" allowOverlap="1" wp14:anchorId="0A0D38AC" wp14:editId="3843DBED">
                <wp:simplePos x="0" y="0"/>
                <wp:positionH relativeFrom="column">
                  <wp:posOffset>6991985</wp:posOffset>
                </wp:positionH>
                <wp:positionV relativeFrom="paragraph">
                  <wp:posOffset>4166235</wp:posOffset>
                </wp:positionV>
                <wp:extent cx="2244725" cy="1350645"/>
                <wp:effectExtent l="0" t="0" r="0" b="1905"/>
                <wp:wrapNone/>
                <wp:docPr id="2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4725" cy="1350645"/>
                        </a:xfrm>
                        <a:prstGeom prst="rect">
                          <a:avLst/>
                        </a:prstGeom>
                        <a:noFill/>
                        <a:ln w="9525">
                          <a:noFill/>
                          <a:miter lim="800000"/>
                          <a:headEnd/>
                          <a:tailEnd/>
                        </a:ln>
                      </wps:spPr>
                      <wps:txbx>
                        <w:txbxContent>
                          <w:p w14:paraId="043015BA" w14:textId="77777777" w:rsidR="00546C7F" w:rsidRPr="000328D9" w:rsidRDefault="00546C7F" w:rsidP="00D41D03">
                            <w:pPr>
                              <w:pStyle w:val="Caption"/>
                              <w:tabs>
                                <w:tab w:val="clear" w:pos="1134"/>
                              </w:tabs>
                              <w:ind w:left="284" w:hanging="284"/>
                              <w:rPr>
                                <w:sz w:val="18"/>
                              </w:rPr>
                            </w:pPr>
                            <w:r w:rsidRPr="000328D9">
                              <w:rPr>
                                <w:sz w:val="18"/>
                              </w:rPr>
                              <w:t xml:space="preserve">Figure </w:t>
                            </w:r>
                            <w:r>
                              <w:rPr>
                                <w:sz w:val="18"/>
                              </w:rPr>
                              <w:t>4</w:t>
                            </w:r>
                            <w:r>
                              <w:rPr>
                                <w:sz w:val="18"/>
                              </w:rPr>
                              <w:noBreakHyphen/>
                              <w:t>5f</w:t>
                            </w:r>
                            <w:r w:rsidRPr="000328D9">
                              <w:rPr>
                                <w:sz w:val="18"/>
                              </w:rPr>
                              <w:t xml:space="preserve">: (i) Sites are colour coded to identify location on maps, (ii) date of sampling relative to river flow over wet season, and (iii) mixing plots for </w:t>
                            </w:r>
                            <w:r>
                              <w:rPr>
                                <w:sz w:val="18"/>
                              </w:rPr>
                              <w:t>CDOM</w:t>
                            </w:r>
                            <w:r w:rsidRPr="000328D9">
                              <w:rPr>
                                <w:sz w:val="18"/>
                              </w:rPr>
                              <w:t xml:space="preserve"> in the Tully and Russell-Mulgrave regions for 2013-14.  Freshwater end were estimated from all s</w:t>
                            </w:r>
                            <w:r>
                              <w:rPr>
                                <w:sz w:val="18"/>
                              </w:rPr>
                              <w:t>amples collected at salinity &lt; 5 in each region</w:t>
                            </w:r>
                            <w:r w:rsidRPr="000328D9">
                              <w:rPr>
                                <w:sz w:val="18"/>
                              </w:rPr>
                              <w:t xml:space="preserve">.. </w:t>
                            </w:r>
                          </w:p>
                          <w:p w14:paraId="43BE323F" w14:textId="77777777" w:rsidR="00546C7F" w:rsidRPr="000328D9" w:rsidRDefault="00546C7F" w:rsidP="00D41D03">
                            <w:pPr>
                              <w:rPr>
                                <w:sz w:val="1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3" type="#_x0000_t202" style="position:absolute;left:0;text-align:left;margin-left:550.55pt;margin-top:328.05pt;width:176.75pt;height:106.35pt;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" filled="f" stroked="f">
                <v:textbox>
                  <w:txbxContent>
                    <w:p w14:paraId="043015BA" w14:textId="77777777" w:rsidR="00546C7F" w:rsidRPr="000328D9" w:rsidRDefault="00546C7F" w:rsidP="00D41D03">
                      <w:pPr>
                        <w:pStyle w:val="Caption"/>
                        <w:tabs>
                          <w:tab w:val="clear" w:pos="1134"/>
                        </w:tabs>
                        <w:ind w:left="284" w:hanging="284"/>
                        <w:rPr>
                          <w:sz w:val="18"/>
                        </w:rPr>
                      </w:pPr>
                      <w:r w:rsidRPr="000328D9">
                        <w:rPr>
                          <w:sz w:val="18"/>
                        </w:rPr>
                        <w:t xml:space="preserve">Figure </w:t>
                      </w:r>
                      <w:r>
                        <w:rPr>
                          <w:sz w:val="18"/>
                        </w:rPr>
                        <w:t>4</w:t>
                      </w:r>
                      <w:r>
                        <w:rPr>
                          <w:sz w:val="18"/>
                        </w:rPr>
                        <w:noBreakHyphen/>
                        <w:t>5f</w:t>
                      </w:r>
                      <w:r w:rsidRPr="000328D9">
                        <w:rPr>
                          <w:sz w:val="18"/>
                        </w:rPr>
                        <w:t xml:space="preserve">: (i) Sites are colour coded to identify location on maps, (ii) date of sampling relative to river flow over wet season, and (iii) mixing plots for </w:t>
                      </w:r>
                      <w:r>
                        <w:rPr>
                          <w:sz w:val="18"/>
                        </w:rPr>
                        <w:t>CDOM</w:t>
                      </w:r>
                      <w:r w:rsidRPr="000328D9">
                        <w:rPr>
                          <w:sz w:val="18"/>
                        </w:rPr>
                        <w:t xml:space="preserve"> in the Tully and Russell-Mulgrave regions for 2013-14.  Freshwater end were estimated from all s</w:t>
                      </w:r>
                      <w:r>
                        <w:rPr>
                          <w:sz w:val="18"/>
                        </w:rPr>
                        <w:t>amples collected at salinity &lt; 5 in each region</w:t>
                      </w:r>
                      <w:r w:rsidRPr="000328D9">
                        <w:rPr>
                          <w:sz w:val="18"/>
                        </w:rPr>
                        <w:t xml:space="preserve">.. </w:t>
                      </w:r>
                    </w:p>
                    <w:p w14:paraId="43BE323F" w14:textId="77777777" w:rsidR="00546C7F" w:rsidRPr="000328D9" w:rsidRDefault="00546C7F" w:rsidP="00D41D03">
                      <w:pPr>
                        <w:rPr>
                          <w:sz w:val="18"/>
                        </w:rPr>
                      </w:pPr>
                    </w:p>
                  </w:txbxContent>
                </v:textbox>
              </v:shape>
            </w:pict>
          </mc:Fallback>
        </mc:AlternateContent>
      </w:r>
      <w:r w:rsidR="00D41D03">
        <w:rPr>
          <w:noProof/>
        </w:rPr>
        <w:drawing>
          <wp:inline distT="0" distB="0" distL="0" distR="0" wp14:anchorId="1E58EAD7" wp14:editId="5E25BC77">
            <wp:extent cx="8640000" cy="5400000"/>
            <wp:effectExtent l="0" t="0" r="0" b="0"/>
            <wp:docPr id="73" name="Picture 73" descr=": (i) Sites are colour coded to identify location on maps, (ii) date of sampling relative to river flow over wet season, and (iii) mixing plots for CDOM in the Tully and Russell-Mulgrave regions for 2013-14.  Freshwater end were estimated from all samples collected at salinity &lt; 5. " title="Figure 4.5f, water quality graph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DOMfig.jpg"/>
                    <pic:cNvPicPr/>
                  </pic:nvPicPr>
                  <pic:blipFill>
                    <a:blip r:embed="rId83" cstate="screen">
                      <a:extLst>
                        <a:ext uri="{28A0092B-C50C-407E-A947-70E740481C1C}">
                          <a14:useLocalDpi xmlns:a14="http://schemas.microsoft.com/office/drawing/2010/main"/>
                        </a:ext>
                      </a:extLst>
                    </a:blip>
                    <a:stretch>
                      <a:fillRect/>
                    </a:stretch>
                  </pic:blipFill>
                  <pic:spPr>
                    <a:xfrm>
                      <a:off x="0" y="0"/>
                      <a:ext cx="8640000" cy="5400000"/>
                    </a:xfrm>
                    <a:prstGeom prst="rect">
                      <a:avLst/>
                    </a:prstGeom>
                  </pic:spPr>
                </pic:pic>
              </a:graphicData>
            </a:graphic>
          </wp:inline>
        </w:drawing>
      </w:r>
    </w:p>
    <w:p w14:paraId="7CD903BD" w14:textId="77777777" w:rsidR="0015270F" w:rsidRDefault="00BC5198" w:rsidP="0015270F">
      <w:r>
        <w:lastRenderedPageBreak/>
        <w:t xml:space="preserve">The </w:t>
      </w:r>
      <w:r w:rsidR="0015270F" w:rsidRPr="00A64178">
        <w:t>Spearman’s rank correlation coefficient</w:t>
      </w:r>
      <w:r>
        <w:t xml:space="preserve"> analysis</w:t>
      </w:r>
      <w:r w:rsidR="0015270F" w:rsidRPr="00A64178">
        <w:t xml:space="preserve"> identified few significant high correlations </w:t>
      </w:r>
      <w:r w:rsidR="009919D4" w:rsidRPr="00A64178">
        <w:t>(&gt;</w:t>
      </w:r>
      <w:r w:rsidR="009919D4">
        <w:t xml:space="preserve"> </w:t>
      </w:r>
      <w:r w:rsidR="009919D4" w:rsidRPr="00A64178">
        <w:t>0.60</w:t>
      </w:r>
      <w:r w:rsidR="009919D4">
        <w:t xml:space="preserve"> or &lt; -0.60 with p &lt; 0.01</w:t>
      </w:r>
      <w:r w:rsidR="009919D4" w:rsidRPr="00A64178">
        <w:t xml:space="preserve">) </w:t>
      </w:r>
      <w:r w:rsidR="0015270F" w:rsidRPr="00A64178">
        <w:t xml:space="preserve">for the WQ parameters sampled in the Wet Tropics, </w:t>
      </w:r>
      <w:r w:rsidR="00A64178" w:rsidRPr="00A64178">
        <w:t>particularly for sites in the Tully marine region.</w:t>
      </w:r>
      <w:r w:rsidR="009F36D8" w:rsidRPr="00A64178">
        <w:t xml:space="preserve"> (Tab</w:t>
      </w:r>
      <w:r w:rsidR="00A64178" w:rsidRPr="00A64178">
        <w:t>le</w:t>
      </w:r>
      <w:r w:rsidR="009F36D8" w:rsidRPr="00A64178">
        <w:t xml:space="preserve"> 4-5).</w:t>
      </w:r>
      <w:r w:rsidR="00A64178" w:rsidRPr="00A64178">
        <w:t xml:space="preserve"> Salinity was positively correlated with Si </w:t>
      </w:r>
      <w:r w:rsidR="009F36D8" w:rsidRPr="00A64178">
        <w:t>showing some consistence of the dilution process as its main driver over the wet season sampling</w:t>
      </w:r>
      <w:r w:rsidR="0015270F" w:rsidRPr="00A64178">
        <w:t xml:space="preserve">. </w:t>
      </w:r>
      <w:r w:rsidR="00A64178" w:rsidRPr="00A64178">
        <w:t>Significant correlations were also</w:t>
      </w:r>
      <w:r w:rsidR="0015270F" w:rsidRPr="00A64178">
        <w:t xml:space="preserve"> </w:t>
      </w:r>
      <w:r w:rsidR="009F36D8" w:rsidRPr="00A64178">
        <w:t xml:space="preserve">identified for the Tully </w:t>
      </w:r>
      <w:r w:rsidR="0015270F" w:rsidRPr="00A64178">
        <w:t xml:space="preserve">between different forms of the same nutrient (e.g., </w:t>
      </w:r>
      <w:r w:rsidR="009F36D8" w:rsidRPr="00A64178">
        <w:t>TN and PN</w:t>
      </w:r>
      <w:r w:rsidR="0015270F" w:rsidRPr="00A64178">
        <w:t>, r = 0.</w:t>
      </w:r>
      <w:r w:rsidR="009F36D8" w:rsidRPr="00A64178">
        <w:t>67</w:t>
      </w:r>
      <w:r w:rsidR="0015270F" w:rsidRPr="00A64178">
        <w:t>)</w:t>
      </w:r>
      <w:r w:rsidR="009F36D8" w:rsidRPr="00A64178">
        <w:t xml:space="preserve"> and between TP and TSS (r = 0.66)</w:t>
      </w:r>
      <w:r w:rsidR="0015270F" w:rsidRPr="00A64178">
        <w:t xml:space="preserve">. </w:t>
      </w:r>
      <w:r w:rsidR="009F36D8" w:rsidRPr="00A64178">
        <w:t>Russell-Mulgrave sites (Tab</w:t>
      </w:r>
      <w:r w:rsidR="00A64178" w:rsidRPr="00A64178">
        <w:t>le</w:t>
      </w:r>
      <w:r>
        <w:t xml:space="preserve"> </w:t>
      </w:r>
      <w:r w:rsidR="009F36D8" w:rsidRPr="00A64178">
        <w:t>4-6) presented more cases with high</w:t>
      </w:r>
      <w:r w:rsidR="00A64178" w:rsidRPr="00A64178">
        <w:t>er</w:t>
      </w:r>
      <w:r w:rsidR="009F36D8" w:rsidRPr="00A64178">
        <w:t xml:space="preserve"> correlation between their WQ parameters compared to the Tully sites. For example, S</w:t>
      </w:r>
      <w:r w:rsidR="00A64178" w:rsidRPr="00A64178">
        <w:t>i</w:t>
      </w:r>
      <w:r w:rsidR="009F36D8" w:rsidRPr="00A64178">
        <w:t xml:space="preserve">, salinity and temperature were </w:t>
      </w:r>
      <w:r w:rsidR="00A64178" w:rsidRPr="00A64178">
        <w:t xml:space="preserve">all </w:t>
      </w:r>
      <w:r w:rsidR="009F36D8" w:rsidRPr="00A64178">
        <w:t>correlated</w:t>
      </w:r>
      <w:r w:rsidR="009F36D8">
        <w:t xml:space="preserve"> against discharge</w:t>
      </w:r>
      <w:r w:rsidR="00A64178">
        <w:t>. T</w:t>
      </w:r>
      <w:r w:rsidR="009F36D8">
        <w:t xml:space="preserve">emperature, Si and PP were correlated against salinity, showing the importance of the flow and mixing process driving </w:t>
      </w:r>
      <w:r w:rsidR="00A64178">
        <w:t>these</w:t>
      </w:r>
      <w:r w:rsidR="009F36D8">
        <w:t xml:space="preserve"> WQ parameters (i.e., Si and PP). As </w:t>
      </w:r>
      <w:r w:rsidR="00A64178">
        <w:t>expected</w:t>
      </w:r>
      <w:r w:rsidR="009F36D8">
        <w:t>, PP and TP were correlated (r = 0.80)</w:t>
      </w:r>
      <w:r w:rsidR="00A64178">
        <w:t xml:space="preserve"> for both Tully and Russell-Mulgrave, showing PP as the main component of TP</w:t>
      </w:r>
      <w:r w:rsidR="009F36D8">
        <w:t>.</w:t>
      </w:r>
      <w:r w:rsidR="00DE47B8">
        <w:t xml:space="preserve"> The high and more frequent correlations observed for the Russell-Mulgrave data can be associated to the fact that Tully sites also are affected by the Murray River, whereas sites influenced by the Russell-Mulgrave do  not, generally, experience other river discharge. The embayment configuration of the Tully area, compared to the more open coast in the Russell-Mulgrave area, may restrict flushing in the Tully area. Therefore, water quality across the Russell-Mulgrave sites have a lower residence time, and therefore may be more driven by physical than biological process.  </w:t>
      </w:r>
    </w:p>
    <w:p w14:paraId="2C716A64" w14:textId="0E4547E1" w:rsidR="00D41D03" w:rsidRPr="00146710" w:rsidRDefault="00D41D03" w:rsidP="00146710">
      <w:pPr>
        <w:pStyle w:val="Caption"/>
      </w:pPr>
      <w:bookmarkStart w:id="156" w:name="_Toc454304610"/>
      <w:r w:rsidRPr="00146710">
        <w:t xml:space="preserve">Table </w:t>
      </w:r>
      <w:r w:rsidR="00445BD2">
        <w:fldChar w:fldCharType="begin"/>
      </w:r>
      <w:r w:rsidR="00445BD2">
        <w:instrText xml:space="preserve"> STYLEREF 1 \s </w:instrText>
      </w:r>
      <w:r w:rsidR="00445BD2">
        <w:fldChar w:fldCharType="separate"/>
      </w:r>
      <w:r w:rsidR="000E22F3">
        <w:rPr>
          <w:noProof/>
        </w:rPr>
        <w:t>4</w:t>
      </w:r>
      <w:r w:rsidR="00445BD2">
        <w:fldChar w:fldCharType="end"/>
      </w:r>
      <w:r w:rsidR="00445BD2">
        <w:noBreakHyphen/>
      </w:r>
      <w:r w:rsidR="00445BD2">
        <w:fldChar w:fldCharType="begin"/>
      </w:r>
      <w:r w:rsidR="00445BD2">
        <w:instrText xml:space="preserve"> SEQ Table \* ARABIC \s 1 </w:instrText>
      </w:r>
      <w:r w:rsidR="00445BD2">
        <w:fldChar w:fldCharType="separate"/>
      </w:r>
      <w:r w:rsidR="000E22F3">
        <w:rPr>
          <w:noProof/>
        </w:rPr>
        <w:t>5</w:t>
      </w:r>
      <w:r w:rsidR="00445BD2">
        <w:fldChar w:fldCharType="end"/>
      </w:r>
      <w:r w:rsidRPr="00146710">
        <w:t>: Spearman’s rank correlation coefficients for the parameters from the Tully sites sampled more than 20 times in the Wet Tropics in the 2013-2014 wet season. All highlighted values are significant at p &lt; 0.01 and rep</w:t>
      </w:r>
      <w:r w:rsidR="009919D4" w:rsidRPr="00146710">
        <w:t>resent a correlation &gt;0.6 or &lt;-</w:t>
      </w:r>
      <w:r w:rsidRPr="00146710">
        <w:t>0</w:t>
      </w:r>
      <w:r w:rsidR="009919D4" w:rsidRPr="00146710">
        <w:t>.</w:t>
      </w:r>
      <w:r w:rsidRPr="00146710">
        <w:t>6. Parameters listed in the table are 5-day average discharge (Disch.), distance between the river mouth and the sampling site Dist.), surface salinity (Sal.),  surface water temperature (Temp.), TSS, Chl-a TN, PN, DIN, TP, PP, DIP and Si.</w:t>
      </w:r>
      <w:bookmarkEnd w:id="156"/>
    </w:p>
    <w:p w14:paraId="160B3F98" w14:textId="77777777" w:rsidR="00D41D03" w:rsidRPr="00620AEC" w:rsidRDefault="00D41D03" w:rsidP="00D41D03">
      <w:pPr>
        <w:rPr>
          <w:rFonts w:ascii="Arial" w:hAnsi="Arial" w:cs="Arial"/>
          <w:color w:val="A6A6A6" w:themeColor="background1" w:themeShade="A6"/>
        </w:rPr>
      </w:pPr>
    </w:p>
    <w:tbl>
      <w:tblPr>
        <w:tblW w:w="5084" w:type="pct"/>
        <w:tblLook w:val="04A0" w:firstRow="1" w:lastRow="0" w:firstColumn="1" w:lastColumn="0" w:noHBand="0" w:noVBand="1"/>
        <w:tblCaption w:val="Spearman’s rank correlation coefficients for the parameters from the Tully sites"/>
        <w:tblDescription w:val="Spearman’s rank correlation coefficients for the parameters from the Tully sites sampled more than 20 times in the Wet Tropics in the 2013-2014 wet season. All highlighted values are significant at p &lt; 0.01 and represent a correlation &gt;0.6 or &lt;-.06. Parameters listed in the table are 5-day average discharge (Disch.), distance between the river mouth and the sampling site Dist.), surface salinity (Sal.),  surface water temperature (Temp.), TSS, Chl-a TN, PN, DIN, TP, PP, DIP and Si."/>
      </w:tblPr>
      <w:tblGrid>
        <w:gridCol w:w="738"/>
        <w:gridCol w:w="714"/>
        <w:gridCol w:w="641"/>
        <w:gridCol w:w="641"/>
        <w:gridCol w:w="895"/>
        <w:gridCol w:w="641"/>
        <w:gridCol w:w="641"/>
        <w:gridCol w:w="641"/>
        <w:gridCol w:w="641"/>
        <w:gridCol w:w="641"/>
        <w:gridCol w:w="641"/>
        <w:gridCol w:w="641"/>
        <w:gridCol w:w="641"/>
        <w:gridCol w:w="641"/>
      </w:tblGrid>
      <w:tr w:rsidR="00D41D03" w:rsidRPr="00BC5198" w14:paraId="455B4D7A" w14:textId="77777777" w:rsidTr="00BC5198">
        <w:trPr>
          <w:trHeight w:val="20"/>
        </w:trPr>
        <w:tc>
          <w:tcPr>
            <w:tcW w:w="393" w:type="pct"/>
            <w:tcBorders>
              <w:top w:val="single" w:sz="4" w:space="0" w:color="auto"/>
              <w:left w:val="nil"/>
              <w:bottom w:val="single" w:sz="4" w:space="0" w:color="auto"/>
              <w:right w:val="nil"/>
            </w:tcBorders>
            <w:shd w:val="clear" w:color="auto" w:fill="auto"/>
            <w:noWrap/>
            <w:vAlign w:val="center"/>
            <w:hideMark/>
          </w:tcPr>
          <w:p w14:paraId="489365B6" w14:textId="77777777" w:rsidR="00D41D03" w:rsidRPr="00BC5198" w:rsidRDefault="00D41D03" w:rsidP="00BC5198">
            <w:pPr>
              <w:spacing w:before="0" w:after="0"/>
              <w:jc w:val="left"/>
              <w:rPr>
                <w:rFonts w:cs="Times New Roman"/>
                <w:color w:val="000000"/>
                <w:sz w:val="20"/>
                <w:szCs w:val="20"/>
              </w:rPr>
            </w:pPr>
            <w:r w:rsidRPr="00BC5198">
              <w:rPr>
                <w:rFonts w:cs="Times New Roman"/>
                <w:color w:val="000000"/>
                <w:sz w:val="20"/>
                <w:szCs w:val="20"/>
              </w:rPr>
              <w:t> </w:t>
            </w:r>
          </w:p>
        </w:tc>
        <w:tc>
          <w:tcPr>
            <w:tcW w:w="380" w:type="pct"/>
            <w:tcBorders>
              <w:top w:val="single" w:sz="4" w:space="0" w:color="auto"/>
              <w:left w:val="nil"/>
              <w:bottom w:val="single" w:sz="4" w:space="0" w:color="auto"/>
              <w:right w:val="nil"/>
            </w:tcBorders>
            <w:shd w:val="clear" w:color="auto" w:fill="auto"/>
            <w:noWrap/>
            <w:vAlign w:val="bottom"/>
            <w:hideMark/>
          </w:tcPr>
          <w:p w14:paraId="59B1D97F"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Disch.</w:t>
            </w:r>
          </w:p>
        </w:tc>
        <w:tc>
          <w:tcPr>
            <w:tcW w:w="341" w:type="pct"/>
            <w:tcBorders>
              <w:top w:val="single" w:sz="4" w:space="0" w:color="auto"/>
              <w:left w:val="nil"/>
              <w:bottom w:val="single" w:sz="4" w:space="0" w:color="auto"/>
              <w:right w:val="nil"/>
            </w:tcBorders>
            <w:shd w:val="clear" w:color="auto" w:fill="auto"/>
            <w:noWrap/>
            <w:vAlign w:val="bottom"/>
            <w:hideMark/>
          </w:tcPr>
          <w:p w14:paraId="16F1C9EF"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Dist.</w:t>
            </w:r>
          </w:p>
        </w:tc>
        <w:tc>
          <w:tcPr>
            <w:tcW w:w="341" w:type="pct"/>
            <w:tcBorders>
              <w:top w:val="single" w:sz="4" w:space="0" w:color="auto"/>
              <w:left w:val="nil"/>
              <w:bottom w:val="single" w:sz="4" w:space="0" w:color="auto"/>
              <w:right w:val="nil"/>
            </w:tcBorders>
            <w:shd w:val="clear" w:color="auto" w:fill="auto"/>
            <w:noWrap/>
            <w:vAlign w:val="bottom"/>
            <w:hideMark/>
          </w:tcPr>
          <w:p w14:paraId="54DCA5C6"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Sal.</w:t>
            </w:r>
          </w:p>
        </w:tc>
        <w:tc>
          <w:tcPr>
            <w:tcW w:w="476" w:type="pct"/>
            <w:tcBorders>
              <w:top w:val="single" w:sz="4" w:space="0" w:color="auto"/>
              <w:left w:val="nil"/>
              <w:bottom w:val="single" w:sz="4" w:space="0" w:color="auto"/>
              <w:right w:val="nil"/>
            </w:tcBorders>
            <w:shd w:val="clear" w:color="auto" w:fill="auto"/>
            <w:noWrap/>
            <w:vAlign w:val="bottom"/>
            <w:hideMark/>
          </w:tcPr>
          <w:p w14:paraId="2FD06F81"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Temp.</w:t>
            </w:r>
          </w:p>
        </w:tc>
        <w:tc>
          <w:tcPr>
            <w:tcW w:w="341" w:type="pct"/>
            <w:tcBorders>
              <w:top w:val="single" w:sz="4" w:space="0" w:color="auto"/>
              <w:left w:val="nil"/>
              <w:bottom w:val="single" w:sz="4" w:space="0" w:color="auto"/>
              <w:right w:val="nil"/>
            </w:tcBorders>
            <w:shd w:val="clear" w:color="auto" w:fill="auto"/>
            <w:noWrap/>
            <w:vAlign w:val="bottom"/>
            <w:hideMark/>
          </w:tcPr>
          <w:p w14:paraId="6A5261C8"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TSS</w:t>
            </w:r>
          </w:p>
        </w:tc>
        <w:tc>
          <w:tcPr>
            <w:tcW w:w="341" w:type="pct"/>
            <w:tcBorders>
              <w:top w:val="single" w:sz="4" w:space="0" w:color="auto"/>
              <w:left w:val="nil"/>
              <w:bottom w:val="single" w:sz="4" w:space="0" w:color="auto"/>
              <w:right w:val="nil"/>
            </w:tcBorders>
            <w:shd w:val="clear" w:color="auto" w:fill="auto"/>
            <w:noWrap/>
            <w:vAlign w:val="bottom"/>
            <w:hideMark/>
          </w:tcPr>
          <w:p w14:paraId="757E1F27"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Chl-</w:t>
            </w:r>
            <w:r w:rsidR="00BC5198">
              <w:rPr>
                <w:rFonts w:cs="Times New Roman"/>
                <w:color w:val="000000"/>
                <w:sz w:val="20"/>
                <w:szCs w:val="20"/>
              </w:rPr>
              <w:t>a</w:t>
            </w:r>
          </w:p>
        </w:tc>
        <w:tc>
          <w:tcPr>
            <w:tcW w:w="341" w:type="pct"/>
            <w:tcBorders>
              <w:top w:val="single" w:sz="4" w:space="0" w:color="auto"/>
              <w:left w:val="nil"/>
              <w:bottom w:val="single" w:sz="4" w:space="0" w:color="auto"/>
              <w:right w:val="nil"/>
            </w:tcBorders>
            <w:shd w:val="clear" w:color="auto" w:fill="auto"/>
            <w:noWrap/>
            <w:vAlign w:val="bottom"/>
            <w:hideMark/>
          </w:tcPr>
          <w:p w14:paraId="027E11C9"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TN</w:t>
            </w:r>
          </w:p>
        </w:tc>
        <w:tc>
          <w:tcPr>
            <w:tcW w:w="341" w:type="pct"/>
            <w:tcBorders>
              <w:top w:val="single" w:sz="4" w:space="0" w:color="auto"/>
              <w:left w:val="nil"/>
              <w:bottom w:val="single" w:sz="4" w:space="0" w:color="auto"/>
              <w:right w:val="nil"/>
            </w:tcBorders>
            <w:shd w:val="clear" w:color="auto" w:fill="auto"/>
            <w:noWrap/>
            <w:vAlign w:val="bottom"/>
            <w:hideMark/>
          </w:tcPr>
          <w:p w14:paraId="397CEDD0"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PN</w:t>
            </w:r>
          </w:p>
        </w:tc>
        <w:tc>
          <w:tcPr>
            <w:tcW w:w="341" w:type="pct"/>
            <w:tcBorders>
              <w:top w:val="single" w:sz="4" w:space="0" w:color="auto"/>
              <w:left w:val="nil"/>
              <w:bottom w:val="single" w:sz="4" w:space="0" w:color="auto"/>
              <w:right w:val="nil"/>
            </w:tcBorders>
            <w:shd w:val="clear" w:color="auto" w:fill="auto"/>
            <w:noWrap/>
            <w:vAlign w:val="bottom"/>
            <w:hideMark/>
          </w:tcPr>
          <w:p w14:paraId="08BC1B56"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DIN</w:t>
            </w:r>
          </w:p>
        </w:tc>
        <w:tc>
          <w:tcPr>
            <w:tcW w:w="341" w:type="pct"/>
            <w:tcBorders>
              <w:top w:val="single" w:sz="4" w:space="0" w:color="auto"/>
              <w:left w:val="nil"/>
              <w:bottom w:val="single" w:sz="4" w:space="0" w:color="auto"/>
              <w:right w:val="nil"/>
            </w:tcBorders>
            <w:shd w:val="clear" w:color="auto" w:fill="auto"/>
            <w:noWrap/>
            <w:vAlign w:val="bottom"/>
            <w:hideMark/>
          </w:tcPr>
          <w:p w14:paraId="33716365"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TP</w:t>
            </w:r>
          </w:p>
        </w:tc>
        <w:tc>
          <w:tcPr>
            <w:tcW w:w="341" w:type="pct"/>
            <w:tcBorders>
              <w:top w:val="single" w:sz="4" w:space="0" w:color="auto"/>
              <w:left w:val="nil"/>
              <w:bottom w:val="single" w:sz="4" w:space="0" w:color="auto"/>
              <w:right w:val="nil"/>
            </w:tcBorders>
            <w:shd w:val="clear" w:color="auto" w:fill="auto"/>
            <w:noWrap/>
            <w:vAlign w:val="bottom"/>
            <w:hideMark/>
          </w:tcPr>
          <w:p w14:paraId="1FFEF987"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PP</w:t>
            </w:r>
          </w:p>
        </w:tc>
        <w:tc>
          <w:tcPr>
            <w:tcW w:w="341" w:type="pct"/>
            <w:tcBorders>
              <w:top w:val="single" w:sz="4" w:space="0" w:color="auto"/>
              <w:left w:val="nil"/>
              <w:bottom w:val="single" w:sz="4" w:space="0" w:color="auto"/>
              <w:right w:val="nil"/>
            </w:tcBorders>
            <w:shd w:val="clear" w:color="auto" w:fill="auto"/>
            <w:noWrap/>
            <w:vAlign w:val="bottom"/>
            <w:hideMark/>
          </w:tcPr>
          <w:p w14:paraId="13B76FBC"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DIP</w:t>
            </w:r>
          </w:p>
        </w:tc>
        <w:tc>
          <w:tcPr>
            <w:tcW w:w="341" w:type="pct"/>
            <w:tcBorders>
              <w:top w:val="single" w:sz="4" w:space="0" w:color="auto"/>
              <w:left w:val="nil"/>
              <w:bottom w:val="single" w:sz="4" w:space="0" w:color="auto"/>
              <w:right w:val="nil"/>
            </w:tcBorders>
            <w:shd w:val="clear" w:color="auto" w:fill="auto"/>
            <w:noWrap/>
            <w:vAlign w:val="bottom"/>
            <w:hideMark/>
          </w:tcPr>
          <w:p w14:paraId="7F4641E8"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Si</w:t>
            </w:r>
          </w:p>
        </w:tc>
      </w:tr>
      <w:tr w:rsidR="00D41D03" w:rsidRPr="00BC5198" w14:paraId="780F4857" w14:textId="77777777" w:rsidTr="00BC5198">
        <w:trPr>
          <w:trHeight w:val="20"/>
        </w:trPr>
        <w:tc>
          <w:tcPr>
            <w:tcW w:w="393" w:type="pct"/>
            <w:tcBorders>
              <w:top w:val="nil"/>
              <w:left w:val="nil"/>
              <w:bottom w:val="nil"/>
              <w:right w:val="nil"/>
            </w:tcBorders>
            <w:shd w:val="clear" w:color="auto" w:fill="auto"/>
            <w:noWrap/>
            <w:vAlign w:val="bottom"/>
            <w:hideMark/>
          </w:tcPr>
          <w:p w14:paraId="5AB8263F" w14:textId="77777777" w:rsidR="00D41D03" w:rsidRPr="00BC5198" w:rsidRDefault="00D41D03" w:rsidP="00BC5198">
            <w:pPr>
              <w:spacing w:before="0" w:after="0"/>
              <w:jc w:val="left"/>
              <w:rPr>
                <w:rFonts w:cs="Times New Roman"/>
                <w:color w:val="000000"/>
                <w:sz w:val="20"/>
                <w:szCs w:val="20"/>
              </w:rPr>
            </w:pPr>
            <w:r w:rsidRPr="00BC5198">
              <w:rPr>
                <w:rFonts w:cs="Times New Roman"/>
                <w:color w:val="000000"/>
                <w:sz w:val="20"/>
                <w:szCs w:val="20"/>
              </w:rPr>
              <w:t>Disch.</w:t>
            </w:r>
          </w:p>
        </w:tc>
        <w:tc>
          <w:tcPr>
            <w:tcW w:w="380" w:type="pct"/>
            <w:tcBorders>
              <w:top w:val="nil"/>
              <w:left w:val="nil"/>
              <w:bottom w:val="nil"/>
              <w:right w:val="nil"/>
            </w:tcBorders>
            <w:shd w:val="clear" w:color="auto" w:fill="auto"/>
            <w:noWrap/>
            <w:vAlign w:val="bottom"/>
            <w:hideMark/>
          </w:tcPr>
          <w:p w14:paraId="65A0326D"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1</w:t>
            </w:r>
          </w:p>
        </w:tc>
        <w:tc>
          <w:tcPr>
            <w:tcW w:w="341" w:type="pct"/>
            <w:tcBorders>
              <w:top w:val="nil"/>
              <w:left w:val="nil"/>
              <w:bottom w:val="nil"/>
              <w:right w:val="nil"/>
            </w:tcBorders>
            <w:shd w:val="clear" w:color="auto" w:fill="auto"/>
            <w:noWrap/>
            <w:vAlign w:val="bottom"/>
            <w:hideMark/>
          </w:tcPr>
          <w:p w14:paraId="4DBB5CE2"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0.01</w:t>
            </w:r>
          </w:p>
        </w:tc>
        <w:tc>
          <w:tcPr>
            <w:tcW w:w="341" w:type="pct"/>
            <w:tcBorders>
              <w:top w:val="nil"/>
              <w:left w:val="nil"/>
              <w:bottom w:val="nil"/>
              <w:right w:val="nil"/>
            </w:tcBorders>
            <w:shd w:val="clear" w:color="auto" w:fill="auto"/>
            <w:noWrap/>
            <w:vAlign w:val="bottom"/>
            <w:hideMark/>
          </w:tcPr>
          <w:p w14:paraId="27E7296A"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-0.59</w:t>
            </w:r>
          </w:p>
        </w:tc>
        <w:tc>
          <w:tcPr>
            <w:tcW w:w="476" w:type="pct"/>
            <w:tcBorders>
              <w:top w:val="nil"/>
              <w:left w:val="nil"/>
              <w:bottom w:val="nil"/>
              <w:right w:val="nil"/>
            </w:tcBorders>
            <w:shd w:val="clear" w:color="auto" w:fill="auto"/>
            <w:noWrap/>
            <w:vAlign w:val="bottom"/>
            <w:hideMark/>
          </w:tcPr>
          <w:p w14:paraId="6A2C7CC8"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-0.43</w:t>
            </w:r>
          </w:p>
        </w:tc>
        <w:tc>
          <w:tcPr>
            <w:tcW w:w="341" w:type="pct"/>
            <w:tcBorders>
              <w:top w:val="nil"/>
              <w:left w:val="nil"/>
              <w:bottom w:val="nil"/>
              <w:right w:val="nil"/>
            </w:tcBorders>
            <w:shd w:val="clear" w:color="auto" w:fill="auto"/>
            <w:noWrap/>
            <w:vAlign w:val="bottom"/>
            <w:hideMark/>
          </w:tcPr>
          <w:p w14:paraId="47BBE41D"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0.45</w:t>
            </w:r>
          </w:p>
        </w:tc>
        <w:tc>
          <w:tcPr>
            <w:tcW w:w="341" w:type="pct"/>
            <w:tcBorders>
              <w:top w:val="nil"/>
              <w:left w:val="nil"/>
              <w:bottom w:val="nil"/>
              <w:right w:val="nil"/>
            </w:tcBorders>
            <w:shd w:val="clear" w:color="auto" w:fill="auto"/>
            <w:noWrap/>
            <w:vAlign w:val="bottom"/>
            <w:hideMark/>
          </w:tcPr>
          <w:p w14:paraId="0E2B161D"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0.29</w:t>
            </w:r>
          </w:p>
        </w:tc>
        <w:tc>
          <w:tcPr>
            <w:tcW w:w="341" w:type="pct"/>
            <w:tcBorders>
              <w:top w:val="nil"/>
              <w:left w:val="nil"/>
              <w:bottom w:val="nil"/>
              <w:right w:val="nil"/>
            </w:tcBorders>
            <w:shd w:val="clear" w:color="auto" w:fill="auto"/>
            <w:noWrap/>
            <w:vAlign w:val="bottom"/>
            <w:hideMark/>
          </w:tcPr>
          <w:p w14:paraId="25FC0764"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-0.03</w:t>
            </w:r>
          </w:p>
        </w:tc>
        <w:tc>
          <w:tcPr>
            <w:tcW w:w="341" w:type="pct"/>
            <w:tcBorders>
              <w:top w:val="nil"/>
              <w:left w:val="nil"/>
              <w:bottom w:val="nil"/>
              <w:right w:val="nil"/>
            </w:tcBorders>
            <w:shd w:val="clear" w:color="auto" w:fill="auto"/>
            <w:noWrap/>
            <w:vAlign w:val="bottom"/>
            <w:hideMark/>
          </w:tcPr>
          <w:p w14:paraId="50B44B4A"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-0.03</w:t>
            </w:r>
          </w:p>
        </w:tc>
        <w:tc>
          <w:tcPr>
            <w:tcW w:w="341" w:type="pct"/>
            <w:tcBorders>
              <w:top w:val="nil"/>
              <w:left w:val="nil"/>
              <w:bottom w:val="nil"/>
              <w:right w:val="nil"/>
            </w:tcBorders>
            <w:shd w:val="clear" w:color="auto" w:fill="auto"/>
            <w:noWrap/>
            <w:vAlign w:val="bottom"/>
            <w:hideMark/>
          </w:tcPr>
          <w:p w14:paraId="2FB9260F"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0.53</w:t>
            </w:r>
          </w:p>
        </w:tc>
        <w:tc>
          <w:tcPr>
            <w:tcW w:w="341" w:type="pct"/>
            <w:tcBorders>
              <w:top w:val="nil"/>
              <w:left w:val="nil"/>
              <w:bottom w:val="nil"/>
              <w:right w:val="nil"/>
            </w:tcBorders>
            <w:shd w:val="clear" w:color="auto" w:fill="auto"/>
            <w:noWrap/>
            <w:vAlign w:val="bottom"/>
            <w:hideMark/>
          </w:tcPr>
          <w:p w14:paraId="6CF5CE8F"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0.19</w:t>
            </w:r>
          </w:p>
        </w:tc>
        <w:tc>
          <w:tcPr>
            <w:tcW w:w="341" w:type="pct"/>
            <w:tcBorders>
              <w:top w:val="nil"/>
              <w:left w:val="nil"/>
              <w:bottom w:val="nil"/>
              <w:right w:val="nil"/>
            </w:tcBorders>
            <w:shd w:val="clear" w:color="auto" w:fill="auto"/>
            <w:noWrap/>
            <w:vAlign w:val="bottom"/>
            <w:hideMark/>
          </w:tcPr>
          <w:p w14:paraId="2D023E3C"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0.24</w:t>
            </w:r>
          </w:p>
        </w:tc>
        <w:tc>
          <w:tcPr>
            <w:tcW w:w="341" w:type="pct"/>
            <w:tcBorders>
              <w:top w:val="nil"/>
              <w:left w:val="nil"/>
              <w:bottom w:val="nil"/>
              <w:right w:val="nil"/>
            </w:tcBorders>
            <w:shd w:val="clear" w:color="auto" w:fill="auto"/>
            <w:noWrap/>
            <w:vAlign w:val="bottom"/>
            <w:hideMark/>
          </w:tcPr>
          <w:p w14:paraId="4A1A480E"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0.01</w:t>
            </w:r>
          </w:p>
        </w:tc>
        <w:tc>
          <w:tcPr>
            <w:tcW w:w="341" w:type="pct"/>
            <w:tcBorders>
              <w:top w:val="nil"/>
              <w:left w:val="nil"/>
              <w:bottom w:val="nil"/>
              <w:right w:val="nil"/>
            </w:tcBorders>
            <w:shd w:val="clear" w:color="auto" w:fill="auto"/>
            <w:noWrap/>
            <w:vAlign w:val="bottom"/>
            <w:hideMark/>
          </w:tcPr>
          <w:p w14:paraId="6D4B2D21"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0.44</w:t>
            </w:r>
          </w:p>
        </w:tc>
      </w:tr>
      <w:tr w:rsidR="00D41D03" w:rsidRPr="00BC5198" w14:paraId="672B7B75" w14:textId="77777777" w:rsidTr="00BC5198">
        <w:trPr>
          <w:trHeight w:val="20"/>
        </w:trPr>
        <w:tc>
          <w:tcPr>
            <w:tcW w:w="393" w:type="pct"/>
            <w:tcBorders>
              <w:top w:val="nil"/>
              <w:left w:val="nil"/>
              <w:bottom w:val="nil"/>
              <w:right w:val="nil"/>
            </w:tcBorders>
            <w:shd w:val="clear" w:color="auto" w:fill="auto"/>
            <w:noWrap/>
            <w:vAlign w:val="bottom"/>
            <w:hideMark/>
          </w:tcPr>
          <w:p w14:paraId="7D572D75" w14:textId="77777777" w:rsidR="00D41D03" w:rsidRPr="00BC5198" w:rsidRDefault="00D41D03" w:rsidP="00BC5198">
            <w:pPr>
              <w:spacing w:before="0" w:after="0"/>
              <w:jc w:val="left"/>
              <w:rPr>
                <w:rFonts w:cs="Times New Roman"/>
                <w:color w:val="000000"/>
                <w:sz w:val="20"/>
                <w:szCs w:val="20"/>
              </w:rPr>
            </w:pPr>
            <w:r w:rsidRPr="00BC5198">
              <w:rPr>
                <w:rFonts w:cs="Times New Roman"/>
                <w:color w:val="000000"/>
                <w:sz w:val="20"/>
                <w:szCs w:val="20"/>
              </w:rPr>
              <w:t>Dist.</w:t>
            </w:r>
          </w:p>
        </w:tc>
        <w:tc>
          <w:tcPr>
            <w:tcW w:w="380" w:type="pct"/>
            <w:tcBorders>
              <w:top w:val="nil"/>
              <w:left w:val="nil"/>
              <w:bottom w:val="nil"/>
              <w:right w:val="nil"/>
            </w:tcBorders>
            <w:shd w:val="clear" w:color="auto" w:fill="auto"/>
            <w:noWrap/>
            <w:vAlign w:val="bottom"/>
            <w:hideMark/>
          </w:tcPr>
          <w:p w14:paraId="1477EB73"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0.01</w:t>
            </w:r>
          </w:p>
        </w:tc>
        <w:tc>
          <w:tcPr>
            <w:tcW w:w="341" w:type="pct"/>
            <w:tcBorders>
              <w:top w:val="nil"/>
              <w:left w:val="nil"/>
              <w:bottom w:val="nil"/>
              <w:right w:val="nil"/>
            </w:tcBorders>
            <w:shd w:val="clear" w:color="auto" w:fill="auto"/>
            <w:noWrap/>
            <w:vAlign w:val="bottom"/>
            <w:hideMark/>
          </w:tcPr>
          <w:p w14:paraId="57905DB0"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1</w:t>
            </w:r>
          </w:p>
        </w:tc>
        <w:tc>
          <w:tcPr>
            <w:tcW w:w="341" w:type="pct"/>
            <w:tcBorders>
              <w:top w:val="nil"/>
              <w:left w:val="nil"/>
              <w:bottom w:val="nil"/>
              <w:right w:val="nil"/>
            </w:tcBorders>
            <w:shd w:val="clear" w:color="auto" w:fill="auto"/>
            <w:noWrap/>
            <w:vAlign w:val="bottom"/>
            <w:hideMark/>
          </w:tcPr>
          <w:p w14:paraId="58670AA5"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0.33</w:t>
            </w:r>
          </w:p>
        </w:tc>
        <w:tc>
          <w:tcPr>
            <w:tcW w:w="476" w:type="pct"/>
            <w:tcBorders>
              <w:top w:val="nil"/>
              <w:left w:val="nil"/>
              <w:bottom w:val="nil"/>
              <w:right w:val="nil"/>
            </w:tcBorders>
            <w:shd w:val="clear" w:color="auto" w:fill="auto"/>
            <w:noWrap/>
            <w:vAlign w:val="bottom"/>
            <w:hideMark/>
          </w:tcPr>
          <w:p w14:paraId="04103064"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0.11</w:t>
            </w:r>
          </w:p>
        </w:tc>
        <w:tc>
          <w:tcPr>
            <w:tcW w:w="341" w:type="pct"/>
            <w:tcBorders>
              <w:top w:val="nil"/>
              <w:left w:val="nil"/>
              <w:bottom w:val="nil"/>
              <w:right w:val="nil"/>
            </w:tcBorders>
            <w:shd w:val="clear" w:color="auto" w:fill="auto"/>
            <w:noWrap/>
            <w:vAlign w:val="bottom"/>
            <w:hideMark/>
          </w:tcPr>
          <w:p w14:paraId="7C1D14A3"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-0.57</w:t>
            </w:r>
          </w:p>
        </w:tc>
        <w:tc>
          <w:tcPr>
            <w:tcW w:w="341" w:type="pct"/>
            <w:tcBorders>
              <w:top w:val="nil"/>
              <w:left w:val="nil"/>
              <w:bottom w:val="nil"/>
              <w:right w:val="nil"/>
            </w:tcBorders>
            <w:shd w:val="clear" w:color="auto" w:fill="auto"/>
            <w:noWrap/>
            <w:vAlign w:val="bottom"/>
            <w:hideMark/>
          </w:tcPr>
          <w:p w14:paraId="02ADA6C8"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-0.05</w:t>
            </w:r>
          </w:p>
        </w:tc>
        <w:tc>
          <w:tcPr>
            <w:tcW w:w="341" w:type="pct"/>
            <w:tcBorders>
              <w:top w:val="nil"/>
              <w:left w:val="nil"/>
              <w:bottom w:val="nil"/>
              <w:right w:val="nil"/>
            </w:tcBorders>
            <w:shd w:val="clear" w:color="auto" w:fill="auto"/>
            <w:noWrap/>
            <w:vAlign w:val="bottom"/>
            <w:hideMark/>
          </w:tcPr>
          <w:p w14:paraId="5AE3F9FB"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-0.38</w:t>
            </w:r>
          </w:p>
        </w:tc>
        <w:tc>
          <w:tcPr>
            <w:tcW w:w="341" w:type="pct"/>
            <w:tcBorders>
              <w:top w:val="nil"/>
              <w:left w:val="nil"/>
              <w:bottom w:val="nil"/>
              <w:right w:val="nil"/>
            </w:tcBorders>
            <w:shd w:val="clear" w:color="auto" w:fill="auto"/>
            <w:noWrap/>
            <w:vAlign w:val="bottom"/>
            <w:hideMark/>
          </w:tcPr>
          <w:p w14:paraId="76F9FC48"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-0.45</w:t>
            </w:r>
          </w:p>
        </w:tc>
        <w:tc>
          <w:tcPr>
            <w:tcW w:w="341" w:type="pct"/>
            <w:tcBorders>
              <w:top w:val="nil"/>
              <w:left w:val="nil"/>
              <w:bottom w:val="nil"/>
              <w:right w:val="nil"/>
            </w:tcBorders>
            <w:shd w:val="clear" w:color="auto" w:fill="auto"/>
            <w:noWrap/>
            <w:vAlign w:val="bottom"/>
            <w:hideMark/>
          </w:tcPr>
          <w:p w14:paraId="6F504ECA"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-0.25</w:t>
            </w:r>
          </w:p>
        </w:tc>
        <w:tc>
          <w:tcPr>
            <w:tcW w:w="341" w:type="pct"/>
            <w:tcBorders>
              <w:top w:val="nil"/>
              <w:left w:val="nil"/>
              <w:bottom w:val="nil"/>
              <w:right w:val="nil"/>
            </w:tcBorders>
            <w:shd w:val="clear" w:color="auto" w:fill="auto"/>
            <w:noWrap/>
            <w:vAlign w:val="bottom"/>
            <w:hideMark/>
          </w:tcPr>
          <w:p w14:paraId="76EB864D"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-0.54</w:t>
            </w:r>
          </w:p>
        </w:tc>
        <w:tc>
          <w:tcPr>
            <w:tcW w:w="341" w:type="pct"/>
            <w:tcBorders>
              <w:top w:val="nil"/>
              <w:left w:val="nil"/>
              <w:bottom w:val="nil"/>
              <w:right w:val="nil"/>
            </w:tcBorders>
            <w:shd w:val="clear" w:color="auto" w:fill="auto"/>
            <w:noWrap/>
            <w:vAlign w:val="bottom"/>
            <w:hideMark/>
          </w:tcPr>
          <w:p w14:paraId="448C3FF8"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-0.39</w:t>
            </w:r>
          </w:p>
        </w:tc>
        <w:tc>
          <w:tcPr>
            <w:tcW w:w="341" w:type="pct"/>
            <w:tcBorders>
              <w:top w:val="nil"/>
              <w:left w:val="nil"/>
              <w:bottom w:val="nil"/>
              <w:right w:val="nil"/>
            </w:tcBorders>
            <w:shd w:val="clear" w:color="auto" w:fill="auto"/>
            <w:noWrap/>
            <w:vAlign w:val="bottom"/>
            <w:hideMark/>
          </w:tcPr>
          <w:p w14:paraId="537EDAA5"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-0.03</w:t>
            </w:r>
          </w:p>
        </w:tc>
        <w:tc>
          <w:tcPr>
            <w:tcW w:w="341" w:type="pct"/>
            <w:tcBorders>
              <w:top w:val="nil"/>
              <w:left w:val="nil"/>
              <w:bottom w:val="nil"/>
              <w:right w:val="nil"/>
            </w:tcBorders>
            <w:shd w:val="clear" w:color="auto" w:fill="auto"/>
            <w:noWrap/>
            <w:vAlign w:val="bottom"/>
            <w:hideMark/>
          </w:tcPr>
          <w:p w14:paraId="4496C5B5"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-0.37</w:t>
            </w:r>
          </w:p>
        </w:tc>
      </w:tr>
      <w:tr w:rsidR="00D41D03" w:rsidRPr="00BC5198" w14:paraId="233B5ED7" w14:textId="77777777" w:rsidTr="00BC5198">
        <w:trPr>
          <w:trHeight w:val="20"/>
        </w:trPr>
        <w:tc>
          <w:tcPr>
            <w:tcW w:w="393" w:type="pct"/>
            <w:tcBorders>
              <w:top w:val="nil"/>
              <w:left w:val="nil"/>
              <w:bottom w:val="nil"/>
              <w:right w:val="nil"/>
            </w:tcBorders>
            <w:shd w:val="clear" w:color="auto" w:fill="auto"/>
            <w:noWrap/>
            <w:vAlign w:val="bottom"/>
            <w:hideMark/>
          </w:tcPr>
          <w:p w14:paraId="0A2C1505" w14:textId="77777777" w:rsidR="00D41D03" w:rsidRPr="00BC5198" w:rsidRDefault="00D41D03" w:rsidP="00BC5198">
            <w:pPr>
              <w:spacing w:before="0" w:after="0"/>
              <w:jc w:val="left"/>
              <w:rPr>
                <w:rFonts w:cs="Times New Roman"/>
                <w:color w:val="000000"/>
                <w:sz w:val="20"/>
                <w:szCs w:val="20"/>
              </w:rPr>
            </w:pPr>
            <w:r w:rsidRPr="00BC5198">
              <w:rPr>
                <w:rFonts w:cs="Times New Roman"/>
                <w:color w:val="000000"/>
                <w:sz w:val="20"/>
                <w:szCs w:val="20"/>
              </w:rPr>
              <w:t>Sal.</w:t>
            </w:r>
          </w:p>
        </w:tc>
        <w:tc>
          <w:tcPr>
            <w:tcW w:w="380" w:type="pct"/>
            <w:tcBorders>
              <w:top w:val="nil"/>
              <w:left w:val="nil"/>
              <w:bottom w:val="nil"/>
              <w:right w:val="nil"/>
            </w:tcBorders>
            <w:shd w:val="clear" w:color="auto" w:fill="auto"/>
            <w:noWrap/>
            <w:vAlign w:val="bottom"/>
            <w:hideMark/>
          </w:tcPr>
          <w:p w14:paraId="582F084D"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-0.59</w:t>
            </w:r>
          </w:p>
        </w:tc>
        <w:tc>
          <w:tcPr>
            <w:tcW w:w="341" w:type="pct"/>
            <w:tcBorders>
              <w:top w:val="nil"/>
              <w:left w:val="nil"/>
              <w:bottom w:val="nil"/>
              <w:right w:val="nil"/>
            </w:tcBorders>
            <w:shd w:val="clear" w:color="auto" w:fill="auto"/>
            <w:noWrap/>
            <w:vAlign w:val="bottom"/>
            <w:hideMark/>
          </w:tcPr>
          <w:p w14:paraId="1F5E679D"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0.33</w:t>
            </w:r>
          </w:p>
        </w:tc>
        <w:tc>
          <w:tcPr>
            <w:tcW w:w="341" w:type="pct"/>
            <w:tcBorders>
              <w:top w:val="nil"/>
              <w:left w:val="nil"/>
              <w:bottom w:val="nil"/>
              <w:right w:val="nil"/>
            </w:tcBorders>
            <w:shd w:val="clear" w:color="auto" w:fill="auto"/>
            <w:noWrap/>
            <w:vAlign w:val="bottom"/>
            <w:hideMark/>
          </w:tcPr>
          <w:p w14:paraId="03B9AC42"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1</w:t>
            </w:r>
          </w:p>
        </w:tc>
        <w:tc>
          <w:tcPr>
            <w:tcW w:w="476" w:type="pct"/>
            <w:tcBorders>
              <w:top w:val="nil"/>
              <w:left w:val="nil"/>
              <w:bottom w:val="nil"/>
              <w:right w:val="nil"/>
            </w:tcBorders>
            <w:shd w:val="clear" w:color="auto" w:fill="auto"/>
            <w:noWrap/>
            <w:vAlign w:val="bottom"/>
            <w:hideMark/>
          </w:tcPr>
          <w:p w14:paraId="051218A0"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0.56</w:t>
            </w:r>
          </w:p>
        </w:tc>
        <w:tc>
          <w:tcPr>
            <w:tcW w:w="341" w:type="pct"/>
            <w:tcBorders>
              <w:top w:val="nil"/>
              <w:left w:val="nil"/>
              <w:bottom w:val="nil"/>
              <w:right w:val="nil"/>
            </w:tcBorders>
            <w:shd w:val="clear" w:color="auto" w:fill="auto"/>
            <w:noWrap/>
            <w:vAlign w:val="bottom"/>
            <w:hideMark/>
          </w:tcPr>
          <w:p w14:paraId="224771E4"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-0.55</w:t>
            </w:r>
          </w:p>
        </w:tc>
        <w:tc>
          <w:tcPr>
            <w:tcW w:w="341" w:type="pct"/>
            <w:tcBorders>
              <w:top w:val="nil"/>
              <w:left w:val="nil"/>
              <w:bottom w:val="nil"/>
              <w:right w:val="nil"/>
            </w:tcBorders>
            <w:shd w:val="clear" w:color="auto" w:fill="auto"/>
            <w:noWrap/>
            <w:vAlign w:val="bottom"/>
            <w:hideMark/>
          </w:tcPr>
          <w:p w14:paraId="29E90169"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-0.21</w:t>
            </w:r>
          </w:p>
        </w:tc>
        <w:tc>
          <w:tcPr>
            <w:tcW w:w="341" w:type="pct"/>
            <w:tcBorders>
              <w:top w:val="nil"/>
              <w:left w:val="nil"/>
              <w:bottom w:val="nil"/>
              <w:right w:val="nil"/>
            </w:tcBorders>
            <w:shd w:val="clear" w:color="auto" w:fill="auto"/>
            <w:noWrap/>
            <w:vAlign w:val="bottom"/>
            <w:hideMark/>
          </w:tcPr>
          <w:p w14:paraId="6AE7DADB"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-0.49</w:t>
            </w:r>
          </w:p>
        </w:tc>
        <w:tc>
          <w:tcPr>
            <w:tcW w:w="341" w:type="pct"/>
            <w:tcBorders>
              <w:top w:val="nil"/>
              <w:left w:val="nil"/>
              <w:bottom w:val="nil"/>
              <w:right w:val="nil"/>
            </w:tcBorders>
            <w:shd w:val="clear" w:color="auto" w:fill="auto"/>
            <w:noWrap/>
            <w:vAlign w:val="bottom"/>
            <w:hideMark/>
          </w:tcPr>
          <w:p w14:paraId="5BC3E8DC"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-0.40</w:t>
            </w:r>
          </w:p>
        </w:tc>
        <w:tc>
          <w:tcPr>
            <w:tcW w:w="341" w:type="pct"/>
            <w:tcBorders>
              <w:top w:val="nil"/>
              <w:left w:val="nil"/>
              <w:bottom w:val="nil"/>
              <w:right w:val="nil"/>
            </w:tcBorders>
            <w:shd w:val="clear" w:color="auto" w:fill="auto"/>
            <w:noWrap/>
            <w:vAlign w:val="bottom"/>
            <w:hideMark/>
          </w:tcPr>
          <w:p w14:paraId="05C92FF2"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-0.29</w:t>
            </w:r>
          </w:p>
        </w:tc>
        <w:tc>
          <w:tcPr>
            <w:tcW w:w="341" w:type="pct"/>
            <w:tcBorders>
              <w:top w:val="nil"/>
              <w:left w:val="nil"/>
              <w:bottom w:val="nil"/>
              <w:right w:val="nil"/>
            </w:tcBorders>
            <w:shd w:val="clear" w:color="auto" w:fill="auto"/>
            <w:noWrap/>
            <w:vAlign w:val="bottom"/>
            <w:hideMark/>
          </w:tcPr>
          <w:p w14:paraId="1240F93C"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-0.35</w:t>
            </w:r>
          </w:p>
        </w:tc>
        <w:tc>
          <w:tcPr>
            <w:tcW w:w="341" w:type="pct"/>
            <w:tcBorders>
              <w:top w:val="nil"/>
              <w:left w:val="nil"/>
              <w:bottom w:val="nil"/>
              <w:right w:val="nil"/>
            </w:tcBorders>
            <w:shd w:val="clear" w:color="auto" w:fill="auto"/>
            <w:noWrap/>
            <w:vAlign w:val="bottom"/>
            <w:hideMark/>
          </w:tcPr>
          <w:p w14:paraId="61A62D9D"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-0.39</w:t>
            </w:r>
          </w:p>
        </w:tc>
        <w:tc>
          <w:tcPr>
            <w:tcW w:w="341" w:type="pct"/>
            <w:tcBorders>
              <w:top w:val="nil"/>
              <w:left w:val="nil"/>
              <w:bottom w:val="nil"/>
              <w:right w:val="nil"/>
            </w:tcBorders>
            <w:shd w:val="clear" w:color="auto" w:fill="auto"/>
            <w:noWrap/>
            <w:vAlign w:val="bottom"/>
            <w:hideMark/>
          </w:tcPr>
          <w:p w14:paraId="3F30D06E"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0.24</w:t>
            </w:r>
          </w:p>
        </w:tc>
        <w:tc>
          <w:tcPr>
            <w:tcW w:w="341" w:type="pct"/>
            <w:tcBorders>
              <w:top w:val="nil"/>
              <w:left w:val="nil"/>
              <w:bottom w:val="nil"/>
              <w:right w:val="nil"/>
            </w:tcBorders>
            <w:shd w:val="clear" w:color="000000" w:fill="FFFF00"/>
            <w:noWrap/>
            <w:vAlign w:val="bottom"/>
            <w:hideMark/>
          </w:tcPr>
          <w:p w14:paraId="4EB8D11F"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-0.80</w:t>
            </w:r>
          </w:p>
        </w:tc>
      </w:tr>
      <w:tr w:rsidR="00D41D03" w:rsidRPr="00BC5198" w14:paraId="60C261D1" w14:textId="77777777" w:rsidTr="00BC5198">
        <w:trPr>
          <w:trHeight w:val="20"/>
        </w:trPr>
        <w:tc>
          <w:tcPr>
            <w:tcW w:w="393" w:type="pct"/>
            <w:tcBorders>
              <w:top w:val="nil"/>
              <w:left w:val="nil"/>
              <w:bottom w:val="nil"/>
              <w:right w:val="nil"/>
            </w:tcBorders>
            <w:shd w:val="clear" w:color="auto" w:fill="auto"/>
            <w:noWrap/>
            <w:vAlign w:val="bottom"/>
            <w:hideMark/>
          </w:tcPr>
          <w:p w14:paraId="37B22A02" w14:textId="77777777" w:rsidR="00D41D03" w:rsidRPr="00BC5198" w:rsidRDefault="00D41D03" w:rsidP="00BC5198">
            <w:pPr>
              <w:spacing w:before="0" w:after="0"/>
              <w:jc w:val="left"/>
              <w:rPr>
                <w:rFonts w:cs="Times New Roman"/>
                <w:color w:val="000000"/>
                <w:sz w:val="20"/>
                <w:szCs w:val="20"/>
              </w:rPr>
            </w:pPr>
            <w:r w:rsidRPr="00BC5198">
              <w:rPr>
                <w:rFonts w:cs="Times New Roman"/>
                <w:color w:val="000000"/>
                <w:sz w:val="20"/>
                <w:szCs w:val="20"/>
              </w:rPr>
              <w:t>Temp.</w:t>
            </w:r>
          </w:p>
        </w:tc>
        <w:tc>
          <w:tcPr>
            <w:tcW w:w="380" w:type="pct"/>
            <w:tcBorders>
              <w:top w:val="nil"/>
              <w:left w:val="nil"/>
              <w:bottom w:val="nil"/>
              <w:right w:val="nil"/>
            </w:tcBorders>
            <w:shd w:val="clear" w:color="auto" w:fill="auto"/>
            <w:noWrap/>
            <w:vAlign w:val="bottom"/>
            <w:hideMark/>
          </w:tcPr>
          <w:p w14:paraId="490268A4"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-0.43</w:t>
            </w:r>
          </w:p>
        </w:tc>
        <w:tc>
          <w:tcPr>
            <w:tcW w:w="341" w:type="pct"/>
            <w:tcBorders>
              <w:top w:val="nil"/>
              <w:left w:val="nil"/>
              <w:bottom w:val="nil"/>
              <w:right w:val="nil"/>
            </w:tcBorders>
            <w:shd w:val="clear" w:color="auto" w:fill="auto"/>
            <w:noWrap/>
            <w:vAlign w:val="bottom"/>
            <w:hideMark/>
          </w:tcPr>
          <w:p w14:paraId="7C753437"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0.11</w:t>
            </w:r>
          </w:p>
        </w:tc>
        <w:tc>
          <w:tcPr>
            <w:tcW w:w="341" w:type="pct"/>
            <w:tcBorders>
              <w:top w:val="nil"/>
              <w:left w:val="nil"/>
              <w:bottom w:val="nil"/>
              <w:right w:val="nil"/>
            </w:tcBorders>
            <w:shd w:val="clear" w:color="auto" w:fill="auto"/>
            <w:noWrap/>
            <w:vAlign w:val="bottom"/>
            <w:hideMark/>
          </w:tcPr>
          <w:p w14:paraId="37611D9D"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0.56</w:t>
            </w:r>
          </w:p>
        </w:tc>
        <w:tc>
          <w:tcPr>
            <w:tcW w:w="476" w:type="pct"/>
            <w:tcBorders>
              <w:top w:val="nil"/>
              <w:left w:val="nil"/>
              <w:bottom w:val="nil"/>
              <w:right w:val="nil"/>
            </w:tcBorders>
            <w:shd w:val="clear" w:color="auto" w:fill="auto"/>
            <w:noWrap/>
            <w:vAlign w:val="bottom"/>
            <w:hideMark/>
          </w:tcPr>
          <w:p w14:paraId="23B9DEC9"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1</w:t>
            </w:r>
          </w:p>
        </w:tc>
        <w:tc>
          <w:tcPr>
            <w:tcW w:w="341" w:type="pct"/>
            <w:tcBorders>
              <w:top w:val="nil"/>
              <w:left w:val="nil"/>
              <w:bottom w:val="nil"/>
              <w:right w:val="nil"/>
            </w:tcBorders>
            <w:shd w:val="clear" w:color="auto" w:fill="auto"/>
            <w:noWrap/>
            <w:vAlign w:val="bottom"/>
            <w:hideMark/>
          </w:tcPr>
          <w:p w14:paraId="2CA49B30"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-0.13</w:t>
            </w:r>
          </w:p>
        </w:tc>
        <w:tc>
          <w:tcPr>
            <w:tcW w:w="341" w:type="pct"/>
            <w:tcBorders>
              <w:top w:val="nil"/>
              <w:left w:val="nil"/>
              <w:bottom w:val="nil"/>
              <w:right w:val="nil"/>
            </w:tcBorders>
            <w:shd w:val="clear" w:color="auto" w:fill="auto"/>
            <w:noWrap/>
            <w:vAlign w:val="bottom"/>
            <w:hideMark/>
          </w:tcPr>
          <w:p w14:paraId="41E255EE"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0.03</w:t>
            </w:r>
          </w:p>
        </w:tc>
        <w:tc>
          <w:tcPr>
            <w:tcW w:w="341" w:type="pct"/>
            <w:tcBorders>
              <w:top w:val="nil"/>
              <w:left w:val="nil"/>
              <w:bottom w:val="nil"/>
              <w:right w:val="nil"/>
            </w:tcBorders>
            <w:shd w:val="clear" w:color="auto" w:fill="auto"/>
            <w:noWrap/>
            <w:vAlign w:val="bottom"/>
            <w:hideMark/>
          </w:tcPr>
          <w:p w14:paraId="23076EF8"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-0.03</w:t>
            </w:r>
          </w:p>
        </w:tc>
        <w:tc>
          <w:tcPr>
            <w:tcW w:w="341" w:type="pct"/>
            <w:tcBorders>
              <w:top w:val="nil"/>
              <w:left w:val="nil"/>
              <w:bottom w:val="nil"/>
              <w:right w:val="nil"/>
            </w:tcBorders>
            <w:shd w:val="clear" w:color="auto" w:fill="auto"/>
            <w:noWrap/>
            <w:vAlign w:val="bottom"/>
            <w:hideMark/>
          </w:tcPr>
          <w:p w14:paraId="6F38DBF5"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0.01</w:t>
            </w:r>
          </w:p>
        </w:tc>
        <w:tc>
          <w:tcPr>
            <w:tcW w:w="341" w:type="pct"/>
            <w:tcBorders>
              <w:top w:val="nil"/>
              <w:left w:val="nil"/>
              <w:bottom w:val="nil"/>
              <w:right w:val="nil"/>
            </w:tcBorders>
            <w:shd w:val="clear" w:color="auto" w:fill="auto"/>
            <w:noWrap/>
            <w:vAlign w:val="bottom"/>
            <w:hideMark/>
          </w:tcPr>
          <w:p w14:paraId="735B4B39"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-0.29</w:t>
            </w:r>
          </w:p>
        </w:tc>
        <w:tc>
          <w:tcPr>
            <w:tcW w:w="341" w:type="pct"/>
            <w:tcBorders>
              <w:top w:val="nil"/>
              <w:left w:val="nil"/>
              <w:bottom w:val="nil"/>
              <w:right w:val="nil"/>
            </w:tcBorders>
            <w:shd w:val="clear" w:color="auto" w:fill="auto"/>
            <w:noWrap/>
            <w:vAlign w:val="bottom"/>
            <w:hideMark/>
          </w:tcPr>
          <w:p w14:paraId="1061C86A"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0.14</w:t>
            </w:r>
          </w:p>
        </w:tc>
        <w:tc>
          <w:tcPr>
            <w:tcW w:w="341" w:type="pct"/>
            <w:tcBorders>
              <w:top w:val="nil"/>
              <w:left w:val="nil"/>
              <w:bottom w:val="nil"/>
              <w:right w:val="nil"/>
            </w:tcBorders>
            <w:shd w:val="clear" w:color="auto" w:fill="auto"/>
            <w:noWrap/>
            <w:vAlign w:val="bottom"/>
            <w:hideMark/>
          </w:tcPr>
          <w:p w14:paraId="125243FB"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-0.08</w:t>
            </w:r>
          </w:p>
        </w:tc>
        <w:tc>
          <w:tcPr>
            <w:tcW w:w="341" w:type="pct"/>
            <w:tcBorders>
              <w:top w:val="nil"/>
              <w:left w:val="nil"/>
              <w:bottom w:val="nil"/>
              <w:right w:val="nil"/>
            </w:tcBorders>
            <w:shd w:val="clear" w:color="auto" w:fill="auto"/>
            <w:noWrap/>
            <w:vAlign w:val="bottom"/>
            <w:hideMark/>
          </w:tcPr>
          <w:p w14:paraId="7906B3DF"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0.09</w:t>
            </w:r>
          </w:p>
        </w:tc>
        <w:tc>
          <w:tcPr>
            <w:tcW w:w="341" w:type="pct"/>
            <w:tcBorders>
              <w:top w:val="nil"/>
              <w:left w:val="nil"/>
              <w:bottom w:val="nil"/>
              <w:right w:val="nil"/>
            </w:tcBorders>
            <w:shd w:val="clear" w:color="000000" w:fill="FFFF00"/>
            <w:noWrap/>
            <w:vAlign w:val="bottom"/>
            <w:hideMark/>
          </w:tcPr>
          <w:p w14:paraId="112F5AFD"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-0.62</w:t>
            </w:r>
          </w:p>
        </w:tc>
      </w:tr>
      <w:tr w:rsidR="00D41D03" w:rsidRPr="00BC5198" w14:paraId="0F34B716" w14:textId="77777777" w:rsidTr="00BC5198">
        <w:trPr>
          <w:trHeight w:val="20"/>
        </w:trPr>
        <w:tc>
          <w:tcPr>
            <w:tcW w:w="393" w:type="pct"/>
            <w:tcBorders>
              <w:top w:val="nil"/>
              <w:left w:val="nil"/>
              <w:bottom w:val="nil"/>
              <w:right w:val="nil"/>
            </w:tcBorders>
            <w:shd w:val="clear" w:color="auto" w:fill="auto"/>
            <w:noWrap/>
            <w:vAlign w:val="bottom"/>
            <w:hideMark/>
          </w:tcPr>
          <w:p w14:paraId="1C2F7AD3" w14:textId="77777777" w:rsidR="00D41D03" w:rsidRPr="00BC5198" w:rsidRDefault="00D41D03" w:rsidP="00BC5198">
            <w:pPr>
              <w:spacing w:before="0" w:after="0"/>
              <w:jc w:val="left"/>
              <w:rPr>
                <w:rFonts w:cs="Times New Roman"/>
                <w:color w:val="000000"/>
                <w:sz w:val="20"/>
                <w:szCs w:val="20"/>
              </w:rPr>
            </w:pPr>
            <w:r w:rsidRPr="00BC5198">
              <w:rPr>
                <w:rFonts w:cs="Times New Roman"/>
                <w:color w:val="000000"/>
                <w:sz w:val="20"/>
                <w:szCs w:val="20"/>
              </w:rPr>
              <w:t>TSS</w:t>
            </w:r>
          </w:p>
        </w:tc>
        <w:tc>
          <w:tcPr>
            <w:tcW w:w="380" w:type="pct"/>
            <w:tcBorders>
              <w:top w:val="nil"/>
              <w:left w:val="nil"/>
              <w:bottom w:val="nil"/>
              <w:right w:val="nil"/>
            </w:tcBorders>
            <w:shd w:val="clear" w:color="auto" w:fill="auto"/>
            <w:noWrap/>
            <w:vAlign w:val="bottom"/>
            <w:hideMark/>
          </w:tcPr>
          <w:p w14:paraId="6487B9B5"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0.45</w:t>
            </w:r>
          </w:p>
        </w:tc>
        <w:tc>
          <w:tcPr>
            <w:tcW w:w="341" w:type="pct"/>
            <w:tcBorders>
              <w:top w:val="nil"/>
              <w:left w:val="nil"/>
              <w:bottom w:val="nil"/>
              <w:right w:val="nil"/>
            </w:tcBorders>
            <w:shd w:val="clear" w:color="auto" w:fill="auto"/>
            <w:noWrap/>
            <w:vAlign w:val="bottom"/>
            <w:hideMark/>
          </w:tcPr>
          <w:p w14:paraId="45EC326A"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-0.57</w:t>
            </w:r>
          </w:p>
        </w:tc>
        <w:tc>
          <w:tcPr>
            <w:tcW w:w="341" w:type="pct"/>
            <w:tcBorders>
              <w:top w:val="nil"/>
              <w:left w:val="nil"/>
              <w:bottom w:val="nil"/>
              <w:right w:val="nil"/>
            </w:tcBorders>
            <w:shd w:val="clear" w:color="auto" w:fill="auto"/>
            <w:noWrap/>
            <w:vAlign w:val="bottom"/>
            <w:hideMark/>
          </w:tcPr>
          <w:p w14:paraId="1156E84C"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-0.55</w:t>
            </w:r>
          </w:p>
        </w:tc>
        <w:tc>
          <w:tcPr>
            <w:tcW w:w="476" w:type="pct"/>
            <w:tcBorders>
              <w:top w:val="nil"/>
              <w:left w:val="nil"/>
              <w:bottom w:val="nil"/>
              <w:right w:val="nil"/>
            </w:tcBorders>
            <w:shd w:val="clear" w:color="auto" w:fill="auto"/>
            <w:noWrap/>
            <w:vAlign w:val="bottom"/>
            <w:hideMark/>
          </w:tcPr>
          <w:p w14:paraId="4E1A72A4"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-0.13</w:t>
            </w:r>
          </w:p>
        </w:tc>
        <w:tc>
          <w:tcPr>
            <w:tcW w:w="341" w:type="pct"/>
            <w:tcBorders>
              <w:top w:val="nil"/>
              <w:left w:val="nil"/>
              <w:bottom w:val="nil"/>
              <w:right w:val="nil"/>
            </w:tcBorders>
            <w:shd w:val="clear" w:color="auto" w:fill="auto"/>
            <w:noWrap/>
            <w:vAlign w:val="bottom"/>
            <w:hideMark/>
          </w:tcPr>
          <w:p w14:paraId="67ACDEE8"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1</w:t>
            </w:r>
          </w:p>
        </w:tc>
        <w:tc>
          <w:tcPr>
            <w:tcW w:w="341" w:type="pct"/>
            <w:tcBorders>
              <w:top w:val="nil"/>
              <w:left w:val="nil"/>
              <w:bottom w:val="nil"/>
              <w:right w:val="nil"/>
            </w:tcBorders>
            <w:shd w:val="clear" w:color="auto" w:fill="auto"/>
            <w:noWrap/>
            <w:vAlign w:val="bottom"/>
            <w:hideMark/>
          </w:tcPr>
          <w:p w14:paraId="6DF0689C"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0.32</w:t>
            </w:r>
          </w:p>
        </w:tc>
        <w:tc>
          <w:tcPr>
            <w:tcW w:w="341" w:type="pct"/>
            <w:tcBorders>
              <w:top w:val="nil"/>
              <w:left w:val="nil"/>
              <w:bottom w:val="nil"/>
              <w:right w:val="nil"/>
            </w:tcBorders>
            <w:shd w:val="clear" w:color="auto" w:fill="auto"/>
            <w:noWrap/>
            <w:vAlign w:val="bottom"/>
            <w:hideMark/>
          </w:tcPr>
          <w:p w14:paraId="3AEA0BF4"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0.14</w:t>
            </w:r>
          </w:p>
        </w:tc>
        <w:tc>
          <w:tcPr>
            <w:tcW w:w="341" w:type="pct"/>
            <w:tcBorders>
              <w:top w:val="nil"/>
              <w:left w:val="nil"/>
              <w:bottom w:val="nil"/>
              <w:right w:val="nil"/>
            </w:tcBorders>
            <w:shd w:val="clear" w:color="auto" w:fill="auto"/>
            <w:noWrap/>
            <w:vAlign w:val="bottom"/>
            <w:hideMark/>
          </w:tcPr>
          <w:p w14:paraId="3FD95D0B"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0.29</w:t>
            </w:r>
          </w:p>
        </w:tc>
        <w:tc>
          <w:tcPr>
            <w:tcW w:w="341" w:type="pct"/>
            <w:tcBorders>
              <w:top w:val="nil"/>
              <w:left w:val="nil"/>
              <w:bottom w:val="nil"/>
              <w:right w:val="nil"/>
            </w:tcBorders>
            <w:shd w:val="clear" w:color="auto" w:fill="auto"/>
            <w:noWrap/>
            <w:vAlign w:val="bottom"/>
            <w:hideMark/>
          </w:tcPr>
          <w:p w14:paraId="10D33AD4"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0.39</w:t>
            </w:r>
          </w:p>
        </w:tc>
        <w:tc>
          <w:tcPr>
            <w:tcW w:w="341" w:type="pct"/>
            <w:tcBorders>
              <w:top w:val="nil"/>
              <w:left w:val="nil"/>
              <w:bottom w:val="nil"/>
              <w:right w:val="nil"/>
            </w:tcBorders>
            <w:shd w:val="clear" w:color="000000" w:fill="FFFF00"/>
            <w:noWrap/>
            <w:vAlign w:val="bottom"/>
            <w:hideMark/>
          </w:tcPr>
          <w:p w14:paraId="1284839A"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0.66</w:t>
            </w:r>
          </w:p>
        </w:tc>
        <w:tc>
          <w:tcPr>
            <w:tcW w:w="341" w:type="pct"/>
            <w:tcBorders>
              <w:top w:val="nil"/>
              <w:left w:val="nil"/>
              <w:bottom w:val="nil"/>
              <w:right w:val="nil"/>
            </w:tcBorders>
            <w:shd w:val="clear" w:color="auto" w:fill="auto"/>
            <w:noWrap/>
            <w:vAlign w:val="bottom"/>
            <w:hideMark/>
          </w:tcPr>
          <w:p w14:paraId="00B96159"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0.56</w:t>
            </w:r>
          </w:p>
        </w:tc>
        <w:tc>
          <w:tcPr>
            <w:tcW w:w="341" w:type="pct"/>
            <w:tcBorders>
              <w:top w:val="nil"/>
              <w:left w:val="nil"/>
              <w:bottom w:val="nil"/>
              <w:right w:val="nil"/>
            </w:tcBorders>
            <w:shd w:val="clear" w:color="auto" w:fill="auto"/>
            <w:noWrap/>
            <w:vAlign w:val="bottom"/>
            <w:hideMark/>
          </w:tcPr>
          <w:p w14:paraId="62D841DC"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0.26</w:t>
            </w:r>
          </w:p>
        </w:tc>
        <w:tc>
          <w:tcPr>
            <w:tcW w:w="341" w:type="pct"/>
            <w:tcBorders>
              <w:top w:val="nil"/>
              <w:left w:val="nil"/>
              <w:bottom w:val="nil"/>
              <w:right w:val="nil"/>
            </w:tcBorders>
            <w:shd w:val="clear" w:color="auto" w:fill="auto"/>
            <w:noWrap/>
            <w:vAlign w:val="bottom"/>
            <w:hideMark/>
          </w:tcPr>
          <w:p w14:paraId="1D638D69"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0.60</w:t>
            </w:r>
          </w:p>
        </w:tc>
      </w:tr>
      <w:tr w:rsidR="00D41D03" w:rsidRPr="00BC5198" w14:paraId="74606DA6" w14:textId="77777777" w:rsidTr="00BC5198">
        <w:trPr>
          <w:trHeight w:val="20"/>
        </w:trPr>
        <w:tc>
          <w:tcPr>
            <w:tcW w:w="393" w:type="pct"/>
            <w:tcBorders>
              <w:top w:val="nil"/>
              <w:left w:val="nil"/>
              <w:bottom w:val="nil"/>
              <w:right w:val="nil"/>
            </w:tcBorders>
            <w:shd w:val="clear" w:color="auto" w:fill="auto"/>
            <w:noWrap/>
            <w:vAlign w:val="bottom"/>
            <w:hideMark/>
          </w:tcPr>
          <w:p w14:paraId="74607479" w14:textId="77777777" w:rsidR="00D41D03" w:rsidRPr="00BC5198" w:rsidRDefault="00D41D03" w:rsidP="00BC5198">
            <w:pPr>
              <w:spacing w:before="0" w:after="0"/>
              <w:jc w:val="left"/>
              <w:rPr>
                <w:rFonts w:cs="Times New Roman"/>
                <w:color w:val="000000"/>
                <w:sz w:val="20"/>
                <w:szCs w:val="20"/>
              </w:rPr>
            </w:pPr>
            <w:r w:rsidRPr="00BC5198">
              <w:rPr>
                <w:rFonts w:cs="Times New Roman"/>
                <w:color w:val="000000"/>
                <w:sz w:val="20"/>
                <w:szCs w:val="20"/>
              </w:rPr>
              <w:t>Chl-</w:t>
            </w:r>
            <w:r w:rsidR="00BC5198">
              <w:rPr>
                <w:rFonts w:cs="Times New Roman"/>
                <w:color w:val="000000"/>
                <w:sz w:val="20"/>
                <w:szCs w:val="20"/>
              </w:rPr>
              <w:t>a</w:t>
            </w:r>
          </w:p>
        </w:tc>
        <w:tc>
          <w:tcPr>
            <w:tcW w:w="380" w:type="pct"/>
            <w:tcBorders>
              <w:top w:val="nil"/>
              <w:left w:val="nil"/>
              <w:bottom w:val="nil"/>
              <w:right w:val="nil"/>
            </w:tcBorders>
            <w:shd w:val="clear" w:color="auto" w:fill="auto"/>
            <w:noWrap/>
            <w:vAlign w:val="bottom"/>
            <w:hideMark/>
          </w:tcPr>
          <w:p w14:paraId="3361299D"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0.29</w:t>
            </w:r>
          </w:p>
        </w:tc>
        <w:tc>
          <w:tcPr>
            <w:tcW w:w="341" w:type="pct"/>
            <w:tcBorders>
              <w:top w:val="nil"/>
              <w:left w:val="nil"/>
              <w:bottom w:val="nil"/>
              <w:right w:val="nil"/>
            </w:tcBorders>
            <w:shd w:val="clear" w:color="auto" w:fill="auto"/>
            <w:noWrap/>
            <w:vAlign w:val="bottom"/>
            <w:hideMark/>
          </w:tcPr>
          <w:p w14:paraId="318635FE"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-0.05</w:t>
            </w:r>
          </w:p>
        </w:tc>
        <w:tc>
          <w:tcPr>
            <w:tcW w:w="341" w:type="pct"/>
            <w:tcBorders>
              <w:top w:val="nil"/>
              <w:left w:val="nil"/>
              <w:bottom w:val="nil"/>
              <w:right w:val="nil"/>
            </w:tcBorders>
            <w:shd w:val="clear" w:color="auto" w:fill="auto"/>
            <w:noWrap/>
            <w:vAlign w:val="bottom"/>
            <w:hideMark/>
          </w:tcPr>
          <w:p w14:paraId="04D20F78"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-0.21</w:t>
            </w:r>
          </w:p>
        </w:tc>
        <w:tc>
          <w:tcPr>
            <w:tcW w:w="476" w:type="pct"/>
            <w:tcBorders>
              <w:top w:val="nil"/>
              <w:left w:val="nil"/>
              <w:bottom w:val="nil"/>
              <w:right w:val="nil"/>
            </w:tcBorders>
            <w:shd w:val="clear" w:color="auto" w:fill="auto"/>
            <w:noWrap/>
            <w:vAlign w:val="bottom"/>
            <w:hideMark/>
          </w:tcPr>
          <w:p w14:paraId="09A818EF"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0.03</w:t>
            </w:r>
          </w:p>
        </w:tc>
        <w:tc>
          <w:tcPr>
            <w:tcW w:w="341" w:type="pct"/>
            <w:tcBorders>
              <w:top w:val="nil"/>
              <w:left w:val="nil"/>
              <w:bottom w:val="nil"/>
              <w:right w:val="nil"/>
            </w:tcBorders>
            <w:shd w:val="clear" w:color="auto" w:fill="auto"/>
            <w:noWrap/>
            <w:vAlign w:val="bottom"/>
            <w:hideMark/>
          </w:tcPr>
          <w:p w14:paraId="10D12DFE"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0.32</w:t>
            </w:r>
          </w:p>
        </w:tc>
        <w:tc>
          <w:tcPr>
            <w:tcW w:w="341" w:type="pct"/>
            <w:tcBorders>
              <w:top w:val="nil"/>
              <w:left w:val="nil"/>
              <w:bottom w:val="nil"/>
              <w:right w:val="nil"/>
            </w:tcBorders>
            <w:shd w:val="clear" w:color="auto" w:fill="auto"/>
            <w:noWrap/>
            <w:vAlign w:val="bottom"/>
            <w:hideMark/>
          </w:tcPr>
          <w:p w14:paraId="43DE2059"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1</w:t>
            </w:r>
          </w:p>
        </w:tc>
        <w:tc>
          <w:tcPr>
            <w:tcW w:w="341" w:type="pct"/>
            <w:tcBorders>
              <w:top w:val="nil"/>
              <w:left w:val="nil"/>
              <w:bottom w:val="nil"/>
              <w:right w:val="nil"/>
            </w:tcBorders>
            <w:shd w:val="clear" w:color="auto" w:fill="auto"/>
            <w:noWrap/>
            <w:vAlign w:val="bottom"/>
            <w:hideMark/>
          </w:tcPr>
          <w:p w14:paraId="3B8BBD37"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-0.33</w:t>
            </w:r>
          </w:p>
        </w:tc>
        <w:tc>
          <w:tcPr>
            <w:tcW w:w="341" w:type="pct"/>
            <w:tcBorders>
              <w:top w:val="nil"/>
              <w:left w:val="nil"/>
              <w:bottom w:val="nil"/>
              <w:right w:val="nil"/>
            </w:tcBorders>
            <w:shd w:val="clear" w:color="auto" w:fill="auto"/>
            <w:noWrap/>
            <w:vAlign w:val="bottom"/>
            <w:hideMark/>
          </w:tcPr>
          <w:p w14:paraId="7AE6BA5F"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-0.01</w:t>
            </w:r>
          </w:p>
        </w:tc>
        <w:tc>
          <w:tcPr>
            <w:tcW w:w="341" w:type="pct"/>
            <w:tcBorders>
              <w:top w:val="nil"/>
              <w:left w:val="nil"/>
              <w:bottom w:val="nil"/>
              <w:right w:val="nil"/>
            </w:tcBorders>
            <w:shd w:val="clear" w:color="auto" w:fill="auto"/>
            <w:noWrap/>
            <w:vAlign w:val="bottom"/>
            <w:hideMark/>
          </w:tcPr>
          <w:p w14:paraId="0088D516"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0.11</w:t>
            </w:r>
          </w:p>
        </w:tc>
        <w:tc>
          <w:tcPr>
            <w:tcW w:w="341" w:type="pct"/>
            <w:tcBorders>
              <w:top w:val="nil"/>
              <w:left w:val="nil"/>
              <w:bottom w:val="nil"/>
              <w:right w:val="nil"/>
            </w:tcBorders>
            <w:shd w:val="clear" w:color="auto" w:fill="auto"/>
            <w:noWrap/>
            <w:vAlign w:val="bottom"/>
            <w:hideMark/>
          </w:tcPr>
          <w:p w14:paraId="1C636929"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0.14</w:t>
            </w:r>
          </w:p>
        </w:tc>
        <w:tc>
          <w:tcPr>
            <w:tcW w:w="341" w:type="pct"/>
            <w:tcBorders>
              <w:top w:val="nil"/>
              <w:left w:val="nil"/>
              <w:bottom w:val="nil"/>
              <w:right w:val="nil"/>
            </w:tcBorders>
            <w:shd w:val="clear" w:color="auto" w:fill="auto"/>
            <w:noWrap/>
            <w:vAlign w:val="bottom"/>
            <w:hideMark/>
          </w:tcPr>
          <w:p w14:paraId="2CC61E44"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-0.04</w:t>
            </w:r>
          </w:p>
        </w:tc>
        <w:tc>
          <w:tcPr>
            <w:tcW w:w="341" w:type="pct"/>
            <w:tcBorders>
              <w:top w:val="nil"/>
              <w:left w:val="nil"/>
              <w:bottom w:val="nil"/>
              <w:right w:val="nil"/>
            </w:tcBorders>
            <w:shd w:val="clear" w:color="auto" w:fill="auto"/>
            <w:noWrap/>
            <w:vAlign w:val="bottom"/>
            <w:hideMark/>
          </w:tcPr>
          <w:p w14:paraId="4783E9E9"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-0.04</w:t>
            </w:r>
          </w:p>
        </w:tc>
        <w:tc>
          <w:tcPr>
            <w:tcW w:w="341" w:type="pct"/>
            <w:tcBorders>
              <w:top w:val="nil"/>
              <w:left w:val="nil"/>
              <w:bottom w:val="nil"/>
              <w:right w:val="nil"/>
            </w:tcBorders>
            <w:shd w:val="clear" w:color="auto" w:fill="auto"/>
            <w:noWrap/>
            <w:vAlign w:val="bottom"/>
            <w:hideMark/>
          </w:tcPr>
          <w:p w14:paraId="2AB1719D"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0.20</w:t>
            </w:r>
          </w:p>
        </w:tc>
      </w:tr>
      <w:tr w:rsidR="00D41D03" w:rsidRPr="00BC5198" w14:paraId="249584DE" w14:textId="77777777" w:rsidTr="00BC5198">
        <w:trPr>
          <w:trHeight w:val="20"/>
        </w:trPr>
        <w:tc>
          <w:tcPr>
            <w:tcW w:w="393" w:type="pct"/>
            <w:tcBorders>
              <w:top w:val="nil"/>
              <w:left w:val="nil"/>
              <w:bottom w:val="nil"/>
              <w:right w:val="nil"/>
            </w:tcBorders>
            <w:shd w:val="clear" w:color="auto" w:fill="auto"/>
            <w:noWrap/>
            <w:vAlign w:val="bottom"/>
            <w:hideMark/>
          </w:tcPr>
          <w:p w14:paraId="325B5C70" w14:textId="77777777" w:rsidR="00D41D03" w:rsidRPr="00BC5198" w:rsidRDefault="00D41D03" w:rsidP="00BC5198">
            <w:pPr>
              <w:spacing w:before="0" w:after="0"/>
              <w:jc w:val="left"/>
              <w:rPr>
                <w:rFonts w:cs="Times New Roman"/>
                <w:color w:val="000000"/>
                <w:sz w:val="20"/>
                <w:szCs w:val="20"/>
              </w:rPr>
            </w:pPr>
            <w:r w:rsidRPr="00BC5198">
              <w:rPr>
                <w:rFonts w:cs="Times New Roman"/>
                <w:color w:val="000000"/>
                <w:sz w:val="20"/>
                <w:szCs w:val="20"/>
              </w:rPr>
              <w:t>TN</w:t>
            </w:r>
          </w:p>
        </w:tc>
        <w:tc>
          <w:tcPr>
            <w:tcW w:w="380" w:type="pct"/>
            <w:tcBorders>
              <w:top w:val="nil"/>
              <w:left w:val="nil"/>
              <w:bottom w:val="nil"/>
              <w:right w:val="nil"/>
            </w:tcBorders>
            <w:shd w:val="clear" w:color="auto" w:fill="auto"/>
            <w:noWrap/>
            <w:vAlign w:val="bottom"/>
            <w:hideMark/>
          </w:tcPr>
          <w:p w14:paraId="75F5F426"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-0.03</w:t>
            </w:r>
          </w:p>
        </w:tc>
        <w:tc>
          <w:tcPr>
            <w:tcW w:w="341" w:type="pct"/>
            <w:tcBorders>
              <w:top w:val="nil"/>
              <w:left w:val="nil"/>
              <w:bottom w:val="nil"/>
              <w:right w:val="nil"/>
            </w:tcBorders>
            <w:shd w:val="clear" w:color="auto" w:fill="auto"/>
            <w:noWrap/>
            <w:vAlign w:val="bottom"/>
            <w:hideMark/>
          </w:tcPr>
          <w:p w14:paraId="77A4503C"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-0.38</w:t>
            </w:r>
          </w:p>
        </w:tc>
        <w:tc>
          <w:tcPr>
            <w:tcW w:w="341" w:type="pct"/>
            <w:tcBorders>
              <w:top w:val="nil"/>
              <w:left w:val="nil"/>
              <w:bottom w:val="nil"/>
              <w:right w:val="nil"/>
            </w:tcBorders>
            <w:shd w:val="clear" w:color="auto" w:fill="auto"/>
            <w:noWrap/>
            <w:vAlign w:val="bottom"/>
            <w:hideMark/>
          </w:tcPr>
          <w:p w14:paraId="75A70681"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-0.49</w:t>
            </w:r>
          </w:p>
        </w:tc>
        <w:tc>
          <w:tcPr>
            <w:tcW w:w="476" w:type="pct"/>
            <w:tcBorders>
              <w:top w:val="nil"/>
              <w:left w:val="nil"/>
              <w:bottom w:val="nil"/>
              <w:right w:val="nil"/>
            </w:tcBorders>
            <w:shd w:val="clear" w:color="auto" w:fill="auto"/>
            <w:noWrap/>
            <w:vAlign w:val="bottom"/>
            <w:hideMark/>
          </w:tcPr>
          <w:p w14:paraId="23B174AE"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-0.03</w:t>
            </w:r>
          </w:p>
        </w:tc>
        <w:tc>
          <w:tcPr>
            <w:tcW w:w="341" w:type="pct"/>
            <w:tcBorders>
              <w:top w:val="nil"/>
              <w:left w:val="nil"/>
              <w:bottom w:val="nil"/>
              <w:right w:val="nil"/>
            </w:tcBorders>
            <w:shd w:val="clear" w:color="auto" w:fill="auto"/>
            <w:noWrap/>
            <w:vAlign w:val="bottom"/>
            <w:hideMark/>
          </w:tcPr>
          <w:p w14:paraId="69D60DC0"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0.14</w:t>
            </w:r>
          </w:p>
        </w:tc>
        <w:tc>
          <w:tcPr>
            <w:tcW w:w="341" w:type="pct"/>
            <w:tcBorders>
              <w:top w:val="nil"/>
              <w:left w:val="nil"/>
              <w:bottom w:val="nil"/>
              <w:right w:val="nil"/>
            </w:tcBorders>
            <w:shd w:val="clear" w:color="auto" w:fill="auto"/>
            <w:noWrap/>
            <w:vAlign w:val="bottom"/>
            <w:hideMark/>
          </w:tcPr>
          <w:p w14:paraId="53DA7715"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-0.33</w:t>
            </w:r>
          </w:p>
        </w:tc>
        <w:tc>
          <w:tcPr>
            <w:tcW w:w="341" w:type="pct"/>
            <w:tcBorders>
              <w:top w:val="nil"/>
              <w:left w:val="nil"/>
              <w:bottom w:val="nil"/>
              <w:right w:val="nil"/>
            </w:tcBorders>
            <w:shd w:val="clear" w:color="auto" w:fill="auto"/>
            <w:noWrap/>
            <w:vAlign w:val="bottom"/>
            <w:hideMark/>
          </w:tcPr>
          <w:p w14:paraId="7F1755E3"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1</w:t>
            </w:r>
          </w:p>
        </w:tc>
        <w:tc>
          <w:tcPr>
            <w:tcW w:w="341" w:type="pct"/>
            <w:tcBorders>
              <w:top w:val="nil"/>
              <w:left w:val="nil"/>
              <w:bottom w:val="nil"/>
              <w:right w:val="nil"/>
            </w:tcBorders>
            <w:shd w:val="clear" w:color="000000" w:fill="FFFF00"/>
            <w:noWrap/>
            <w:vAlign w:val="bottom"/>
            <w:hideMark/>
          </w:tcPr>
          <w:p w14:paraId="3D46EFEF"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0.67</w:t>
            </w:r>
          </w:p>
        </w:tc>
        <w:tc>
          <w:tcPr>
            <w:tcW w:w="341" w:type="pct"/>
            <w:tcBorders>
              <w:top w:val="nil"/>
              <w:left w:val="nil"/>
              <w:bottom w:val="nil"/>
              <w:right w:val="nil"/>
            </w:tcBorders>
            <w:shd w:val="clear" w:color="auto" w:fill="auto"/>
            <w:noWrap/>
            <w:vAlign w:val="bottom"/>
            <w:hideMark/>
          </w:tcPr>
          <w:p w14:paraId="656F7113"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-0.09</w:t>
            </w:r>
          </w:p>
        </w:tc>
        <w:tc>
          <w:tcPr>
            <w:tcW w:w="341" w:type="pct"/>
            <w:tcBorders>
              <w:top w:val="nil"/>
              <w:left w:val="nil"/>
              <w:bottom w:val="nil"/>
              <w:right w:val="nil"/>
            </w:tcBorders>
            <w:shd w:val="clear" w:color="auto" w:fill="auto"/>
            <w:noWrap/>
            <w:vAlign w:val="bottom"/>
            <w:hideMark/>
          </w:tcPr>
          <w:p w14:paraId="7F51CA27"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0.38</w:t>
            </w:r>
          </w:p>
        </w:tc>
        <w:tc>
          <w:tcPr>
            <w:tcW w:w="341" w:type="pct"/>
            <w:tcBorders>
              <w:top w:val="nil"/>
              <w:left w:val="nil"/>
              <w:bottom w:val="nil"/>
              <w:right w:val="nil"/>
            </w:tcBorders>
            <w:shd w:val="clear" w:color="auto" w:fill="auto"/>
            <w:noWrap/>
            <w:vAlign w:val="bottom"/>
            <w:hideMark/>
          </w:tcPr>
          <w:p w14:paraId="7FC53BB7"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0.35</w:t>
            </w:r>
          </w:p>
        </w:tc>
        <w:tc>
          <w:tcPr>
            <w:tcW w:w="341" w:type="pct"/>
            <w:tcBorders>
              <w:top w:val="nil"/>
              <w:left w:val="nil"/>
              <w:bottom w:val="nil"/>
              <w:right w:val="nil"/>
            </w:tcBorders>
            <w:shd w:val="clear" w:color="auto" w:fill="auto"/>
            <w:noWrap/>
            <w:vAlign w:val="bottom"/>
            <w:hideMark/>
          </w:tcPr>
          <w:p w14:paraId="4C90DDEE"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-0.27</w:t>
            </w:r>
          </w:p>
        </w:tc>
        <w:tc>
          <w:tcPr>
            <w:tcW w:w="341" w:type="pct"/>
            <w:tcBorders>
              <w:top w:val="nil"/>
              <w:left w:val="nil"/>
              <w:bottom w:val="nil"/>
              <w:right w:val="nil"/>
            </w:tcBorders>
            <w:shd w:val="clear" w:color="auto" w:fill="auto"/>
            <w:noWrap/>
            <w:vAlign w:val="bottom"/>
            <w:hideMark/>
          </w:tcPr>
          <w:p w14:paraId="6C9ED670"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0.11</w:t>
            </w:r>
          </w:p>
        </w:tc>
      </w:tr>
      <w:tr w:rsidR="00D41D03" w:rsidRPr="00BC5198" w14:paraId="5009C037" w14:textId="77777777" w:rsidTr="00BC5198">
        <w:trPr>
          <w:trHeight w:val="20"/>
        </w:trPr>
        <w:tc>
          <w:tcPr>
            <w:tcW w:w="393" w:type="pct"/>
            <w:tcBorders>
              <w:top w:val="nil"/>
              <w:left w:val="nil"/>
              <w:bottom w:val="nil"/>
              <w:right w:val="nil"/>
            </w:tcBorders>
            <w:shd w:val="clear" w:color="auto" w:fill="auto"/>
            <w:noWrap/>
            <w:vAlign w:val="bottom"/>
            <w:hideMark/>
          </w:tcPr>
          <w:p w14:paraId="17170DFF" w14:textId="77777777" w:rsidR="00D41D03" w:rsidRPr="00BC5198" w:rsidRDefault="00D41D03" w:rsidP="00BC5198">
            <w:pPr>
              <w:spacing w:before="0" w:after="0"/>
              <w:jc w:val="left"/>
              <w:rPr>
                <w:rFonts w:cs="Times New Roman"/>
                <w:color w:val="000000"/>
                <w:sz w:val="20"/>
                <w:szCs w:val="20"/>
              </w:rPr>
            </w:pPr>
            <w:r w:rsidRPr="00BC5198">
              <w:rPr>
                <w:rFonts w:cs="Times New Roman"/>
                <w:color w:val="000000"/>
                <w:sz w:val="20"/>
                <w:szCs w:val="20"/>
              </w:rPr>
              <w:t>PN</w:t>
            </w:r>
          </w:p>
        </w:tc>
        <w:tc>
          <w:tcPr>
            <w:tcW w:w="380" w:type="pct"/>
            <w:tcBorders>
              <w:top w:val="nil"/>
              <w:left w:val="nil"/>
              <w:bottom w:val="nil"/>
              <w:right w:val="nil"/>
            </w:tcBorders>
            <w:shd w:val="clear" w:color="auto" w:fill="auto"/>
            <w:noWrap/>
            <w:vAlign w:val="bottom"/>
            <w:hideMark/>
          </w:tcPr>
          <w:p w14:paraId="6A809ED7"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-0.03</w:t>
            </w:r>
          </w:p>
        </w:tc>
        <w:tc>
          <w:tcPr>
            <w:tcW w:w="341" w:type="pct"/>
            <w:tcBorders>
              <w:top w:val="nil"/>
              <w:left w:val="nil"/>
              <w:bottom w:val="nil"/>
              <w:right w:val="nil"/>
            </w:tcBorders>
            <w:shd w:val="clear" w:color="auto" w:fill="auto"/>
            <w:noWrap/>
            <w:vAlign w:val="bottom"/>
            <w:hideMark/>
          </w:tcPr>
          <w:p w14:paraId="635A8894"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-0.45</w:t>
            </w:r>
          </w:p>
        </w:tc>
        <w:tc>
          <w:tcPr>
            <w:tcW w:w="341" w:type="pct"/>
            <w:tcBorders>
              <w:top w:val="nil"/>
              <w:left w:val="nil"/>
              <w:bottom w:val="nil"/>
              <w:right w:val="nil"/>
            </w:tcBorders>
            <w:shd w:val="clear" w:color="auto" w:fill="auto"/>
            <w:noWrap/>
            <w:vAlign w:val="bottom"/>
            <w:hideMark/>
          </w:tcPr>
          <w:p w14:paraId="233673E1"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-0.40</w:t>
            </w:r>
          </w:p>
        </w:tc>
        <w:tc>
          <w:tcPr>
            <w:tcW w:w="476" w:type="pct"/>
            <w:tcBorders>
              <w:top w:val="nil"/>
              <w:left w:val="nil"/>
              <w:bottom w:val="nil"/>
              <w:right w:val="nil"/>
            </w:tcBorders>
            <w:shd w:val="clear" w:color="auto" w:fill="auto"/>
            <w:noWrap/>
            <w:vAlign w:val="bottom"/>
            <w:hideMark/>
          </w:tcPr>
          <w:p w14:paraId="7B08379B"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0.01</w:t>
            </w:r>
          </w:p>
        </w:tc>
        <w:tc>
          <w:tcPr>
            <w:tcW w:w="341" w:type="pct"/>
            <w:tcBorders>
              <w:top w:val="nil"/>
              <w:left w:val="nil"/>
              <w:bottom w:val="nil"/>
              <w:right w:val="nil"/>
            </w:tcBorders>
            <w:shd w:val="clear" w:color="auto" w:fill="auto"/>
            <w:noWrap/>
            <w:vAlign w:val="bottom"/>
            <w:hideMark/>
          </w:tcPr>
          <w:p w14:paraId="054A3058"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0.29</w:t>
            </w:r>
          </w:p>
        </w:tc>
        <w:tc>
          <w:tcPr>
            <w:tcW w:w="341" w:type="pct"/>
            <w:tcBorders>
              <w:top w:val="nil"/>
              <w:left w:val="nil"/>
              <w:bottom w:val="nil"/>
              <w:right w:val="nil"/>
            </w:tcBorders>
            <w:shd w:val="clear" w:color="auto" w:fill="auto"/>
            <w:noWrap/>
            <w:vAlign w:val="bottom"/>
            <w:hideMark/>
          </w:tcPr>
          <w:p w14:paraId="0A2D5D57"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-0.01</w:t>
            </w:r>
          </w:p>
        </w:tc>
        <w:tc>
          <w:tcPr>
            <w:tcW w:w="341" w:type="pct"/>
            <w:tcBorders>
              <w:top w:val="nil"/>
              <w:left w:val="nil"/>
              <w:bottom w:val="nil"/>
              <w:right w:val="nil"/>
            </w:tcBorders>
            <w:shd w:val="clear" w:color="000000" w:fill="FFFF00"/>
            <w:noWrap/>
            <w:vAlign w:val="bottom"/>
            <w:hideMark/>
          </w:tcPr>
          <w:p w14:paraId="09627D05"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0.67</w:t>
            </w:r>
          </w:p>
        </w:tc>
        <w:tc>
          <w:tcPr>
            <w:tcW w:w="341" w:type="pct"/>
            <w:tcBorders>
              <w:top w:val="nil"/>
              <w:left w:val="nil"/>
              <w:bottom w:val="nil"/>
              <w:right w:val="nil"/>
            </w:tcBorders>
            <w:shd w:val="clear" w:color="auto" w:fill="auto"/>
            <w:noWrap/>
            <w:vAlign w:val="bottom"/>
            <w:hideMark/>
          </w:tcPr>
          <w:p w14:paraId="2262D4F4"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1</w:t>
            </w:r>
          </w:p>
        </w:tc>
        <w:tc>
          <w:tcPr>
            <w:tcW w:w="341" w:type="pct"/>
            <w:tcBorders>
              <w:top w:val="nil"/>
              <w:left w:val="nil"/>
              <w:bottom w:val="nil"/>
              <w:right w:val="nil"/>
            </w:tcBorders>
            <w:shd w:val="clear" w:color="auto" w:fill="auto"/>
            <w:noWrap/>
            <w:vAlign w:val="bottom"/>
            <w:hideMark/>
          </w:tcPr>
          <w:p w14:paraId="44904798"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-0.07</w:t>
            </w:r>
          </w:p>
        </w:tc>
        <w:tc>
          <w:tcPr>
            <w:tcW w:w="341" w:type="pct"/>
            <w:tcBorders>
              <w:top w:val="nil"/>
              <w:left w:val="nil"/>
              <w:bottom w:val="nil"/>
              <w:right w:val="nil"/>
            </w:tcBorders>
            <w:shd w:val="clear" w:color="auto" w:fill="auto"/>
            <w:noWrap/>
            <w:vAlign w:val="bottom"/>
            <w:hideMark/>
          </w:tcPr>
          <w:p w14:paraId="6E175979"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0.42</w:t>
            </w:r>
          </w:p>
        </w:tc>
        <w:tc>
          <w:tcPr>
            <w:tcW w:w="341" w:type="pct"/>
            <w:tcBorders>
              <w:top w:val="nil"/>
              <w:left w:val="nil"/>
              <w:bottom w:val="nil"/>
              <w:right w:val="nil"/>
            </w:tcBorders>
            <w:shd w:val="clear" w:color="auto" w:fill="auto"/>
            <w:noWrap/>
            <w:vAlign w:val="bottom"/>
            <w:hideMark/>
          </w:tcPr>
          <w:p w14:paraId="10D06D32"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0.32</w:t>
            </w:r>
          </w:p>
        </w:tc>
        <w:tc>
          <w:tcPr>
            <w:tcW w:w="341" w:type="pct"/>
            <w:tcBorders>
              <w:top w:val="nil"/>
              <w:left w:val="nil"/>
              <w:bottom w:val="nil"/>
              <w:right w:val="nil"/>
            </w:tcBorders>
            <w:shd w:val="clear" w:color="auto" w:fill="auto"/>
            <w:noWrap/>
            <w:vAlign w:val="bottom"/>
            <w:hideMark/>
          </w:tcPr>
          <w:p w14:paraId="26F9E2EB"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-0.17</w:t>
            </w:r>
          </w:p>
        </w:tc>
        <w:tc>
          <w:tcPr>
            <w:tcW w:w="341" w:type="pct"/>
            <w:tcBorders>
              <w:top w:val="nil"/>
              <w:left w:val="nil"/>
              <w:bottom w:val="nil"/>
              <w:right w:val="nil"/>
            </w:tcBorders>
            <w:shd w:val="clear" w:color="auto" w:fill="auto"/>
            <w:noWrap/>
            <w:vAlign w:val="bottom"/>
            <w:hideMark/>
          </w:tcPr>
          <w:p w14:paraId="5B831D59"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0.31</w:t>
            </w:r>
          </w:p>
        </w:tc>
      </w:tr>
      <w:tr w:rsidR="00D41D03" w:rsidRPr="00BC5198" w14:paraId="720047C4" w14:textId="77777777" w:rsidTr="00BC5198">
        <w:trPr>
          <w:trHeight w:val="20"/>
        </w:trPr>
        <w:tc>
          <w:tcPr>
            <w:tcW w:w="393" w:type="pct"/>
            <w:tcBorders>
              <w:top w:val="nil"/>
              <w:left w:val="nil"/>
              <w:bottom w:val="nil"/>
              <w:right w:val="nil"/>
            </w:tcBorders>
            <w:shd w:val="clear" w:color="auto" w:fill="auto"/>
            <w:noWrap/>
            <w:vAlign w:val="bottom"/>
            <w:hideMark/>
          </w:tcPr>
          <w:p w14:paraId="211FD280" w14:textId="77777777" w:rsidR="00D41D03" w:rsidRPr="00BC5198" w:rsidRDefault="00D41D03" w:rsidP="00BC5198">
            <w:pPr>
              <w:spacing w:before="0" w:after="0"/>
              <w:jc w:val="left"/>
              <w:rPr>
                <w:rFonts w:cs="Times New Roman"/>
                <w:color w:val="000000"/>
                <w:sz w:val="20"/>
                <w:szCs w:val="20"/>
              </w:rPr>
            </w:pPr>
            <w:r w:rsidRPr="00BC5198">
              <w:rPr>
                <w:rFonts w:cs="Times New Roman"/>
                <w:color w:val="000000"/>
                <w:sz w:val="20"/>
                <w:szCs w:val="20"/>
              </w:rPr>
              <w:t>DIN</w:t>
            </w:r>
          </w:p>
        </w:tc>
        <w:tc>
          <w:tcPr>
            <w:tcW w:w="380" w:type="pct"/>
            <w:tcBorders>
              <w:top w:val="nil"/>
              <w:left w:val="nil"/>
              <w:bottom w:val="nil"/>
              <w:right w:val="nil"/>
            </w:tcBorders>
            <w:shd w:val="clear" w:color="auto" w:fill="auto"/>
            <w:noWrap/>
            <w:vAlign w:val="bottom"/>
            <w:hideMark/>
          </w:tcPr>
          <w:p w14:paraId="5CDB4E24"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0.53</w:t>
            </w:r>
          </w:p>
        </w:tc>
        <w:tc>
          <w:tcPr>
            <w:tcW w:w="341" w:type="pct"/>
            <w:tcBorders>
              <w:top w:val="nil"/>
              <w:left w:val="nil"/>
              <w:bottom w:val="nil"/>
              <w:right w:val="nil"/>
            </w:tcBorders>
            <w:shd w:val="clear" w:color="auto" w:fill="auto"/>
            <w:noWrap/>
            <w:vAlign w:val="bottom"/>
            <w:hideMark/>
          </w:tcPr>
          <w:p w14:paraId="6451AC85"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-0.25</w:t>
            </w:r>
          </w:p>
        </w:tc>
        <w:tc>
          <w:tcPr>
            <w:tcW w:w="341" w:type="pct"/>
            <w:tcBorders>
              <w:top w:val="nil"/>
              <w:left w:val="nil"/>
              <w:bottom w:val="nil"/>
              <w:right w:val="nil"/>
            </w:tcBorders>
            <w:shd w:val="clear" w:color="auto" w:fill="auto"/>
            <w:noWrap/>
            <w:vAlign w:val="bottom"/>
            <w:hideMark/>
          </w:tcPr>
          <w:p w14:paraId="2C54444F"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-0.29</w:t>
            </w:r>
          </w:p>
        </w:tc>
        <w:tc>
          <w:tcPr>
            <w:tcW w:w="476" w:type="pct"/>
            <w:tcBorders>
              <w:top w:val="nil"/>
              <w:left w:val="nil"/>
              <w:bottom w:val="nil"/>
              <w:right w:val="nil"/>
            </w:tcBorders>
            <w:shd w:val="clear" w:color="auto" w:fill="auto"/>
            <w:noWrap/>
            <w:vAlign w:val="bottom"/>
            <w:hideMark/>
          </w:tcPr>
          <w:p w14:paraId="37CD43F2"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-0.29</w:t>
            </w:r>
          </w:p>
        </w:tc>
        <w:tc>
          <w:tcPr>
            <w:tcW w:w="341" w:type="pct"/>
            <w:tcBorders>
              <w:top w:val="nil"/>
              <w:left w:val="nil"/>
              <w:bottom w:val="nil"/>
              <w:right w:val="nil"/>
            </w:tcBorders>
            <w:shd w:val="clear" w:color="auto" w:fill="auto"/>
            <w:noWrap/>
            <w:vAlign w:val="bottom"/>
            <w:hideMark/>
          </w:tcPr>
          <w:p w14:paraId="58B46C0F"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0.39</w:t>
            </w:r>
          </w:p>
        </w:tc>
        <w:tc>
          <w:tcPr>
            <w:tcW w:w="341" w:type="pct"/>
            <w:tcBorders>
              <w:top w:val="nil"/>
              <w:left w:val="nil"/>
              <w:bottom w:val="nil"/>
              <w:right w:val="nil"/>
            </w:tcBorders>
            <w:shd w:val="clear" w:color="auto" w:fill="auto"/>
            <w:noWrap/>
            <w:vAlign w:val="bottom"/>
            <w:hideMark/>
          </w:tcPr>
          <w:p w14:paraId="1CA270CA"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0.11</w:t>
            </w:r>
          </w:p>
        </w:tc>
        <w:tc>
          <w:tcPr>
            <w:tcW w:w="341" w:type="pct"/>
            <w:tcBorders>
              <w:top w:val="nil"/>
              <w:left w:val="nil"/>
              <w:bottom w:val="nil"/>
              <w:right w:val="nil"/>
            </w:tcBorders>
            <w:shd w:val="clear" w:color="auto" w:fill="auto"/>
            <w:noWrap/>
            <w:vAlign w:val="bottom"/>
            <w:hideMark/>
          </w:tcPr>
          <w:p w14:paraId="1ECDBA18"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-0.09</w:t>
            </w:r>
          </w:p>
        </w:tc>
        <w:tc>
          <w:tcPr>
            <w:tcW w:w="341" w:type="pct"/>
            <w:tcBorders>
              <w:top w:val="nil"/>
              <w:left w:val="nil"/>
              <w:bottom w:val="nil"/>
              <w:right w:val="nil"/>
            </w:tcBorders>
            <w:shd w:val="clear" w:color="auto" w:fill="auto"/>
            <w:noWrap/>
            <w:vAlign w:val="bottom"/>
            <w:hideMark/>
          </w:tcPr>
          <w:p w14:paraId="5568F3D9"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-0.07</w:t>
            </w:r>
          </w:p>
        </w:tc>
        <w:tc>
          <w:tcPr>
            <w:tcW w:w="341" w:type="pct"/>
            <w:tcBorders>
              <w:top w:val="nil"/>
              <w:left w:val="nil"/>
              <w:bottom w:val="nil"/>
              <w:right w:val="nil"/>
            </w:tcBorders>
            <w:shd w:val="clear" w:color="auto" w:fill="auto"/>
            <w:noWrap/>
            <w:vAlign w:val="bottom"/>
            <w:hideMark/>
          </w:tcPr>
          <w:p w14:paraId="365FB076"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1</w:t>
            </w:r>
          </w:p>
        </w:tc>
        <w:tc>
          <w:tcPr>
            <w:tcW w:w="341" w:type="pct"/>
            <w:tcBorders>
              <w:top w:val="nil"/>
              <w:left w:val="nil"/>
              <w:bottom w:val="nil"/>
              <w:right w:val="nil"/>
            </w:tcBorders>
            <w:shd w:val="clear" w:color="auto" w:fill="auto"/>
            <w:noWrap/>
            <w:vAlign w:val="bottom"/>
            <w:hideMark/>
          </w:tcPr>
          <w:p w14:paraId="10017689"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0.19</w:t>
            </w:r>
          </w:p>
        </w:tc>
        <w:tc>
          <w:tcPr>
            <w:tcW w:w="341" w:type="pct"/>
            <w:tcBorders>
              <w:top w:val="nil"/>
              <w:left w:val="nil"/>
              <w:bottom w:val="nil"/>
              <w:right w:val="nil"/>
            </w:tcBorders>
            <w:shd w:val="clear" w:color="auto" w:fill="auto"/>
            <w:noWrap/>
            <w:vAlign w:val="bottom"/>
            <w:hideMark/>
          </w:tcPr>
          <w:p w14:paraId="232D2D2E"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0.12</w:t>
            </w:r>
          </w:p>
        </w:tc>
        <w:tc>
          <w:tcPr>
            <w:tcW w:w="341" w:type="pct"/>
            <w:tcBorders>
              <w:top w:val="nil"/>
              <w:left w:val="nil"/>
              <w:bottom w:val="nil"/>
              <w:right w:val="nil"/>
            </w:tcBorders>
            <w:shd w:val="clear" w:color="auto" w:fill="auto"/>
            <w:noWrap/>
            <w:vAlign w:val="bottom"/>
            <w:hideMark/>
          </w:tcPr>
          <w:p w14:paraId="172AF529"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0.26</w:t>
            </w:r>
          </w:p>
        </w:tc>
        <w:tc>
          <w:tcPr>
            <w:tcW w:w="341" w:type="pct"/>
            <w:tcBorders>
              <w:top w:val="nil"/>
              <w:left w:val="nil"/>
              <w:bottom w:val="nil"/>
              <w:right w:val="nil"/>
            </w:tcBorders>
            <w:shd w:val="clear" w:color="auto" w:fill="auto"/>
            <w:noWrap/>
            <w:vAlign w:val="bottom"/>
            <w:hideMark/>
          </w:tcPr>
          <w:p w14:paraId="660BE941"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0.33</w:t>
            </w:r>
          </w:p>
        </w:tc>
      </w:tr>
      <w:tr w:rsidR="00D41D03" w:rsidRPr="00BC5198" w14:paraId="767AADF3" w14:textId="77777777" w:rsidTr="00BC5198">
        <w:trPr>
          <w:trHeight w:val="20"/>
        </w:trPr>
        <w:tc>
          <w:tcPr>
            <w:tcW w:w="393" w:type="pct"/>
            <w:tcBorders>
              <w:top w:val="nil"/>
              <w:left w:val="nil"/>
              <w:bottom w:val="nil"/>
              <w:right w:val="nil"/>
            </w:tcBorders>
            <w:shd w:val="clear" w:color="auto" w:fill="auto"/>
            <w:noWrap/>
            <w:vAlign w:val="bottom"/>
            <w:hideMark/>
          </w:tcPr>
          <w:p w14:paraId="0FCE0C4A" w14:textId="77777777" w:rsidR="00D41D03" w:rsidRPr="00BC5198" w:rsidRDefault="00D41D03" w:rsidP="00BC5198">
            <w:pPr>
              <w:spacing w:before="0" w:after="0"/>
              <w:jc w:val="left"/>
              <w:rPr>
                <w:rFonts w:cs="Times New Roman"/>
                <w:color w:val="000000"/>
                <w:sz w:val="20"/>
                <w:szCs w:val="20"/>
              </w:rPr>
            </w:pPr>
            <w:r w:rsidRPr="00BC5198">
              <w:rPr>
                <w:rFonts w:cs="Times New Roman"/>
                <w:color w:val="000000"/>
                <w:sz w:val="20"/>
                <w:szCs w:val="20"/>
              </w:rPr>
              <w:t>TP</w:t>
            </w:r>
          </w:p>
        </w:tc>
        <w:tc>
          <w:tcPr>
            <w:tcW w:w="380" w:type="pct"/>
            <w:tcBorders>
              <w:top w:val="nil"/>
              <w:left w:val="nil"/>
              <w:bottom w:val="nil"/>
              <w:right w:val="nil"/>
            </w:tcBorders>
            <w:shd w:val="clear" w:color="auto" w:fill="auto"/>
            <w:noWrap/>
            <w:vAlign w:val="bottom"/>
            <w:hideMark/>
          </w:tcPr>
          <w:p w14:paraId="6EBA1D84"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0.19</w:t>
            </w:r>
          </w:p>
        </w:tc>
        <w:tc>
          <w:tcPr>
            <w:tcW w:w="341" w:type="pct"/>
            <w:tcBorders>
              <w:top w:val="nil"/>
              <w:left w:val="nil"/>
              <w:bottom w:val="nil"/>
              <w:right w:val="nil"/>
            </w:tcBorders>
            <w:shd w:val="clear" w:color="auto" w:fill="auto"/>
            <w:noWrap/>
            <w:vAlign w:val="bottom"/>
            <w:hideMark/>
          </w:tcPr>
          <w:p w14:paraId="750B385A"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-0.54</w:t>
            </w:r>
          </w:p>
        </w:tc>
        <w:tc>
          <w:tcPr>
            <w:tcW w:w="341" w:type="pct"/>
            <w:tcBorders>
              <w:top w:val="nil"/>
              <w:left w:val="nil"/>
              <w:bottom w:val="nil"/>
              <w:right w:val="nil"/>
            </w:tcBorders>
            <w:shd w:val="clear" w:color="auto" w:fill="auto"/>
            <w:noWrap/>
            <w:vAlign w:val="bottom"/>
            <w:hideMark/>
          </w:tcPr>
          <w:p w14:paraId="4A7DC802"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-0.35</w:t>
            </w:r>
          </w:p>
        </w:tc>
        <w:tc>
          <w:tcPr>
            <w:tcW w:w="476" w:type="pct"/>
            <w:tcBorders>
              <w:top w:val="nil"/>
              <w:left w:val="nil"/>
              <w:bottom w:val="nil"/>
              <w:right w:val="nil"/>
            </w:tcBorders>
            <w:shd w:val="clear" w:color="auto" w:fill="auto"/>
            <w:noWrap/>
            <w:vAlign w:val="bottom"/>
            <w:hideMark/>
          </w:tcPr>
          <w:p w14:paraId="566EE38B"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0.14</w:t>
            </w:r>
          </w:p>
        </w:tc>
        <w:tc>
          <w:tcPr>
            <w:tcW w:w="341" w:type="pct"/>
            <w:tcBorders>
              <w:top w:val="nil"/>
              <w:left w:val="nil"/>
              <w:bottom w:val="nil"/>
              <w:right w:val="nil"/>
            </w:tcBorders>
            <w:shd w:val="clear" w:color="000000" w:fill="FFFF00"/>
            <w:noWrap/>
            <w:vAlign w:val="bottom"/>
            <w:hideMark/>
          </w:tcPr>
          <w:p w14:paraId="771C3E22"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0.66</w:t>
            </w:r>
          </w:p>
        </w:tc>
        <w:tc>
          <w:tcPr>
            <w:tcW w:w="341" w:type="pct"/>
            <w:tcBorders>
              <w:top w:val="nil"/>
              <w:left w:val="nil"/>
              <w:bottom w:val="nil"/>
              <w:right w:val="nil"/>
            </w:tcBorders>
            <w:shd w:val="clear" w:color="auto" w:fill="auto"/>
            <w:noWrap/>
            <w:vAlign w:val="bottom"/>
            <w:hideMark/>
          </w:tcPr>
          <w:p w14:paraId="11889B1C"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0.14</w:t>
            </w:r>
          </w:p>
        </w:tc>
        <w:tc>
          <w:tcPr>
            <w:tcW w:w="341" w:type="pct"/>
            <w:tcBorders>
              <w:top w:val="nil"/>
              <w:left w:val="nil"/>
              <w:bottom w:val="nil"/>
              <w:right w:val="nil"/>
            </w:tcBorders>
            <w:shd w:val="clear" w:color="auto" w:fill="auto"/>
            <w:noWrap/>
            <w:vAlign w:val="bottom"/>
            <w:hideMark/>
          </w:tcPr>
          <w:p w14:paraId="40B34548"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0.38</w:t>
            </w:r>
          </w:p>
        </w:tc>
        <w:tc>
          <w:tcPr>
            <w:tcW w:w="341" w:type="pct"/>
            <w:tcBorders>
              <w:top w:val="nil"/>
              <w:left w:val="nil"/>
              <w:bottom w:val="nil"/>
              <w:right w:val="nil"/>
            </w:tcBorders>
            <w:shd w:val="clear" w:color="auto" w:fill="auto"/>
            <w:noWrap/>
            <w:vAlign w:val="bottom"/>
            <w:hideMark/>
          </w:tcPr>
          <w:p w14:paraId="3875B944"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0.42</w:t>
            </w:r>
          </w:p>
        </w:tc>
        <w:tc>
          <w:tcPr>
            <w:tcW w:w="341" w:type="pct"/>
            <w:tcBorders>
              <w:top w:val="nil"/>
              <w:left w:val="nil"/>
              <w:bottom w:val="nil"/>
              <w:right w:val="nil"/>
            </w:tcBorders>
            <w:shd w:val="clear" w:color="auto" w:fill="auto"/>
            <w:noWrap/>
            <w:vAlign w:val="bottom"/>
            <w:hideMark/>
          </w:tcPr>
          <w:p w14:paraId="175144F1"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0.19</w:t>
            </w:r>
          </w:p>
        </w:tc>
        <w:tc>
          <w:tcPr>
            <w:tcW w:w="341" w:type="pct"/>
            <w:tcBorders>
              <w:top w:val="nil"/>
              <w:left w:val="nil"/>
              <w:bottom w:val="nil"/>
              <w:right w:val="nil"/>
            </w:tcBorders>
            <w:shd w:val="clear" w:color="auto" w:fill="auto"/>
            <w:noWrap/>
            <w:vAlign w:val="bottom"/>
            <w:hideMark/>
          </w:tcPr>
          <w:p w14:paraId="23CE7FDC"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1</w:t>
            </w:r>
          </w:p>
        </w:tc>
        <w:tc>
          <w:tcPr>
            <w:tcW w:w="341" w:type="pct"/>
            <w:tcBorders>
              <w:top w:val="nil"/>
              <w:left w:val="nil"/>
              <w:bottom w:val="nil"/>
              <w:right w:val="nil"/>
            </w:tcBorders>
            <w:shd w:val="clear" w:color="000000" w:fill="FFFF00"/>
            <w:noWrap/>
            <w:vAlign w:val="bottom"/>
            <w:hideMark/>
          </w:tcPr>
          <w:p w14:paraId="440BD823"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0.70</w:t>
            </w:r>
          </w:p>
        </w:tc>
        <w:tc>
          <w:tcPr>
            <w:tcW w:w="341" w:type="pct"/>
            <w:tcBorders>
              <w:top w:val="nil"/>
              <w:left w:val="nil"/>
              <w:bottom w:val="nil"/>
              <w:right w:val="nil"/>
            </w:tcBorders>
            <w:shd w:val="clear" w:color="auto" w:fill="auto"/>
            <w:noWrap/>
            <w:vAlign w:val="bottom"/>
            <w:hideMark/>
          </w:tcPr>
          <w:p w14:paraId="156F9FEB"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0.10</w:t>
            </w:r>
          </w:p>
        </w:tc>
        <w:tc>
          <w:tcPr>
            <w:tcW w:w="341" w:type="pct"/>
            <w:tcBorders>
              <w:top w:val="nil"/>
              <w:left w:val="nil"/>
              <w:bottom w:val="nil"/>
              <w:right w:val="nil"/>
            </w:tcBorders>
            <w:shd w:val="clear" w:color="auto" w:fill="auto"/>
            <w:noWrap/>
            <w:vAlign w:val="bottom"/>
            <w:hideMark/>
          </w:tcPr>
          <w:p w14:paraId="7656AEBE"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0.27</w:t>
            </w:r>
          </w:p>
        </w:tc>
      </w:tr>
      <w:tr w:rsidR="00D41D03" w:rsidRPr="00BC5198" w14:paraId="5D0A4F34" w14:textId="77777777" w:rsidTr="00BC5198">
        <w:trPr>
          <w:trHeight w:val="20"/>
        </w:trPr>
        <w:tc>
          <w:tcPr>
            <w:tcW w:w="393" w:type="pct"/>
            <w:tcBorders>
              <w:top w:val="nil"/>
              <w:left w:val="nil"/>
              <w:bottom w:val="nil"/>
              <w:right w:val="nil"/>
            </w:tcBorders>
            <w:shd w:val="clear" w:color="auto" w:fill="auto"/>
            <w:noWrap/>
            <w:vAlign w:val="bottom"/>
            <w:hideMark/>
          </w:tcPr>
          <w:p w14:paraId="5B703817" w14:textId="77777777" w:rsidR="00D41D03" w:rsidRPr="00BC5198" w:rsidRDefault="00D41D03" w:rsidP="00BC5198">
            <w:pPr>
              <w:spacing w:before="0" w:after="0"/>
              <w:jc w:val="left"/>
              <w:rPr>
                <w:rFonts w:cs="Times New Roman"/>
                <w:color w:val="000000"/>
                <w:sz w:val="20"/>
                <w:szCs w:val="20"/>
              </w:rPr>
            </w:pPr>
            <w:r w:rsidRPr="00BC5198">
              <w:rPr>
                <w:rFonts w:cs="Times New Roman"/>
                <w:color w:val="000000"/>
                <w:sz w:val="20"/>
                <w:szCs w:val="20"/>
              </w:rPr>
              <w:t>PP</w:t>
            </w:r>
          </w:p>
        </w:tc>
        <w:tc>
          <w:tcPr>
            <w:tcW w:w="380" w:type="pct"/>
            <w:tcBorders>
              <w:top w:val="nil"/>
              <w:left w:val="nil"/>
              <w:bottom w:val="nil"/>
              <w:right w:val="nil"/>
            </w:tcBorders>
            <w:shd w:val="clear" w:color="auto" w:fill="auto"/>
            <w:noWrap/>
            <w:vAlign w:val="bottom"/>
            <w:hideMark/>
          </w:tcPr>
          <w:p w14:paraId="7B24AB16"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0.24</w:t>
            </w:r>
          </w:p>
        </w:tc>
        <w:tc>
          <w:tcPr>
            <w:tcW w:w="341" w:type="pct"/>
            <w:tcBorders>
              <w:top w:val="nil"/>
              <w:left w:val="nil"/>
              <w:bottom w:val="nil"/>
              <w:right w:val="nil"/>
            </w:tcBorders>
            <w:shd w:val="clear" w:color="auto" w:fill="auto"/>
            <w:noWrap/>
            <w:vAlign w:val="bottom"/>
            <w:hideMark/>
          </w:tcPr>
          <w:p w14:paraId="48C457F0"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-0.39</w:t>
            </w:r>
          </w:p>
        </w:tc>
        <w:tc>
          <w:tcPr>
            <w:tcW w:w="341" w:type="pct"/>
            <w:tcBorders>
              <w:top w:val="nil"/>
              <w:left w:val="nil"/>
              <w:bottom w:val="nil"/>
              <w:right w:val="nil"/>
            </w:tcBorders>
            <w:shd w:val="clear" w:color="auto" w:fill="auto"/>
            <w:noWrap/>
            <w:vAlign w:val="bottom"/>
            <w:hideMark/>
          </w:tcPr>
          <w:p w14:paraId="2F6E7039"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-0.39</w:t>
            </w:r>
          </w:p>
        </w:tc>
        <w:tc>
          <w:tcPr>
            <w:tcW w:w="476" w:type="pct"/>
            <w:tcBorders>
              <w:top w:val="nil"/>
              <w:left w:val="nil"/>
              <w:bottom w:val="nil"/>
              <w:right w:val="nil"/>
            </w:tcBorders>
            <w:shd w:val="clear" w:color="auto" w:fill="auto"/>
            <w:noWrap/>
            <w:vAlign w:val="bottom"/>
            <w:hideMark/>
          </w:tcPr>
          <w:p w14:paraId="3AD412F9"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-0.08</w:t>
            </w:r>
          </w:p>
        </w:tc>
        <w:tc>
          <w:tcPr>
            <w:tcW w:w="341" w:type="pct"/>
            <w:tcBorders>
              <w:top w:val="nil"/>
              <w:left w:val="nil"/>
              <w:bottom w:val="nil"/>
              <w:right w:val="nil"/>
            </w:tcBorders>
            <w:shd w:val="clear" w:color="auto" w:fill="auto"/>
            <w:noWrap/>
            <w:vAlign w:val="bottom"/>
            <w:hideMark/>
          </w:tcPr>
          <w:p w14:paraId="74E8B33F"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0.56</w:t>
            </w:r>
          </w:p>
        </w:tc>
        <w:tc>
          <w:tcPr>
            <w:tcW w:w="341" w:type="pct"/>
            <w:tcBorders>
              <w:top w:val="nil"/>
              <w:left w:val="nil"/>
              <w:bottom w:val="nil"/>
              <w:right w:val="nil"/>
            </w:tcBorders>
            <w:shd w:val="clear" w:color="auto" w:fill="auto"/>
            <w:noWrap/>
            <w:vAlign w:val="bottom"/>
            <w:hideMark/>
          </w:tcPr>
          <w:p w14:paraId="1E315B18"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-0.04</w:t>
            </w:r>
          </w:p>
        </w:tc>
        <w:tc>
          <w:tcPr>
            <w:tcW w:w="341" w:type="pct"/>
            <w:tcBorders>
              <w:top w:val="nil"/>
              <w:left w:val="nil"/>
              <w:bottom w:val="nil"/>
              <w:right w:val="nil"/>
            </w:tcBorders>
            <w:shd w:val="clear" w:color="auto" w:fill="auto"/>
            <w:noWrap/>
            <w:vAlign w:val="bottom"/>
            <w:hideMark/>
          </w:tcPr>
          <w:p w14:paraId="66806E13"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0.35</w:t>
            </w:r>
          </w:p>
        </w:tc>
        <w:tc>
          <w:tcPr>
            <w:tcW w:w="341" w:type="pct"/>
            <w:tcBorders>
              <w:top w:val="nil"/>
              <w:left w:val="nil"/>
              <w:bottom w:val="nil"/>
              <w:right w:val="nil"/>
            </w:tcBorders>
            <w:shd w:val="clear" w:color="auto" w:fill="auto"/>
            <w:noWrap/>
            <w:vAlign w:val="bottom"/>
            <w:hideMark/>
          </w:tcPr>
          <w:p w14:paraId="680BBE3E"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0.32</w:t>
            </w:r>
          </w:p>
        </w:tc>
        <w:tc>
          <w:tcPr>
            <w:tcW w:w="341" w:type="pct"/>
            <w:tcBorders>
              <w:top w:val="nil"/>
              <w:left w:val="nil"/>
              <w:bottom w:val="nil"/>
              <w:right w:val="nil"/>
            </w:tcBorders>
            <w:shd w:val="clear" w:color="auto" w:fill="auto"/>
            <w:noWrap/>
            <w:vAlign w:val="bottom"/>
            <w:hideMark/>
          </w:tcPr>
          <w:p w14:paraId="258E4D95"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0.12</w:t>
            </w:r>
          </w:p>
        </w:tc>
        <w:tc>
          <w:tcPr>
            <w:tcW w:w="341" w:type="pct"/>
            <w:tcBorders>
              <w:top w:val="nil"/>
              <w:left w:val="nil"/>
              <w:bottom w:val="nil"/>
              <w:right w:val="nil"/>
            </w:tcBorders>
            <w:shd w:val="clear" w:color="000000" w:fill="FFFF00"/>
            <w:noWrap/>
            <w:vAlign w:val="bottom"/>
            <w:hideMark/>
          </w:tcPr>
          <w:p w14:paraId="5F4306AC"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0.70</w:t>
            </w:r>
          </w:p>
        </w:tc>
        <w:tc>
          <w:tcPr>
            <w:tcW w:w="341" w:type="pct"/>
            <w:tcBorders>
              <w:top w:val="nil"/>
              <w:left w:val="nil"/>
              <w:bottom w:val="nil"/>
              <w:right w:val="nil"/>
            </w:tcBorders>
            <w:shd w:val="clear" w:color="auto" w:fill="auto"/>
            <w:noWrap/>
            <w:vAlign w:val="bottom"/>
            <w:hideMark/>
          </w:tcPr>
          <w:p w14:paraId="2963E182"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1</w:t>
            </w:r>
          </w:p>
        </w:tc>
        <w:tc>
          <w:tcPr>
            <w:tcW w:w="341" w:type="pct"/>
            <w:tcBorders>
              <w:top w:val="nil"/>
              <w:left w:val="nil"/>
              <w:bottom w:val="nil"/>
              <w:right w:val="nil"/>
            </w:tcBorders>
            <w:shd w:val="clear" w:color="auto" w:fill="auto"/>
            <w:noWrap/>
            <w:vAlign w:val="bottom"/>
            <w:hideMark/>
          </w:tcPr>
          <w:p w14:paraId="77CEF6B7"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0.17</w:t>
            </w:r>
          </w:p>
        </w:tc>
        <w:tc>
          <w:tcPr>
            <w:tcW w:w="341" w:type="pct"/>
            <w:tcBorders>
              <w:top w:val="nil"/>
              <w:left w:val="nil"/>
              <w:bottom w:val="nil"/>
              <w:right w:val="nil"/>
            </w:tcBorders>
            <w:shd w:val="clear" w:color="auto" w:fill="auto"/>
            <w:noWrap/>
            <w:vAlign w:val="bottom"/>
            <w:hideMark/>
          </w:tcPr>
          <w:p w14:paraId="59DBB70D"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0.35</w:t>
            </w:r>
          </w:p>
        </w:tc>
      </w:tr>
      <w:tr w:rsidR="00D41D03" w:rsidRPr="00BC5198" w14:paraId="3B77B6FC" w14:textId="77777777" w:rsidTr="00BC5198">
        <w:trPr>
          <w:trHeight w:val="20"/>
        </w:trPr>
        <w:tc>
          <w:tcPr>
            <w:tcW w:w="393" w:type="pct"/>
            <w:tcBorders>
              <w:top w:val="nil"/>
              <w:left w:val="nil"/>
              <w:bottom w:val="nil"/>
              <w:right w:val="nil"/>
            </w:tcBorders>
            <w:shd w:val="clear" w:color="auto" w:fill="auto"/>
            <w:noWrap/>
            <w:vAlign w:val="bottom"/>
            <w:hideMark/>
          </w:tcPr>
          <w:p w14:paraId="6F8D63CA" w14:textId="77777777" w:rsidR="00D41D03" w:rsidRPr="00BC5198" w:rsidRDefault="00D41D03" w:rsidP="00BC5198">
            <w:pPr>
              <w:spacing w:before="0" w:after="0"/>
              <w:jc w:val="left"/>
              <w:rPr>
                <w:rFonts w:cs="Times New Roman"/>
                <w:color w:val="000000"/>
                <w:sz w:val="20"/>
                <w:szCs w:val="20"/>
              </w:rPr>
            </w:pPr>
            <w:r w:rsidRPr="00BC5198">
              <w:rPr>
                <w:rFonts w:cs="Times New Roman"/>
                <w:color w:val="000000"/>
                <w:sz w:val="20"/>
                <w:szCs w:val="20"/>
              </w:rPr>
              <w:t>DIP</w:t>
            </w:r>
          </w:p>
        </w:tc>
        <w:tc>
          <w:tcPr>
            <w:tcW w:w="380" w:type="pct"/>
            <w:tcBorders>
              <w:top w:val="nil"/>
              <w:left w:val="nil"/>
              <w:bottom w:val="nil"/>
              <w:right w:val="nil"/>
            </w:tcBorders>
            <w:shd w:val="clear" w:color="auto" w:fill="auto"/>
            <w:noWrap/>
            <w:vAlign w:val="bottom"/>
            <w:hideMark/>
          </w:tcPr>
          <w:p w14:paraId="1E3A3DC9"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0.01</w:t>
            </w:r>
          </w:p>
        </w:tc>
        <w:tc>
          <w:tcPr>
            <w:tcW w:w="341" w:type="pct"/>
            <w:tcBorders>
              <w:top w:val="nil"/>
              <w:left w:val="nil"/>
              <w:bottom w:val="nil"/>
              <w:right w:val="nil"/>
            </w:tcBorders>
            <w:shd w:val="clear" w:color="auto" w:fill="auto"/>
            <w:noWrap/>
            <w:vAlign w:val="bottom"/>
            <w:hideMark/>
          </w:tcPr>
          <w:p w14:paraId="3B61162C"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-0.03</w:t>
            </w:r>
          </w:p>
        </w:tc>
        <w:tc>
          <w:tcPr>
            <w:tcW w:w="341" w:type="pct"/>
            <w:tcBorders>
              <w:top w:val="nil"/>
              <w:left w:val="nil"/>
              <w:bottom w:val="nil"/>
              <w:right w:val="nil"/>
            </w:tcBorders>
            <w:shd w:val="clear" w:color="auto" w:fill="auto"/>
            <w:noWrap/>
            <w:vAlign w:val="bottom"/>
            <w:hideMark/>
          </w:tcPr>
          <w:p w14:paraId="169C5AC5"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0.24</w:t>
            </w:r>
          </w:p>
        </w:tc>
        <w:tc>
          <w:tcPr>
            <w:tcW w:w="476" w:type="pct"/>
            <w:tcBorders>
              <w:top w:val="nil"/>
              <w:left w:val="nil"/>
              <w:bottom w:val="nil"/>
              <w:right w:val="nil"/>
            </w:tcBorders>
            <w:shd w:val="clear" w:color="auto" w:fill="auto"/>
            <w:noWrap/>
            <w:vAlign w:val="bottom"/>
            <w:hideMark/>
          </w:tcPr>
          <w:p w14:paraId="075307AB"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0.09</w:t>
            </w:r>
          </w:p>
        </w:tc>
        <w:tc>
          <w:tcPr>
            <w:tcW w:w="341" w:type="pct"/>
            <w:tcBorders>
              <w:top w:val="nil"/>
              <w:left w:val="nil"/>
              <w:bottom w:val="nil"/>
              <w:right w:val="nil"/>
            </w:tcBorders>
            <w:shd w:val="clear" w:color="auto" w:fill="auto"/>
            <w:noWrap/>
            <w:vAlign w:val="bottom"/>
            <w:hideMark/>
          </w:tcPr>
          <w:p w14:paraId="1759E545"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0.26</w:t>
            </w:r>
          </w:p>
        </w:tc>
        <w:tc>
          <w:tcPr>
            <w:tcW w:w="341" w:type="pct"/>
            <w:tcBorders>
              <w:top w:val="nil"/>
              <w:left w:val="nil"/>
              <w:bottom w:val="nil"/>
              <w:right w:val="nil"/>
            </w:tcBorders>
            <w:shd w:val="clear" w:color="auto" w:fill="auto"/>
            <w:noWrap/>
            <w:vAlign w:val="bottom"/>
            <w:hideMark/>
          </w:tcPr>
          <w:p w14:paraId="6EBD39BE"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-0.04</w:t>
            </w:r>
          </w:p>
        </w:tc>
        <w:tc>
          <w:tcPr>
            <w:tcW w:w="341" w:type="pct"/>
            <w:tcBorders>
              <w:top w:val="nil"/>
              <w:left w:val="nil"/>
              <w:bottom w:val="nil"/>
              <w:right w:val="nil"/>
            </w:tcBorders>
            <w:shd w:val="clear" w:color="auto" w:fill="auto"/>
            <w:noWrap/>
            <w:vAlign w:val="bottom"/>
            <w:hideMark/>
          </w:tcPr>
          <w:p w14:paraId="6C5D1845"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-0.27</w:t>
            </w:r>
          </w:p>
        </w:tc>
        <w:tc>
          <w:tcPr>
            <w:tcW w:w="341" w:type="pct"/>
            <w:tcBorders>
              <w:top w:val="nil"/>
              <w:left w:val="nil"/>
              <w:bottom w:val="nil"/>
              <w:right w:val="nil"/>
            </w:tcBorders>
            <w:shd w:val="clear" w:color="auto" w:fill="auto"/>
            <w:noWrap/>
            <w:vAlign w:val="bottom"/>
            <w:hideMark/>
          </w:tcPr>
          <w:p w14:paraId="4A78FEC9"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-0.17</w:t>
            </w:r>
          </w:p>
        </w:tc>
        <w:tc>
          <w:tcPr>
            <w:tcW w:w="341" w:type="pct"/>
            <w:tcBorders>
              <w:top w:val="nil"/>
              <w:left w:val="nil"/>
              <w:bottom w:val="nil"/>
              <w:right w:val="nil"/>
            </w:tcBorders>
            <w:shd w:val="clear" w:color="auto" w:fill="auto"/>
            <w:noWrap/>
            <w:vAlign w:val="bottom"/>
            <w:hideMark/>
          </w:tcPr>
          <w:p w14:paraId="1ED33844"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0.26</w:t>
            </w:r>
          </w:p>
        </w:tc>
        <w:tc>
          <w:tcPr>
            <w:tcW w:w="341" w:type="pct"/>
            <w:tcBorders>
              <w:top w:val="nil"/>
              <w:left w:val="nil"/>
              <w:bottom w:val="nil"/>
              <w:right w:val="nil"/>
            </w:tcBorders>
            <w:shd w:val="clear" w:color="auto" w:fill="auto"/>
            <w:noWrap/>
            <w:vAlign w:val="bottom"/>
            <w:hideMark/>
          </w:tcPr>
          <w:p w14:paraId="28225AFA"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0.10</w:t>
            </w:r>
          </w:p>
        </w:tc>
        <w:tc>
          <w:tcPr>
            <w:tcW w:w="341" w:type="pct"/>
            <w:tcBorders>
              <w:top w:val="nil"/>
              <w:left w:val="nil"/>
              <w:bottom w:val="nil"/>
              <w:right w:val="nil"/>
            </w:tcBorders>
            <w:shd w:val="clear" w:color="auto" w:fill="auto"/>
            <w:noWrap/>
            <w:vAlign w:val="bottom"/>
            <w:hideMark/>
          </w:tcPr>
          <w:p w14:paraId="4908ED3B"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0.17</w:t>
            </w:r>
          </w:p>
        </w:tc>
        <w:tc>
          <w:tcPr>
            <w:tcW w:w="341" w:type="pct"/>
            <w:tcBorders>
              <w:top w:val="nil"/>
              <w:left w:val="nil"/>
              <w:bottom w:val="nil"/>
              <w:right w:val="nil"/>
            </w:tcBorders>
            <w:shd w:val="clear" w:color="auto" w:fill="auto"/>
            <w:noWrap/>
            <w:vAlign w:val="bottom"/>
            <w:hideMark/>
          </w:tcPr>
          <w:p w14:paraId="7681C40D"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1</w:t>
            </w:r>
          </w:p>
        </w:tc>
        <w:tc>
          <w:tcPr>
            <w:tcW w:w="341" w:type="pct"/>
            <w:tcBorders>
              <w:top w:val="nil"/>
              <w:left w:val="nil"/>
              <w:bottom w:val="nil"/>
              <w:right w:val="nil"/>
            </w:tcBorders>
            <w:shd w:val="clear" w:color="auto" w:fill="auto"/>
            <w:noWrap/>
            <w:vAlign w:val="bottom"/>
            <w:hideMark/>
          </w:tcPr>
          <w:p w14:paraId="6B4B1BD5"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0.01</w:t>
            </w:r>
          </w:p>
        </w:tc>
      </w:tr>
      <w:tr w:rsidR="00D41D03" w:rsidRPr="00BC5198" w14:paraId="5D0F609F" w14:textId="77777777" w:rsidTr="00BC5198">
        <w:trPr>
          <w:trHeight w:val="20"/>
        </w:trPr>
        <w:tc>
          <w:tcPr>
            <w:tcW w:w="393" w:type="pct"/>
            <w:tcBorders>
              <w:top w:val="nil"/>
              <w:left w:val="nil"/>
              <w:bottom w:val="single" w:sz="4" w:space="0" w:color="auto"/>
              <w:right w:val="nil"/>
            </w:tcBorders>
            <w:shd w:val="clear" w:color="auto" w:fill="auto"/>
            <w:noWrap/>
            <w:vAlign w:val="bottom"/>
            <w:hideMark/>
          </w:tcPr>
          <w:p w14:paraId="7AB3BE14" w14:textId="77777777" w:rsidR="00D41D03" w:rsidRPr="00BC5198" w:rsidRDefault="00D41D03" w:rsidP="00BC5198">
            <w:pPr>
              <w:spacing w:before="0" w:after="0"/>
              <w:jc w:val="left"/>
              <w:rPr>
                <w:rFonts w:cs="Times New Roman"/>
                <w:color w:val="000000"/>
                <w:sz w:val="20"/>
                <w:szCs w:val="20"/>
              </w:rPr>
            </w:pPr>
            <w:r w:rsidRPr="00BC5198">
              <w:rPr>
                <w:rFonts w:cs="Times New Roman"/>
                <w:color w:val="000000"/>
                <w:sz w:val="20"/>
                <w:szCs w:val="20"/>
              </w:rPr>
              <w:t>Si</w:t>
            </w:r>
          </w:p>
        </w:tc>
        <w:tc>
          <w:tcPr>
            <w:tcW w:w="380" w:type="pct"/>
            <w:tcBorders>
              <w:top w:val="nil"/>
              <w:left w:val="nil"/>
              <w:bottom w:val="single" w:sz="4" w:space="0" w:color="auto"/>
              <w:right w:val="nil"/>
            </w:tcBorders>
            <w:shd w:val="clear" w:color="auto" w:fill="auto"/>
            <w:noWrap/>
            <w:vAlign w:val="bottom"/>
            <w:hideMark/>
          </w:tcPr>
          <w:p w14:paraId="5C9011FB"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0.44</w:t>
            </w:r>
          </w:p>
        </w:tc>
        <w:tc>
          <w:tcPr>
            <w:tcW w:w="341" w:type="pct"/>
            <w:tcBorders>
              <w:top w:val="nil"/>
              <w:left w:val="nil"/>
              <w:bottom w:val="single" w:sz="4" w:space="0" w:color="auto"/>
              <w:right w:val="nil"/>
            </w:tcBorders>
            <w:shd w:val="clear" w:color="auto" w:fill="auto"/>
            <w:noWrap/>
            <w:vAlign w:val="bottom"/>
            <w:hideMark/>
          </w:tcPr>
          <w:p w14:paraId="1E0EA8D2"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-0.37</w:t>
            </w:r>
          </w:p>
        </w:tc>
        <w:tc>
          <w:tcPr>
            <w:tcW w:w="341" w:type="pct"/>
            <w:tcBorders>
              <w:top w:val="nil"/>
              <w:left w:val="nil"/>
              <w:bottom w:val="single" w:sz="4" w:space="0" w:color="auto"/>
              <w:right w:val="nil"/>
            </w:tcBorders>
            <w:shd w:val="clear" w:color="000000" w:fill="FFFF00"/>
            <w:noWrap/>
            <w:vAlign w:val="bottom"/>
            <w:hideMark/>
          </w:tcPr>
          <w:p w14:paraId="336F4393"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-0.80</w:t>
            </w:r>
          </w:p>
        </w:tc>
        <w:tc>
          <w:tcPr>
            <w:tcW w:w="476" w:type="pct"/>
            <w:tcBorders>
              <w:top w:val="nil"/>
              <w:left w:val="nil"/>
              <w:bottom w:val="single" w:sz="4" w:space="0" w:color="auto"/>
              <w:right w:val="nil"/>
            </w:tcBorders>
            <w:shd w:val="clear" w:color="000000" w:fill="FFFF00"/>
            <w:noWrap/>
            <w:vAlign w:val="bottom"/>
            <w:hideMark/>
          </w:tcPr>
          <w:p w14:paraId="4E803C96"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-0.62</w:t>
            </w:r>
          </w:p>
        </w:tc>
        <w:tc>
          <w:tcPr>
            <w:tcW w:w="341" w:type="pct"/>
            <w:tcBorders>
              <w:top w:val="nil"/>
              <w:left w:val="nil"/>
              <w:bottom w:val="single" w:sz="4" w:space="0" w:color="auto"/>
              <w:right w:val="nil"/>
            </w:tcBorders>
            <w:shd w:val="clear" w:color="auto" w:fill="auto"/>
            <w:noWrap/>
            <w:vAlign w:val="bottom"/>
            <w:hideMark/>
          </w:tcPr>
          <w:p w14:paraId="28A12CB2"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0.60</w:t>
            </w:r>
          </w:p>
        </w:tc>
        <w:tc>
          <w:tcPr>
            <w:tcW w:w="341" w:type="pct"/>
            <w:tcBorders>
              <w:top w:val="nil"/>
              <w:left w:val="nil"/>
              <w:bottom w:val="single" w:sz="4" w:space="0" w:color="auto"/>
              <w:right w:val="nil"/>
            </w:tcBorders>
            <w:shd w:val="clear" w:color="auto" w:fill="auto"/>
            <w:noWrap/>
            <w:vAlign w:val="bottom"/>
            <w:hideMark/>
          </w:tcPr>
          <w:p w14:paraId="4A3C7936"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0.20</w:t>
            </w:r>
          </w:p>
        </w:tc>
        <w:tc>
          <w:tcPr>
            <w:tcW w:w="341" w:type="pct"/>
            <w:tcBorders>
              <w:top w:val="nil"/>
              <w:left w:val="nil"/>
              <w:bottom w:val="single" w:sz="4" w:space="0" w:color="auto"/>
              <w:right w:val="nil"/>
            </w:tcBorders>
            <w:shd w:val="clear" w:color="auto" w:fill="auto"/>
            <w:noWrap/>
            <w:vAlign w:val="bottom"/>
            <w:hideMark/>
          </w:tcPr>
          <w:p w14:paraId="0D02F093"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0.11</w:t>
            </w:r>
          </w:p>
        </w:tc>
        <w:tc>
          <w:tcPr>
            <w:tcW w:w="341" w:type="pct"/>
            <w:tcBorders>
              <w:top w:val="nil"/>
              <w:left w:val="nil"/>
              <w:bottom w:val="single" w:sz="4" w:space="0" w:color="auto"/>
              <w:right w:val="nil"/>
            </w:tcBorders>
            <w:shd w:val="clear" w:color="auto" w:fill="auto"/>
            <w:noWrap/>
            <w:vAlign w:val="bottom"/>
            <w:hideMark/>
          </w:tcPr>
          <w:p w14:paraId="44D3F6B7"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0.31</w:t>
            </w:r>
          </w:p>
        </w:tc>
        <w:tc>
          <w:tcPr>
            <w:tcW w:w="341" w:type="pct"/>
            <w:tcBorders>
              <w:top w:val="nil"/>
              <w:left w:val="nil"/>
              <w:bottom w:val="single" w:sz="4" w:space="0" w:color="auto"/>
              <w:right w:val="nil"/>
            </w:tcBorders>
            <w:shd w:val="clear" w:color="auto" w:fill="auto"/>
            <w:noWrap/>
            <w:vAlign w:val="bottom"/>
            <w:hideMark/>
          </w:tcPr>
          <w:p w14:paraId="12ACB6FB"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0.33</w:t>
            </w:r>
          </w:p>
        </w:tc>
        <w:tc>
          <w:tcPr>
            <w:tcW w:w="341" w:type="pct"/>
            <w:tcBorders>
              <w:top w:val="nil"/>
              <w:left w:val="nil"/>
              <w:bottom w:val="single" w:sz="4" w:space="0" w:color="auto"/>
              <w:right w:val="nil"/>
            </w:tcBorders>
            <w:shd w:val="clear" w:color="auto" w:fill="auto"/>
            <w:noWrap/>
            <w:vAlign w:val="bottom"/>
            <w:hideMark/>
          </w:tcPr>
          <w:p w14:paraId="06F46F43"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0.27</w:t>
            </w:r>
          </w:p>
        </w:tc>
        <w:tc>
          <w:tcPr>
            <w:tcW w:w="341" w:type="pct"/>
            <w:tcBorders>
              <w:top w:val="nil"/>
              <w:left w:val="nil"/>
              <w:bottom w:val="single" w:sz="4" w:space="0" w:color="auto"/>
              <w:right w:val="nil"/>
            </w:tcBorders>
            <w:shd w:val="clear" w:color="auto" w:fill="auto"/>
            <w:noWrap/>
            <w:vAlign w:val="bottom"/>
            <w:hideMark/>
          </w:tcPr>
          <w:p w14:paraId="6A5D1A08"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0.35</w:t>
            </w:r>
          </w:p>
        </w:tc>
        <w:tc>
          <w:tcPr>
            <w:tcW w:w="341" w:type="pct"/>
            <w:tcBorders>
              <w:top w:val="nil"/>
              <w:left w:val="nil"/>
              <w:bottom w:val="single" w:sz="4" w:space="0" w:color="auto"/>
              <w:right w:val="nil"/>
            </w:tcBorders>
            <w:shd w:val="clear" w:color="auto" w:fill="auto"/>
            <w:noWrap/>
            <w:vAlign w:val="bottom"/>
            <w:hideMark/>
          </w:tcPr>
          <w:p w14:paraId="10BC83B2"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0.01</w:t>
            </w:r>
          </w:p>
        </w:tc>
        <w:tc>
          <w:tcPr>
            <w:tcW w:w="341" w:type="pct"/>
            <w:tcBorders>
              <w:top w:val="nil"/>
              <w:left w:val="nil"/>
              <w:bottom w:val="single" w:sz="4" w:space="0" w:color="auto"/>
              <w:right w:val="nil"/>
            </w:tcBorders>
            <w:shd w:val="clear" w:color="auto" w:fill="auto"/>
            <w:noWrap/>
            <w:vAlign w:val="bottom"/>
            <w:hideMark/>
          </w:tcPr>
          <w:p w14:paraId="2B14EE86" w14:textId="77777777" w:rsidR="00D41D03" w:rsidRPr="00BC5198" w:rsidRDefault="00D41D03" w:rsidP="00BC5198">
            <w:pPr>
              <w:spacing w:before="0" w:after="0"/>
              <w:jc w:val="center"/>
              <w:rPr>
                <w:rFonts w:cs="Times New Roman"/>
                <w:color w:val="000000"/>
                <w:sz w:val="20"/>
                <w:szCs w:val="20"/>
              </w:rPr>
            </w:pPr>
            <w:r w:rsidRPr="00BC5198">
              <w:rPr>
                <w:rFonts w:cs="Times New Roman"/>
                <w:color w:val="000000"/>
                <w:sz w:val="20"/>
                <w:szCs w:val="20"/>
              </w:rPr>
              <w:t>1</w:t>
            </w:r>
          </w:p>
        </w:tc>
      </w:tr>
    </w:tbl>
    <w:p w14:paraId="31FA9AB7" w14:textId="77777777" w:rsidR="00D41D03" w:rsidRDefault="00D41D03" w:rsidP="00D41D03">
      <w:pPr>
        <w:rPr>
          <w:rFonts w:ascii="Arial" w:hAnsi="Arial" w:cs="Arial"/>
          <w:color w:val="A6A6A6" w:themeColor="background1" w:themeShade="A6"/>
        </w:rPr>
      </w:pPr>
    </w:p>
    <w:p w14:paraId="760E27FB" w14:textId="77777777" w:rsidR="00BF10D1" w:rsidRPr="00620AEC" w:rsidRDefault="00BF10D1" w:rsidP="00D41D03">
      <w:pPr>
        <w:rPr>
          <w:rFonts w:ascii="Arial" w:hAnsi="Arial" w:cs="Arial"/>
          <w:color w:val="A6A6A6" w:themeColor="background1" w:themeShade="A6"/>
        </w:rPr>
      </w:pPr>
    </w:p>
    <w:p w14:paraId="1820CFA8" w14:textId="77777777" w:rsidR="00BC5198" w:rsidRDefault="00BC5198" w:rsidP="00D41D03">
      <w:pPr>
        <w:pStyle w:val="Caption"/>
      </w:pPr>
      <w:r>
        <w:br w:type="page"/>
      </w:r>
    </w:p>
    <w:p w14:paraId="3DCB2318" w14:textId="75D6E6B1" w:rsidR="00D41D03" w:rsidRDefault="00D41D03" w:rsidP="00D41D03">
      <w:pPr>
        <w:pStyle w:val="Caption"/>
      </w:pPr>
      <w:bookmarkStart w:id="157" w:name="_Toc454304611"/>
      <w:r>
        <w:lastRenderedPageBreak/>
        <w:t xml:space="preserve">Table </w:t>
      </w:r>
      <w:r w:rsidR="00445BD2">
        <w:fldChar w:fldCharType="begin"/>
      </w:r>
      <w:r w:rsidR="00445BD2">
        <w:instrText xml:space="preserve"> STYLEREF 1 \s </w:instrText>
      </w:r>
      <w:r w:rsidR="00445BD2">
        <w:fldChar w:fldCharType="separate"/>
      </w:r>
      <w:r w:rsidR="000E22F3">
        <w:rPr>
          <w:noProof/>
        </w:rPr>
        <w:t>4</w:t>
      </w:r>
      <w:r w:rsidR="00445BD2">
        <w:fldChar w:fldCharType="end"/>
      </w:r>
      <w:r w:rsidR="00445BD2">
        <w:noBreakHyphen/>
      </w:r>
      <w:r w:rsidR="00445BD2">
        <w:fldChar w:fldCharType="begin"/>
      </w:r>
      <w:r w:rsidR="00445BD2">
        <w:instrText xml:space="preserve"> SEQ Table \* ARABIC \s 1 </w:instrText>
      </w:r>
      <w:r w:rsidR="00445BD2">
        <w:fldChar w:fldCharType="separate"/>
      </w:r>
      <w:r w:rsidR="000E22F3">
        <w:rPr>
          <w:noProof/>
        </w:rPr>
        <w:t>6</w:t>
      </w:r>
      <w:r w:rsidR="00445BD2">
        <w:fldChar w:fldCharType="end"/>
      </w:r>
      <w:r>
        <w:t xml:space="preserve">:  </w:t>
      </w:r>
      <w:r w:rsidRPr="00BC5198">
        <w:t>Spearman’s rank correlation coefficients for the parameters from the Russell-Mulgrave sites sampled more than 20 times in the Wet Tropics in the 2013-2014 wet season. All highlighted values are significant at p &lt; 0.01 and rep</w:t>
      </w:r>
      <w:r w:rsidR="009919D4" w:rsidRPr="00BC5198">
        <w:t>resent a correlation &gt;0.6 or &lt;-</w:t>
      </w:r>
      <w:r w:rsidRPr="00BC5198">
        <w:t>0</w:t>
      </w:r>
      <w:r w:rsidR="009919D4" w:rsidRPr="00BC5198">
        <w:t>.</w:t>
      </w:r>
      <w:r w:rsidRPr="00BC5198">
        <w:t xml:space="preserve">6. Parameters listed in the table are 5-day average discharge (Disch.), distance between the river mouth and the sampling site </w:t>
      </w:r>
      <w:r w:rsidR="00BF10D1" w:rsidRPr="00BC5198">
        <w:t>(Dist</w:t>
      </w:r>
      <w:r w:rsidRPr="00BC5198">
        <w:t xml:space="preserve">), </w:t>
      </w:r>
      <w:r w:rsidR="00BF10D1" w:rsidRPr="00BC5198">
        <w:t xml:space="preserve">salinity, </w:t>
      </w:r>
      <w:r w:rsidRPr="00BC5198">
        <w:t>tempe</w:t>
      </w:r>
      <w:r w:rsidR="00BF10D1" w:rsidRPr="00BC5198">
        <w:t>rature</w:t>
      </w:r>
      <w:r w:rsidRPr="00BC5198">
        <w:t>, TSS, Chl-a TN, PN, DIN, TP, PP, DIP and Si.</w:t>
      </w:r>
      <w:bookmarkEnd w:id="157"/>
    </w:p>
    <w:tbl>
      <w:tblPr>
        <w:tblW w:w="5084" w:type="pct"/>
        <w:tblLook w:val="04A0" w:firstRow="1" w:lastRow="0" w:firstColumn="1" w:lastColumn="0" w:noHBand="0" w:noVBand="1"/>
        <w:tblCaption w:val="Spearman’s rank correlation coefficients for the parameters from the Russell-Mulgrave sites "/>
        <w:tblDescription w:val="Spearman’s rank correlation coefficients for the parameters from the Russell-Mulgrave sites sampled more than 20 times in the Wet Tropics in the 2013-2014 wet season. All highlighted values are significant at p &lt; 0.01 and represent a correlation &gt;0.6 or &lt;-.06. Parameters listed in the table are 5-day average discharge (Disch.), distance between the river mouth and the sampling site (Dist), salinity, temperature, TSS, Chl-a TN, PN, DIN, TP, PP, DIP and Si."/>
      </w:tblPr>
      <w:tblGrid>
        <w:gridCol w:w="738"/>
        <w:gridCol w:w="714"/>
        <w:gridCol w:w="641"/>
        <w:gridCol w:w="641"/>
        <w:gridCol w:w="895"/>
        <w:gridCol w:w="641"/>
        <w:gridCol w:w="641"/>
        <w:gridCol w:w="641"/>
        <w:gridCol w:w="641"/>
        <w:gridCol w:w="641"/>
        <w:gridCol w:w="641"/>
        <w:gridCol w:w="641"/>
        <w:gridCol w:w="641"/>
        <w:gridCol w:w="641"/>
      </w:tblGrid>
      <w:tr w:rsidR="00D41D03" w:rsidRPr="00BC5198" w14:paraId="6130077C" w14:textId="77777777" w:rsidTr="00BC5198">
        <w:trPr>
          <w:trHeight w:val="113"/>
        </w:trPr>
        <w:tc>
          <w:tcPr>
            <w:tcW w:w="393" w:type="pct"/>
            <w:tcBorders>
              <w:top w:val="single" w:sz="4" w:space="0" w:color="auto"/>
              <w:left w:val="nil"/>
              <w:bottom w:val="single" w:sz="4" w:space="0" w:color="auto"/>
              <w:right w:val="nil"/>
            </w:tcBorders>
            <w:shd w:val="clear" w:color="auto" w:fill="auto"/>
            <w:noWrap/>
            <w:vAlign w:val="center"/>
            <w:hideMark/>
          </w:tcPr>
          <w:p w14:paraId="350E1900" w14:textId="77777777" w:rsidR="00D41D03" w:rsidRPr="00BC5198" w:rsidRDefault="00D41D03" w:rsidP="00BC5198">
            <w:pPr>
              <w:spacing w:before="0" w:after="0"/>
              <w:jc w:val="left"/>
              <w:rPr>
                <w:rFonts w:ascii="Calibri" w:hAnsi="Calibri" w:cs="Times New Roman"/>
                <w:color w:val="000000"/>
                <w:sz w:val="20"/>
                <w:szCs w:val="20"/>
              </w:rPr>
            </w:pPr>
            <w:r w:rsidRPr="00BC5198">
              <w:rPr>
                <w:rFonts w:ascii="Calibri" w:hAnsi="Calibri" w:cs="Times New Roman"/>
                <w:color w:val="000000"/>
                <w:sz w:val="20"/>
                <w:szCs w:val="20"/>
              </w:rPr>
              <w:t> </w:t>
            </w:r>
          </w:p>
        </w:tc>
        <w:tc>
          <w:tcPr>
            <w:tcW w:w="380" w:type="pct"/>
            <w:tcBorders>
              <w:top w:val="single" w:sz="4" w:space="0" w:color="auto"/>
              <w:left w:val="nil"/>
              <w:bottom w:val="single" w:sz="4" w:space="0" w:color="auto"/>
              <w:right w:val="nil"/>
            </w:tcBorders>
            <w:shd w:val="clear" w:color="auto" w:fill="auto"/>
            <w:noWrap/>
            <w:vAlign w:val="bottom"/>
            <w:hideMark/>
          </w:tcPr>
          <w:p w14:paraId="78E1E133"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Disch.</w:t>
            </w:r>
          </w:p>
        </w:tc>
        <w:tc>
          <w:tcPr>
            <w:tcW w:w="341" w:type="pct"/>
            <w:tcBorders>
              <w:top w:val="single" w:sz="4" w:space="0" w:color="auto"/>
              <w:left w:val="nil"/>
              <w:bottom w:val="single" w:sz="4" w:space="0" w:color="auto"/>
              <w:right w:val="nil"/>
            </w:tcBorders>
            <w:shd w:val="clear" w:color="auto" w:fill="auto"/>
            <w:noWrap/>
            <w:vAlign w:val="bottom"/>
            <w:hideMark/>
          </w:tcPr>
          <w:p w14:paraId="0C895751"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Dist.</w:t>
            </w:r>
          </w:p>
        </w:tc>
        <w:tc>
          <w:tcPr>
            <w:tcW w:w="341" w:type="pct"/>
            <w:tcBorders>
              <w:top w:val="single" w:sz="4" w:space="0" w:color="auto"/>
              <w:left w:val="nil"/>
              <w:bottom w:val="single" w:sz="4" w:space="0" w:color="auto"/>
              <w:right w:val="nil"/>
            </w:tcBorders>
            <w:shd w:val="clear" w:color="auto" w:fill="auto"/>
            <w:noWrap/>
            <w:vAlign w:val="bottom"/>
            <w:hideMark/>
          </w:tcPr>
          <w:p w14:paraId="0BE78696"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Sal.</w:t>
            </w:r>
          </w:p>
        </w:tc>
        <w:tc>
          <w:tcPr>
            <w:tcW w:w="476" w:type="pct"/>
            <w:tcBorders>
              <w:top w:val="single" w:sz="4" w:space="0" w:color="auto"/>
              <w:left w:val="nil"/>
              <w:bottom w:val="single" w:sz="4" w:space="0" w:color="auto"/>
              <w:right w:val="nil"/>
            </w:tcBorders>
            <w:shd w:val="clear" w:color="auto" w:fill="auto"/>
            <w:noWrap/>
            <w:vAlign w:val="bottom"/>
            <w:hideMark/>
          </w:tcPr>
          <w:p w14:paraId="4C22D8E5"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Temp.</w:t>
            </w:r>
          </w:p>
        </w:tc>
        <w:tc>
          <w:tcPr>
            <w:tcW w:w="341" w:type="pct"/>
            <w:tcBorders>
              <w:top w:val="single" w:sz="4" w:space="0" w:color="auto"/>
              <w:left w:val="nil"/>
              <w:bottom w:val="single" w:sz="4" w:space="0" w:color="auto"/>
              <w:right w:val="nil"/>
            </w:tcBorders>
            <w:shd w:val="clear" w:color="auto" w:fill="auto"/>
            <w:noWrap/>
            <w:vAlign w:val="bottom"/>
            <w:hideMark/>
          </w:tcPr>
          <w:p w14:paraId="6FE7B011"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TSS</w:t>
            </w:r>
          </w:p>
        </w:tc>
        <w:tc>
          <w:tcPr>
            <w:tcW w:w="341" w:type="pct"/>
            <w:tcBorders>
              <w:top w:val="single" w:sz="4" w:space="0" w:color="auto"/>
              <w:left w:val="nil"/>
              <w:bottom w:val="single" w:sz="4" w:space="0" w:color="auto"/>
              <w:right w:val="nil"/>
            </w:tcBorders>
            <w:shd w:val="clear" w:color="auto" w:fill="auto"/>
            <w:noWrap/>
            <w:vAlign w:val="bottom"/>
            <w:hideMark/>
          </w:tcPr>
          <w:p w14:paraId="265A6514"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Chl-a</w:t>
            </w:r>
          </w:p>
        </w:tc>
        <w:tc>
          <w:tcPr>
            <w:tcW w:w="341" w:type="pct"/>
            <w:tcBorders>
              <w:top w:val="single" w:sz="4" w:space="0" w:color="auto"/>
              <w:left w:val="nil"/>
              <w:bottom w:val="single" w:sz="4" w:space="0" w:color="auto"/>
              <w:right w:val="nil"/>
            </w:tcBorders>
            <w:shd w:val="clear" w:color="auto" w:fill="auto"/>
            <w:noWrap/>
            <w:vAlign w:val="bottom"/>
            <w:hideMark/>
          </w:tcPr>
          <w:p w14:paraId="74E46F21"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TN</w:t>
            </w:r>
          </w:p>
        </w:tc>
        <w:tc>
          <w:tcPr>
            <w:tcW w:w="341" w:type="pct"/>
            <w:tcBorders>
              <w:top w:val="single" w:sz="4" w:space="0" w:color="auto"/>
              <w:left w:val="nil"/>
              <w:bottom w:val="single" w:sz="4" w:space="0" w:color="auto"/>
              <w:right w:val="nil"/>
            </w:tcBorders>
            <w:shd w:val="clear" w:color="auto" w:fill="auto"/>
            <w:noWrap/>
            <w:vAlign w:val="bottom"/>
            <w:hideMark/>
          </w:tcPr>
          <w:p w14:paraId="7A882E09"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PN</w:t>
            </w:r>
          </w:p>
        </w:tc>
        <w:tc>
          <w:tcPr>
            <w:tcW w:w="341" w:type="pct"/>
            <w:tcBorders>
              <w:top w:val="single" w:sz="4" w:space="0" w:color="auto"/>
              <w:left w:val="nil"/>
              <w:bottom w:val="single" w:sz="4" w:space="0" w:color="auto"/>
              <w:right w:val="nil"/>
            </w:tcBorders>
            <w:shd w:val="clear" w:color="auto" w:fill="auto"/>
            <w:noWrap/>
            <w:vAlign w:val="bottom"/>
            <w:hideMark/>
          </w:tcPr>
          <w:p w14:paraId="555B0295"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DIN</w:t>
            </w:r>
          </w:p>
        </w:tc>
        <w:tc>
          <w:tcPr>
            <w:tcW w:w="341" w:type="pct"/>
            <w:tcBorders>
              <w:top w:val="single" w:sz="4" w:space="0" w:color="auto"/>
              <w:left w:val="nil"/>
              <w:bottom w:val="single" w:sz="4" w:space="0" w:color="auto"/>
              <w:right w:val="nil"/>
            </w:tcBorders>
            <w:shd w:val="clear" w:color="auto" w:fill="auto"/>
            <w:noWrap/>
            <w:vAlign w:val="bottom"/>
            <w:hideMark/>
          </w:tcPr>
          <w:p w14:paraId="1F7EFCF3"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TP</w:t>
            </w:r>
          </w:p>
        </w:tc>
        <w:tc>
          <w:tcPr>
            <w:tcW w:w="341" w:type="pct"/>
            <w:tcBorders>
              <w:top w:val="single" w:sz="4" w:space="0" w:color="auto"/>
              <w:left w:val="nil"/>
              <w:bottom w:val="single" w:sz="4" w:space="0" w:color="auto"/>
              <w:right w:val="nil"/>
            </w:tcBorders>
            <w:shd w:val="clear" w:color="auto" w:fill="auto"/>
            <w:noWrap/>
            <w:vAlign w:val="bottom"/>
            <w:hideMark/>
          </w:tcPr>
          <w:p w14:paraId="65BAC28D"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PP</w:t>
            </w:r>
          </w:p>
        </w:tc>
        <w:tc>
          <w:tcPr>
            <w:tcW w:w="341" w:type="pct"/>
            <w:tcBorders>
              <w:top w:val="single" w:sz="4" w:space="0" w:color="auto"/>
              <w:left w:val="nil"/>
              <w:bottom w:val="single" w:sz="4" w:space="0" w:color="auto"/>
              <w:right w:val="nil"/>
            </w:tcBorders>
            <w:shd w:val="clear" w:color="auto" w:fill="auto"/>
            <w:noWrap/>
            <w:vAlign w:val="bottom"/>
            <w:hideMark/>
          </w:tcPr>
          <w:p w14:paraId="48C697FA"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DIP</w:t>
            </w:r>
          </w:p>
        </w:tc>
        <w:tc>
          <w:tcPr>
            <w:tcW w:w="341" w:type="pct"/>
            <w:tcBorders>
              <w:top w:val="single" w:sz="4" w:space="0" w:color="auto"/>
              <w:left w:val="nil"/>
              <w:bottom w:val="single" w:sz="4" w:space="0" w:color="auto"/>
              <w:right w:val="nil"/>
            </w:tcBorders>
            <w:shd w:val="clear" w:color="auto" w:fill="auto"/>
            <w:noWrap/>
            <w:vAlign w:val="bottom"/>
            <w:hideMark/>
          </w:tcPr>
          <w:p w14:paraId="05C13C39"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Si</w:t>
            </w:r>
          </w:p>
        </w:tc>
      </w:tr>
      <w:tr w:rsidR="00D41D03" w:rsidRPr="00BC5198" w14:paraId="4426A211" w14:textId="77777777" w:rsidTr="00BC5198">
        <w:trPr>
          <w:trHeight w:val="113"/>
        </w:trPr>
        <w:tc>
          <w:tcPr>
            <w:tcW w:w="393" w:type="pct"/>
            <w:tcBorders>
              <w:top w:val="nil"/>
              <w:left w:val="nil"/>
              <w:bottom w:val="nil"/>
              <w:right w:val="nil"/>
            </w:tcBorders>
            <w:shd w:val="clear" w:color="auto" w:fill="auto"/>
            <w:noWrap/>
            <w:vAlign w:val="bottom"/>
            <w:hideMark/>
          </w:tcPr>
          <w:p w14:paraId="0A9C0368" w14:textId="77777777" w:rsidR="00D41D03" w:rsidRPr="00BC5198" w:rsidRDefault="00D41D03" w:rsidP="00BC5198">
            <w:pPr>
              <w:spacing w:before="0" w:after="0"/>
              <w:jc w:val="left"/>
              <w:rPr>
                <w:rFonts w:ascii="Calibri" w:hAnsi="Calibri" w:cs="Times New Roman"/>
                <w:color w:val="000000"/>
                <w:sz w:val="20"/>
                <w:szCs w:val="20"/>
              </w:rPr>
            </w:pPr>
            <w:r w:rsidRPr="00BC5198">
              <w:rPr>
                <w:rFonts w:ascii="Calibri" w:hAnsi="Calibri" w:cs="Times New Roman"/>
                <w:color w:val="000000"/>
                <w:sz w:val="20"/>
                <w:szCs w:val="20"/>
              </w:rPr>
              <w:t>Disch.</w:t>
            </w:r>
          </w:p>
        </w:tc>
        <w:tc>
          <w:tcPr>
            <w:tcW w:w="380" w:type="pct"/>
            <w:tcBorders>
              <w:top w:val="nil"/>
              <w:left w:val="nil"/>
              <w:bottom w:val="nil"/>
              <w:right w:val="nil"/>
            </w:tcBorders>
            <w:shd w:val="clear" w:color="auto" w:fill="auto"/>
            <w:noWrap/>
            <w:vAlign w:val="bottom"/>
            <w:hideMark/>
          </w:tcPr>
          <w:p w14:paraId="1E3B5AB7"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1</w:t>
            </w:r>
          </w:p>
        </w:tc>
        <w:tc>
          <w:tcPr>
            <w:tcW w:w="341" w:type="pct"/>
            <w:tcBorders>
              <w:top w:val="nil"/>
              <w:left w:val="nil"/>
              <w:bottom w:val="nil"/>
              <w:right w:val="nil"/>
            </w:tcBorders>
            <w:shd w:val="clear" w:color="auto" w:fill="auto"/>
            <w:noWrap/>
            <w:vAlign w:val="bottom"/>
            <w:hideMark/>
          </w:tcPr>
          <w:p w14:paraId="6613DF37"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0.02</w:t>
            </w:r>
          </w:p>
        </w:tc>
        <w:tc>
          <w:tcPr>
            <w:tcW w:w="341" w:type="pct"/>
            <w:tcBorders>
              <w:top w:val="nil"/>
              <w:left w:val="nil"/>
              <w:bottom w:val="nil"/>
              <w:right w:val="nil"/>
            </w:tcBorders>
            <w:shd w:val="clear" w:color="000000" w:fill="FFFF00"/>
            <w:noWrap/>
            <w:vAlign w:val="bottom"/>
            <w:hideMark/>
          </w:tcPr>
          <w:p w14:paraId="23673ECA"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-0.69</w:t>
            </w:r>
          </w:p>
        </w:tc>
        <w:tc>
          <w:tcPr>
            <w:tcW w:w="476" w:type="pct"/>
            <w:tcBorders>
              <w:top w:val="nil"/>
              <w:left w:val="nil"/>
              <w:bottom w:val="nil"/>
              <w:right w:val="nil"/>
            </w:tcBorders>
            <w:shd w:val="clear" w:color="000000" w:fill="FFFF00"/>
            <w:noWrap/>
            <w:vAlign w:val="bottom"/>
            <w:hideMark/>
          </w:tcPr>
          <w:p w14:paraId="4AE07DE2"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-0.65</w:t>
            </w:r>
          </w:p>
        </w:tc>
        <w:tc>
          <w:tcPr>
            <w:tcW w:w="341" w:type="pct"/>
            <w:tcBorders>
              <w:top w:val="nil"/>
              <w:left w:val="nil"/>
              <w:bottom w:val="nil"/>
              <w:right w:val="nil"/>
            </w:tcBorders>
            <w:shd w:val="clear" w:color="auto" w:fill="auto"/>
            <w:noWrap/>
            <w:vAlign w:val="bottom"/>
            <w:hideMark/>
          </w:tcPr>
          <w:p w14:paraId="214A3147"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0.38</w:t>
            </w:r>
          </w:p>
        </w:tc>
        <w:tc>
          <w:tcPr>
            <w:tcW w:w="341" w:type="pct"/>
            <w:tcBorders>
              <w:top w:val="nil"/>
              <w:left w:val="nil"/>
              <w:bottom w:val="nil"/>
              <w:right w:val="nil"/>
            </w:tcBorders>
            <w:shd w:val="clear" w:color="auto" w:fill="auto"/>
            <w:noWrap/>
            <w:vAlign w:val="bottom"/>
            <w:hideMark/>
          </w:tcPr>
          <w:p w14:paraId="36513308"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0.28</w:t>
            </w:r>
          </w:p>
        </w:tc>
        <w:tc>
          <w:tcPr>
            <w:tcW w:w="341" w:type="pct"/>
            <w:tcBorders>
              <w:top w:val="nil"/>
              <w:left w:val="nil"/>
              <w:bottom w:val="nil"/>
              <w:right w:val="nil"/>
            </w:tcBorders>
            <w:shd w:val="clear" w:color="auto" w:fill="auto"/>
            <w:noWrap/>
            <w:vAlign w:val="bottom"/>
            <w:hideMark/>
          </w:tcPr>
          <w:p w14:paraId="641F8342"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-0.02</w:t>
            </w:r>
          </w:p>
        </w:tc>
        <w:tc>
          <w:tcPr>
            <w:tcW w:w="341" w:type="pct"/>
            <w:tcBorders>
              <w:top w:val="nil"/>
              <w:left w:val="nil"/>
              <w:bottom w:val="nil"/>
              <w:right w:val="nil"/>
            </w:tcBorders>
            <w:shd w:val="clear" w:color="auto" w:fill="auto"/>
            <w:noWrap/>
            <w:vAlign w:val="bottom"/>
            <w:hideMark/>
          </w:tcPr>
          <w:p w14:paraId="27FB7483"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-0.05</w:t>
            </w:r>
          </w:p>
        </w:tc>
        <w:tc>
          <w:tcPr>
            <w:tcW w:w="341" w:type="pct"/>
            <w:tcBorders>
              <w:top w:val="nil"/>
              <w:left w:val="nil"/>
              <w:bottom w:val="nil"/>
              <w:right w:val="nil"/>
            </w:tcBorders>
            <w:shd w:val="clear" w:color="auto" w:fill="auto"/>
            <w:noWrap/>
            <w:vAlign w:val="bottom"/>
            <w:hideMark/>
          </w:tcPr>
          <w:p w14:paraId="74B190E4"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0.33</w:t>
            </w:r>
          </w:p>
        </w:tc>
        <w:tc>
          <w:tcPr>
            <w:tcW w:w="341" w:type="pct"/>
            <w:tcBorders>
              <w:top w:val="nil"/>
              <w:left w:val="nil"/>
              <w:bottom w:val="nil"/>
              <w:right w:val="nil"/>
            </w:tcBorders>
            <w:shd w:val="clear" w:color="auto" w:fill="auto"/>
            <w:noWrap/>
            <w:vAlign w:val="bottom"/>
            <w:hideMark/>
          </w:tcPr>
          <w:p w14:paraId="5B1069B8"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0.34</w:t>
            </w:r>
          </w:p>
        </w:tc>
        <w:tc>
          <w:tcPr>
            <w:tcW w:w="341" w:type="pct"/>
            <w:tcBorders>
              <w:top w:val="nil"/>
              <w:left w:val="nil"/>
              <w:bottom w:val="nil"/>
              <w:right w:val="nil"/>
            </w:tcBorders>
            <w:shd w:val="clear" w:color="auto" w:fill="auto"/>
            <w:noWrap/>
            <w:vAlign w:val="bottom"/>
            <w:hideMark/>
          </w:tcPr>
          <w:p w14:paraId="1FB4B174"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0.40</w:t>
            </w:r>
          </w:p>
        </w:tc>
        <w:tc>
          <w:tcPr>
            <w:tcW w:w="341" w:type="pct"/>
            <w:tcBorders>
              <w:top w:val="nil"/>
              <w:left w:val="nil"/>
              <w:bottom w:val="nil"/>
              <w:right w:val="nil"/>
            </w:tcBorders>
            <w:shd w:val="clear" w:color="auto" w:fill="auto"/>
            <w:noWrap/>
            <w:vAlign w:val="bottom"/>
            <w:hideMark/>
          </w:tcPr>
          <w:p w14:paraId="72088169"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-0.13</w:t>
            </w:r>
          </w:p>
        </w:tc>
        <w:tc>
          <w:tcPr>
            <w:tcW w:w="341" w:type="pct"/>
            <w:tcBorders>
              <w:top w:val="nil"/>
              <w:left w:val="nil"/>
              <w:bottom w:val="nil"/>
              <w:right w:val="nil"/>
            </w:tcBorders>
            <w:shd w:val="clear" w:color="000000" w:fill="FFFF00"/>
            <w:noWrap/>
            <w:vAlign w:val="bottom"/>
            <w:hideMark/>
          </w:tcPr>
          <w:p w14:paraId="4B5983EB"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0.62</w:t>
            </w:r>
          </w:p>
        </w:tc>
      </w:tr>
      <w:tr w:rsidR="00D41D03" w:rsidRPr="00BC5198" w14:paraId="6E052AD0" w14:textId="77777777" w:rsidTr="00BC5198">
        <w:trPr>
          <w:trHeight w:val="113"/>
        </w:trPr>
        <w:tc>
          <w:tcPr>
            <w:tcW w:w="393" w:type="pct"/>
            <w:tcBorders>
              <w:top w:val="nil"/>
              <w:left w:val="nil"/>
              <w:bottom w:val="nil"/>
              <w:right w:val="nil"/>
            </w:tcBorders>
            <w:shd w:val="clear" w:color="auto" w:fill="auto"/>
            <w:noWrap/>
            <w:vAlign w:val="bottom"/>
            <w:hideMark/>
          </w:tcPr>
          <w:p w14:paraId="19243BE5" w14:textId="77777777" w:rsidR="00D41D03" w:rsidRPr="00BC5198" w:rsidRDefault="00D41D03" w:rsidP="00BC5198">
            <w:pPr>
              <w:spacing w:before="0" w:after="0"/>
              <w:jc w:val="left"/>
              <w:rPr>
                <w:rFonts w:ascii="Calibri" w:hAnsi="Calibri" w:cs="Times New Roman"/>
                <w:color w:val="000000"/>
                <w:sz w:val="20"/>
                <w:szCs w:val="20"/>
              </w:rPr>
            </w:pPr>
            <w:r w:rsidRPr="00BC5198">
              <w:rPr>
                <w:rFonts w:ascii="Calibri" w:hAnsi="Calibri" w:cs="Times New Roman"/>
                <w:color w:val="000000"/>
                <w:sz w:val="20"/>
                <w:szCs w:val="20"/>
              </w:rPr>
              <w:t>Dist.</w:t>
            </w:r>
          </w:p>
        </w:tc>
        <w:tc>
          <w:tcPr>
            <w:tcW w:w="380" w:type="pct"/>
            <w:tcBorders>
              <w:top w:val="nil"/>
              <w:left w:val="nil"/>
              <w:bottom w:val="nil"/>
              <w:right w:val="nil"/>
            </w:tcBorders>
            <w:shd w:val="clear" w:color="auto" w:fill="auto"/>
            <w:noWrap/>
            <w:vAlign w:val="bottom"/>
            <w:hideMark/>
          </w:tcPr>
          <w:p w14:paraId="1E1A923E"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0.02</w:t>
            </w:r>
          </w:p>
        </w:tc>
        <w:tc>
          <w:tcPr>
            <w:tcW w:w="341" w:type="pct"/>
            <w:tcBorders>
              <w:top w:val="nil"/>
              <w:left w:val="nil"/>
              <w:bottom w:val="nil"/>
              <w:right w:val="nil"/>
            </w:tcBorders>
            <w:shd w:val="clear" w:color="auto" w:fill="auto"/>
            <w:noWrap/>
            <w:vAlign w:val="bottom"/>
            <w:hideMark/>
          </w:tcPr>
          <w:p w14:paraId="7C690406"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1</w:t>
            </w:r>
          </w:p>
        </w:tc>
        <w:tc>
          <w:tcPr>
            <w:tcW w:w="341" w:type="pct"/>
            <w:tcBorders>
              <w:top w:val="nil"/>
              <w:left w:val="nil"/>
              <w:bottom w:val="nil"/>
              <w:right w:val="nil"/>
            </w:tcBorders>
            <w:shd w:val="clear" w:color="auto" w:fill="auto"/>
            <w:noWrap/>
            <w:vAlign w:val="bottom"/>
            <w:hideMark/>
          </w:tcPr>
          <w:p w14:paraId="63CC6086"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0.53</w:t>
            </w:r>
          </w:p>
        </w:tc>
        <w:tc>
          <w:tcPr>
            <w:tcW w:w="476" w:type="pct"/>
            <w:tcBorders>
              <w:top w:val="nil"/>
              <w:left w:val="nil"/>
              <w:bottom w:val="nil"/>
              <w:right w:val="nil"/>
            </w:tcBorders>
            <w:shd w:val="clear" w:color="auto" w:fill="auto"/>
            <w:noWrap/>
            <w:vAlign w:val="bottom"/>
            <w:hideMark/>
          </w:tcPr>
          <w:p w14:paraId="329FE8BF"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0.15</w:t>
            </w:r>
          </w:p>
        </w:tc>
        <w:tc>
          <w:tcPr>
            <w:tcW w:w="341" w:type="pct"/>
            <w:tcBorders>
              <w:top w:val="nil"/>
              <w:left w:val="nil"/>
              <w:bottom w:val="nil"/>
              <w:right w:val="nil"/>
            </w:tcBorders>
            <w:shd w:val="clear" w:color="auto" w:fill="auto"/>
            <w:noWrap/>
            <w:vAlign w:val="bottom"/>
            <w:hideMark/>
          </w:tcPr>
          <w:p w14:paraId="3BB0A8BA"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-0.26</w:t>
            </w:r>
          </w:p>
        </w:tc>
        <w:tc>
          <w:tcPr>
            <w:tcW w:w="341" w:type="pct"/>
            <w:tcBorders>
              <w:top w:val="nil"/>
              <w:left w:val="nil"/>
              <w:bottom w:val="nil"/>
              <w:right w:val="nil"/>
            </w:tcBorders>
            <w:shd w:val="clear" w:color="auto" w:fill="auto"/>
            <w:noWrap/>
            <w:vAlign w:val="bottom"/>
            <w:hideMark/>
          </w:tcPr>
          <w:p w14:paraId="0345AA09"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-0.15</w:t>
            </w:r>
          </w:p>
        </w:tc>
        <w:tc>
          <w:tcPr>
            <w:tcW w:w="341" w:type="pct"/>
            <w:tcBorders>
              <w:top w:val="nil"/>
              <w:left w:val="nil"/>
              <w:bottom w:val="nil"/>
              <w:right w:val="nil"/>
            </w:tcBorders>
            <w:shd w:val="clear" w:color="auto" w:fill="auto"/>
            <w:noWrap/>
            <w:vAlign w:val="bottom"/>
            <w:hideMark/>
          </w:tcPr>
          <w:p w14:paraId="2298D32B"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-0.53</w:t>
            </w:r>
          </w:p>
        </w:tc>
        <w:tc>
          <w:tcPr>
            <w:tcW w:w="341" w:type="pct"/>
            <w:tcBorders>
              <w:top w:val="nil"/>
              <w:left w:val="nil"/>
              <w:bottom w:val="nil"/>
              <w:right w:val="nil"/>
            </w:tcBorders>
            <w:shd w:val="clear" w:color="auto" w:fill="auto"/>
            <w:noWrap/>
            <w:vAlign w:val="bottom"/>
            <w:hideMark/>
          </w:tcPr>
          <w:p w14:paraId="5BE9DF6E"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-0.21</w:t>
            </w:r>
          </w:p>
        </w:tc>
        <w:tc>
          <w:tcPr>
            <w:tcW w:w="341" w:type="pct"/>
            <w:tcBorders>
              <w:top w:val="nil"/>
              <w:left w:val="nil"/>
              <w:bottom w:val="nil"/>
              <w:right w:val="nil"/>
            </w:tcBorders>
            <w:shd w:val="clear" w:color="auto" w:fill="auto"/>
            <w:noWrap/>
            <w:vAlign w:val="bottom"/>
            <w:hideMark/>
          </w:tcPr>
          <w:p w14:paraId="362D6264"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-0.44</w:t>
            </w:r>
          </w:p>
        </w:tc>
        <w:tc>
          <w:tcPr>
            <w:tcW w:w="341" w:type="pct"/>
            <w:tcBorders>
              <w:top w:val="nil"/>
              <w:left w:val="nil"/>
              <w:bottom w:val="nil"/>
              <w:right w:val="nil"/>
            </w:tcBorders>
            <w:shd w:val="clear" w:color="auto" w:fill="auto"/>
            <w:noWrap/>
            <w:vAlign w:val="bottom"/>
            <w:hideMark/>
          </w:tcPr>
          <w:p w14:paraId="06247198"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-0.55</w:t>
            </w:r>
          </w:p>
        </w:tc>
        <w:tc>
          <w:tcPr>
            <w:tcW w:w="341" w:type="pct"/>
            <w:tcBorders>
              <w:top w:val="nil"/>
              <w:left w:val="nil"/>
              <w:bottom w:val="nil"/>
              <w:right w:val="nil"/>
            </w:tcBorders>
            <w:shd w:val="clear" w:color="auto" w:fill="auto"/>
            <w:noWrap/>
            <w:vAlign w:val="bottom"/>
            <w:hideMark/>
          </w:tcPr>
          <w:p w14:paraId="3F2690D6"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-0.56</w:t>
            </w:r>
          </w:p>
        </w:tc>
        <w:tc>
          <w:tcPr>
            <w:tcW w:w="341" w:type="pct"/>
            <w:tcBorders>
              <w:top w:val="nil"/>
              <w:left w:val="nil"/>
              <w:bottom w:val="nil"/>
              <w:right w:val="nil"/>
            </w:tcBorders>
            <w:shd w:val="clear" w:color="auto" w:fill="auto"/>
            <w:noWrap/>
            <w:vAlign w:val="bottom"/>
            <w:hideMark/>
          </w:tcPr>
          <w:p w14:paraId="458F398F"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-0.15</w:t>
            </w:r>
          </w:p>
        </w:tc>
        <w:tc>
          <w:tcPr>
            <w:tcW w:w="341" w:type="pct"/>
            <w:tcBorders>
              <w:top w:val="nil"/>
              <w:left w:val="nil"/>
              <w:bottom w:val="nil"/>
              <w:right w:val="nil"/>
            </w:tcBorders>
            <w:shd w:val="clear" w:color="auto" w:fill="auto"/>
            <w:noWrap/>
            <w:vAlign w:val="bottom"/>
            <w:hideMark/>
          </w:tcPr>
          <w:p w14:paraId="229FF84B"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-0.52</w:t>
            </w:r>
          </w:p>
        </w:tc>
      </w:tr>
      <w:tr w:rsidR="00D41D03" w:rsidRPr="00BC5198" w14:paraId="252D1812" w14:textId="77777777" w:rsidTr="00BC5198">
        <w:trPr>
          <w:trHeight w:val="113"/>
        </w:trPr>
        <w:tc>
          <w:tcPr>
            <w:tcW w:w="393" w:type="pct"/>
            <w:tcBorders>
              <w:top w:val="nil"/>
              <w:left w:val="nil"/>
              <w:bottom w:val="nil"/>
              <w:right w:val="nil"/>
            </w:tcBorders>
            <w:shd w:val="clear" w:color="auto" w:fill="auto"/>
            <w:noWrap/>
            <w:vAlign w:val="bottom"/>
            <w:hideMark/>
          </w:tcPr>
          <w:p w14:paraId="57485809" w14:textId="77777777" w:rsidR="00D41D03" w:rsidRPr="00BC5198" w:rsidRDefault="00D41D03" w:rsidP="00BC5198">
            <w:pPr>
              <w:spacing w:before="0" w:after="0"/>
              <w:jc w:val="left"/>
              <w:rPr>
                <w:rFonts w:ascii="Calibri" w:hAnsi="Calibri" w:cs="Times New Roman"/>
                <w:color w:val="000000"/>
                <w:sz w:val="20"/>
                <w:szCs w:val="20"/>
              </w:rPr>
            </w:pPr>
            <w:r w:rsidRPr="00BC5198">
              <w:rPr>
                <w:rFonts w:ascii="Calibri" w:hAnsi="Calibri" w:cs="Times New Roman"/>
                <w:color w:val="000000"/>
                <w:sz w:val="20"/>
                <w:szCs w:val="20"/>
              </w:rPr>
              <w:t>Sal.</w:t>
            </w:r>
          </w:p>
        </w:tc>
        <w:tc>
          <w:tcPr>
            <w:tcW w:w="380" w:type="pct"/>
            <w:tcBorders>
              <w:top w:val="nil"/>
              <w:left w:val="nil"/>
              <w:bottom w:val="nil"/>
              <w:right w:val="nil"/>
            </w:tcBorders>
            <w:shd w:val="clear" w:color="000000" w:fill="FFFF00"/>
            <w:noWrap/>
            <w:vAlign w:val="bottom"/>
            <w:hideMark/>
          </w:tcPr>
          <w:p w14:paraId="0D662F75"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-0.69</w:t>
            </w:r>
          </w:p>
        </w:tc>
        <w:tc>
          <w:tcPr>
            <w:tcW w:w="341" w:type="pct"/>
            <w:tcBorders>
              <w:top w:val="nil"/>
              <w:left w:val="nil"/>
              <w:bottom w:val="nil"/>
              <w:right w:val="nil"/>
            </w:tcBorders>
            <w:shd w:val="clear" w:color="auto" w:fill="auto"/>
            <w:noWrap/>
            <w:vAlign w:val="bottom"/>
            <w:hideMark/>
          </w:tcPr>
          <w:p w14:paraId="24375B58"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0.53</w:t>
            </w:r>
          </w:p>
        </w:tc>
        <w:tc>
          <w:tcPr>
            <w:tcW w:w="341" w:type="pct"/>
            <w:tcBorders>
              <w:top w:val="nil"/>
              <w:left w:val="nil"/>
              <w:bottom w:val="nil"/>
              <w:right w:val="nil"/>
            </w:tcBorders>
            <w:shd w:val="clear" w:color="auto" w:fill="auto"/>
            <w:noWrap/>
            <w:vAlign w:val="bottom"/>
            <w:hideMark/>
          </w:tcPr>
          <w:p w14:paraId="7AB80F83"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1</w:t>
            </w:r>
          </w:p>
        </w:tc>
        <w:tc>
          <w:tcPr>
            <w:tcW w:w="476" w:type="pct"/>
            <w:tcBorders>
              <w:top w:val="nil"/>
              <w:left w:val="nil"/>
              <w:bottom w:val="nil"/>
              <w:right w:val="nil"/>
            </w:tcBorders>
            <w:shd w:val="clear" w:color="000000" w:fill="FFFF00"/>
            <w:noWrap/>
            <w:vAlign w:val="bottom"/>
            <w:hideMark/>
          </w:tcPr>
          <w:p w14:paraId="02381EE9"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0.63</w:t>
            </w:r>
          </w:p>
        </w:tc>
        <w:tc>
          <w:tcPr>
            <w:tcW w:w="341" w:type="pct"/>
            <w:tcBorders>
              <w:top w:val="nil"/>
              <w:left w:val="nil"/>
              <w:bottom w:val="nil"/>
              <w:right w:val="nil"/>
            </w:tcBorders>
            <w:shd w:val="clear" w:color="auto" w:fill="auto"/>
            <w:noWrap/>
            <w:vAlign w:val="bottom"/>
            <w:hideMark/>
          </w:tcPr>
          <w:p w14:paraId="3E06901C"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-0.42</w:t>
            </w:r>
          </w:p>
        </w:tc>
        <w:tc>
          <w:tcPr>
            <w:tcW w:w="341" w:type="pct"/>
            <w:tcBorders>
              <w:top w:val="nil"/>
              <w:left w:val="nil"/>
              <w:bottom w:val="nil"/>
              <w:right w:val="nil"/>
            </w:tcBorders>
            <w:shd w:val="clear" w:color="auto" w:fill="auto"/>
            <w:noWrap/>
            <w:vAlign w:val="bottom"/>
            <w:hideMark/>
          </w:tcPr>
          <w:p w14:paraId="1CD3563F"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-0.26</w:t>
            </w:r>
          </w:p>
        </w:tc>
        <w:tc>
          <w:tcPr>
            <w:tcW w:w="341" w:type="pct"/>
            <w:tcBorders>
              <w:top w:val="nil"/>
              <w:left w:val="nil"/>
              <w:bottom w:val="nil"/>
              <w:right w:val="nil"/>
            </w:tcBorders>
            <w:shd w:val="clear" w:color="auto" w:fill="auto"/>
            <w:noWrap/>
            <w:vAlign w:val="bottom"/>
            <w:hideMark/>
          </w:tcPr>
          <w:p w14:paraId="72A071B8"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-0.34</w:t>
            </w:r>
          </w:p>
        </w:tc>
        <w:tc>
          <w:tcPr>
            <w:tcW w:w="341" w:type="pct"/>
            <w:tcBorders>
              <w:top w:val="nil"/>
              <w:left w:val="nil"/>
              <w:bottom w:val="nil"/>
              <w:right w:val="nil"/>
            </w:tcBorders>
            <w:shd w:val="clear" w:color="auto" w:fill="auto"/>
            <w:noWrap/>
            <w:vAlign w:val="bottom"/>
            <w:hideMark/>
          </w:tcPr>
          <w:p w14:paraId="1037A0F3"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-0.01</w:t>
            </w:r>
          </w:p>
        </w:tc>
        <w:tc>
          <w:tcPr>
            <w:tcW w:w="341" w:type="pct"/>
            <w:tcBorders>
              <w:top w:val="nil"/>
              <w:left w:val="nil"/>
              <w:bottom w:val="nil"/>
              <w:right w:val="nil"/>
            </w:tcBorders>
            <w:shd w:val="clear" w:color="auto" w:fill="auto"/>
            <w:noWrap/>
            <w:vAlign w:val="bottom"/>
            <w:hideMark/>
          </w:tcPr>
          <w:p w14:paraId="41263C8E"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-0.51</w:t>
            </w:r>
          </w:p>
        </w:tc>
        <w:tc>
          <w:tcPr>
            <w:tcW w:w="341" w:type="pct"/>
            <w:tcBorders>
              <w:top w:val="nil"/>
              <w:left w:val="nil"/>
              <w:bottom w:val="nil"/>
              <w:right w:val="nil"/>
            </w:tcBorders>
            <w:shd w:val="clear" w:color="auto" w:fill="auto"/>
            <w:noWrap/>
            <w:vAlign w:val="bottom"/>
            <w:hideMark/>
          </w:tcPr>
          <w:p w14:paraId="72EDE8DA"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-0.60</w:t>
            </w:r>
          </w:p>
        </w:tc>
        <w:tc>
          <w:tcPr>
            <w:tcW w:w="341" w:type="pct"/>
            <w:tcBorders>
              <w:top w:val="nil"/>
              <w:left w:val="nil"/>
              <w:bottom w:val="nil"/>
              <w:right w:val="nil"/>
            </w:tcBorders>
            <w:shd w:val="clear" w:color="000000" w:fill="FFFF00"/>
            <w:noWrap/>
            <w:vAlign w:val="bottom"/>
            <w:hideMark/>
          </w:tcPr>
          <w:p w14:paraId="2C0AE829"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-0.63</w:t>
            </w:r>
          </w:p>
        </w:tc>
        <w:tc>
          <w:tcPr>
            <w:tcW w:w="341" w:type="pct"/>
            <w:tcBorders>
              <w:top w:val="nil"/>
              <w:left w:val="nil"/>
              <w:bottom w:val="nil"/>
              <w:right w:val="nil"/>
            </w:tcBorders>
            <w:shd w:val="clear" w:color="auto" w:fill="auto"/>
            <w:noWrap/>
            <w:vAlign w:val="bottom"/>
            <w:hideMark/>
          </w:tcPr>
          <w:p w14:paraId="39793533"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0.12</w:t>
            </w:r>
          </w:p>
        </w:tc>
        <w:tc>
          <w:tcPr>
            <w:tcW w:w="341" w:type="pct"/>
            <w:tcBorders>
              <w:top w:val="nil"/>
              <w:left w:val="nil"/>
              <w:bottom w:val="nil"/>
              <w:right w:val="nil"/>
            </w:tcBorders>
            <w:shd w:val="clear" w:color="000000" w:fill="FFFF00"/>
            <w:noWrap/>
            <w:vAlign w:val="bottom"/>
            <w:hideMark/>
          </w:tcPr>
          <w:p w14:paraId="79FACA3A"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-0.93</w:t>
            </w:r>
          </w:p>
        </w:tc>
      </w:tr>
      <w:tr w:rsidR="00D41D03" w:rsidRPr="00BC5198" w14:paraId="3A89B422" w14:textId="77777777" w:rsidTr="00BC5198">
        <w:trPr>
          <w:trHeight w:val="113"/>
        </w:trPr>
        <w:tc>
          <w:tcPr>
            <w:tcW w:w="393" w:type="pct"/>
            <w:tcBorders>
              <w:top w:val="nil"/>
              <w:left w:val="nil"/>
              <w:bottom w:val="nil"/>
              <w:right w:val="nil"/>
            </w:tcBorders>
            <w:shd w:val="clear" w:color="auto" w:fill="auto"/>
            <w:noWrap/>
            <w:vAlign w:val="bottom"/>
            <w:hideMark/>
          </w:tcPr>
          <w:p w14:paraId="4E012DE6" w14:textId="77777777" w:rsidR="00D41D03" w:rsidRPr="00BC5198" w:rsidRDefault="00D41D03" w:rsidP="00BC5198">
            <w:pPr>
              <w:spacing w:before="0" w:after="0"/>
              <w:jc w:val="left"/>
              <w:rPr>
                <w:rFonts w:ascii="Calibri" w:hAnsi="Calibri" w:cs="Times New Roman"/>
                <w:color w:val="000000"/>
                <w:sz w:val="20"/>
                <w:szCs w:val="20"/>
              </w:rPr>
            </w:pPr>
            <w:r w:rsidRPr="00BC5198">
              <w:rPr>
                <w:rFonts w:ascii="Calibri" w:hAnsi="Calibri" w:cs="Times New Roman"/>
                <w:color w:val="000000"/>
                <w:sz w:val="20"/>
                <w:szCs w:val="20"/>
              </w:rPr>
              <w:t>Temp.</w:t>
            </w:r>
          </w:p>
        </w:tc>
        <w:tc>
          <w:tcPr>
            <w:tcW w:w="380" w:type="pct"/>
            <w:tcBorders>
              <w:top w:val="nil"/>
              <w:left w:val="nil"/>
              <w:bottom w:val="nil"/>
              <w:right w:val="nil"/>
            </w:tcBorders>
            <w:shd w:val="clear" w:color="000000" w:fill="FFFF00"/>
            <w:noWrap/>
            <w:vAlign w:val="bottom"/>
            <w:hideMark/>
          </w:tcPr>
          <w:p w14:paraId="1E4AB5B6"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-0.65</w:t>
            </w:r>
          </w:p>
        </w:tc>
        <w:tc>
          <w:tcPr>
            <w:tcW w:w="341" w:type="pct"/>
            <w:tcBorders>
              <w:top w:val="nil"/>
              <w:left w:val="nil"/>
              <w:bottom w:val="nil"/>
              <w:right w:val="nil"/>
            </w:tcBorders>
            <w:shd w:val="clear" w:color="auto" w:fill="auto"/>
            <w:noWrap/>
            <w:vAlign w:val="bottom"/>
            <w:hideMark/>
          </w:tcPr>
          <w:p w14:paraId="3329C2D6"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0.15</w:t>
            </w:r>
          </w:p>
        </w:tc>
        <w:tc>
          <w:tcPr>
            <w:tcW w:w="341" w:type="pct"/>
            <w:tcBorders>
              <w:top w:val="nil"/>
              <w:left w:val="nil"/>
              <w:bottom w:val="nil"/>
              <w:right w:val="nil"/>
            </w:tcBorders>
            <w:shd w:val="clear" w:color="000000" w:fill="FFFF00"/>
            <w:noWrap/>
            <w:vAlign w:val="bottom"/>
            <w:hideMark/>
          </w:tcPr>
          <w:p w14:paraId="64245CAA"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0.63</w:t>
            </w:r>
          </w:p>
        </w:tc>
        <w:tc>
          <w:tcPr>
            <w:tcW w:w="476" w:type="pct"/>
            <w:tcBorders>
              <w:top w:val="nil"/>
              <w:left w:val="nil"/>
              <w:bottom w:val="nil"/>
              <w:right w:val="nil"/>
            </w:tcBorders>
            <w:shd w:val="clear" w:color="auto" w:fill="auto"/>
            <w:noWrap/>
            <w:vAlign w:val="bottom"/>
            <w:hideMark/>
          </w:tcPr>
          <w:p w14:paraId="6203C630"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1</w:t>
            </w:r>
          </w:p>
        </w:tc>
        <w:tc>
          <w:tcPr>
            <w:tcW w:w="341" w:type="pct"/>
            <w:tcBorders>
              <w:top w:val="nil"/>
              <w:left w:val="nil"/>
              <w:bottom w:val="nil"/>
              <w:right w:val="nil"/>
            </w:tcBorders>
            <w:shd w:val="clear" w:color="auto" w:fill="auto"/>
            <w:noWrap/>
            <w:vAlign w:val="bottom"/>
            <w:hideMark/>
          </w:tcPr>
          <w:p w14:paraId="45D716E0"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-0.43</w:t>
            </w:r>
          </w:p>
        </w:tc>
        <w:tc>
          <w:tcPr>
            <w:tcW w:w="341" w:type="pct"/>
            <w:tcBorders>
              <w:top w:val="nil"/>
              <w:left w:val="nil"/>
              <w:bottom w:val="nil"/>
              <w:right w:val="nil"/>
            </w:tcBorders>
            <w:shd w:val="clear" w:color="auto" w:fill="auto"/>
            <w:noWrap/>
            <w:vAlign w:val="bottom"/>
            <w:hideMark/>
          </w:tcPr>
          <w:p w14:paraId="67955761"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-0.16</w:t>
            </w:r>
          </w:p>
        </w:tc>
        <w:tc>
          <w:tcPr>
            <w:tcW w:w="341" w:type="pct"/>
            <w:tcBorders>
              <w:top w:val="nil"/>
              <w:left w:val="nil"/>
              <w:bottom w:val="nil"/>
              <w:right w:val="nil"/>
            </w:tcBorders>
            <w:shd w:val="clear" w:color="auto" w:fill="auto"/>
            <w:noWrap/>
            <w:vAlign w:val="bottom"/>
            <w:hideMark/>
          </w:tcPr>
          <w:p w14:paraId="6746136E"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-0.01</w:t>
            </w:r>
          </w:p>
        </w:tc>
        <w:tc>
          <w:tcPr>
            <w:tcW w:w="341" w:type="pct"/>
            <w:tcBorders>
              <w:top w:val="nil"/>
              <w:left w:val="nil"/>
              <w:bottom w:val="nil"/>
              <w:right w:val="nil"/>
            </w:tcBorders>
            <w:shd w:val="clear" w:color="auto" w:fill="auto"/>
            <w:noWrap/>
            <w:vAlign w:val="bottom"/>
            <w:hideMark/>
          </w:tcPr>
          <w:p w14:paraId="06645215"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0.25</w:t>
            </w:r>
          </w:p>
        </w:tc>
        <w:tc>
          <w:tcPr>
            <w:tcW w:w="341" w:type="pct"/>
            <w:tcBorders>
              <w:top w:val="nil"/>
              <w:left w:val="nil"/>
              <w:bottom w:val="nil"/>
              <w:right w:val="nil"/>
            </w:tcBorders>
            <w:shd w:val="clear" w:color="auto" w:fill="auto"/>
            <w:noWrap/>
            <w:vAlign w:val="bottom"/>
            <w:hideMark/>
          </w:tcPr>
          <w:p w14:paraId="51ADB16A"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-0.46</w:t>
            </w:r>
          </w:p>
        </w:tc>
        <w:tc>
          <w:tcPr>
            <w:tcW w:w="341" w:type="pct"/>
            <w:tcBorders>
              <w:top w:val="nil"/>
              <w:left w:val="nil"/>
              <w:bottom w:val="nil"/>
              <w:right w:val="nil"/>
            </w:tcBorders>
            <w:shd w:val="clear" w:color="auto" w:fill="auto"/>
            <w:noWrap/>
            <w:vAlign w:val="bottom"/>
            <w:hideMark/>
          </w:tcPr>
          <w:p w14:paraId="0F7C1BC8"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-0.16</w:t>
            </w:r>
          </w:p>
        </w:tc>
        <w:tc>
          <w:tcPr>
            <w:tcW w:w="341" w:type="pct"/>
            <w:tcBorders>
              <w:top w:val="nil"/>
              <w:left w:val="nil"/>
              <w:bottom w:val="nil"/>
              <w:right w:val="nil"/>
            </w:tcBorders>
            <w:shd w:val="clear" w:color="auto" w:fill="auto"/>
            <w:noWrap/>
            <w:vAlign w:val="bottom"/>
            <w:hideMark/>
          </w:tcPr>
          <w:p w14:paraId="27428D31"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-0.31</w:t>
            </w:r>
          </w:p>
        </w:tc>
        <w:tc>
          <w:tcPr>
            <w:tcW w:w="341" w:type="pct"/>
            <w:tcBorders>
              <w:top w:val="nil"/>
              <w:left w:val="nil"/>
              <w:bottom w:val="nil"/>
              <w:right w:val="nil"/>
            </w:tcBorders>
            <w:shd w:val="clear" w:color="auto" w:fill="auto"/>
            <w:noWrap/>
            <w:vAlign w:val="bottom"/>
            <w:hideMark/>
          </w:tcPr>
          <w:p w14:paraId="3F2F59DB"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-0.36</w:t>
            </w:r>
          </w:p>
        </w:tc>
        <w:tc>
          <w:tcPr>
            <w:tcW w:w="341" w:type="pct"/>
            <w:tcBorders>
              <w:top w:val="nil"/>
              <w:left w:val="nil"/>
              <w:bottom w:val="nil"/>
              <w:right w:val="nil"/>
            </w:tcBorders>
            <w:shd w:val="clear" w:color="auto" w:fill="auto"/>
            <w:noWrap/>
            <w:vAlign w:val="bottom"/>
            <w:hideMark/>
          </w:tcPr>
          <w:p w14:paraId="16970439"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-0.59</w:t>
            </w:r>
          </w:p>
        </w:tc>
      </w:tr>
      <w:tr w:rsidR="00D41D03" w:rsidRPr="00BC5198" w14:paraId="0A5CC393" w14:textId="77777777" w:rsidTr="00BC5198">
        <w:trPr>
          <w:trHeight w:val="113"/>
        </w:trPr>
        <w:tc>
          <w:tcPr>
            <w:tcW w:w="393" w:type="pct"/>
            <w:tcBorders>
              <w:top w:val="nil"/>
              <w:left w:val="nil"/>
              <w:bottom w:val="nil"/>
              <w:right w:val="nil"/>
            </w:tcBorders>
            <w:shd w:val="clear" w:color="auto" w:fill="auto"/>
            <w:noWrap/>
            <w:vAlign w:val="bottom"/>
            <w:hideMark/>
          </w:tcPr>
          <w:p w14:paraId="4FD04362" w14:textId="77777777" w:rsidR="00D41D03" w:rsidRPr="00BC5198" w:rsidRDefault="00D41D03" w:rsidP="00BC5198">
            <w:pPr>
              <w:spacing w:before="0" w:after="0"/>
              <w:jc w:val="left"/>
              <w:rPr>
                <w:rFonts w:ascii="Calibri" w:hAnsi="Calibri" w:cs="Times New Roman"/>
                <w:color w:val="000000"/>
                <w:sz w:val="20"/>
                <w:szCs w:val="20"/>
              </w:rPr>
            </w:pPr>
            <w:r w:rsidRPr="00BC5198">
              <w:rPr>
                <w:rFonts w:ascii="Calibri" w:hAnsi="Calibri" w:cs="Times New Roman"/>
                <w:color w:val="000000"/>
                <w:sz w:val="20"/>
                <w:szCs w:val="20"/>
              </w:rPr>
              <w:t>TSS</w:t>
            </w:r>
          </w:p>
        </w:tc>
        <w:tc>
          <w:tcPr>
            <w:tcW w:w="380" w:type="pct"/>
            <w:tcBorders>
              <w:top w:val="nil"/>
              <w:left w:val="nil"/>
              <w:bottom w:val="nil"/>
              <w:right w:val="nil"/>
            </w:tcBorders>
            <w:shd w:val="clear" w:color="auto" w:fill="auto"/>
            <w:noWrap/>
            <w:vAlign w:val="bottom"/>
            <w:hideMark/>
          </w:tcPr>
          <w:p w14:paraId="03B5E7F0"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0.38</w:t>
            </w:r>
          </w:p>
        </w:tc>
        <w:tc>
          <w:tcPr>
            <w:tcW w:w="341" w:type="pct"/>
            <w:tcBorders>
              <w:top w:val="nil"/>
              <w:left w:val="nil"/>
              <w:bottom w:val="nil"/>
              <w:right w:val="nil"/>
            </w:tcBorders>
            <w:shd w:val="clear" w:color="auto" w:fill="auto"/>
            <w:noWrap/>
            <w:vAlign w:val="bottom"/>
            <w:hideMark/>
          </w:tcPr>
          <w:p w14:paraId="748F93CA"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-0.26</w:t>
            </w:r>
          </w:p>
        </w:tc>
        <w:tc>
          <w:tcPr>
            <w:tcW w:w="341" w:type="pct"/>
            <w:tcBorders>
              <w:top w:val="nil"/>
              <w:left w:val="nil"/>
              <w:bottom w:val="nil"/>
              <w:right w:val="nil"/>
            </w:tcBorders>
            <w:shd w:val="clear" w:color="auto" w:fill="auto"/>
            <w:noWrap/>
            <w:vAlign w:val="bottom"/>
            <w:hideMark/>
          </w:tcPr>
          <w:p w14:paraId="43258FAA"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-0.42</w:t>
            </w:r>
          </w:p>
        </w:tc>
        <w:tc>
          <w:tcPr>
            <w:tcW w:w="476" w:type="pct"/>
            <w:tcBorders>
              <w:top w:val="nil"/>
              <w:left w:val="nil"/>
              <w:bottom w:val="nil"/>
              <w:right w:val="nil"/>
            </w:tcBorders>
            <w:shd w:val="clear" w:color="auto" w:fill="auto"/>
            <w:noWrap/>
            <w:vAlign w:val="bottom"/>
            <w:hideMark/>
          </w:tcPr>
          <w:p w14:paraId="13053A29"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-0.43</w:t>
            </w:r>
          </w:p>
        </w:tc>
        <w:tc>
          <w:tcPr>
            <w:tcW w:w="341" w:type="pct"/>
            <w:tcBorders>
              <w:top w:val="nil"/>
              <w:left w:val="nil"/>
              <w:bottom w:val="nil"/>
              <w:right w:val="nil"/>
            </w:tcBorders>
            <w:shd w:val="clear" w:color="auto" w:fill="auto"/>
            <w:noWrap/>
            <w:vAlign w:val="bottom"/>
            <w:hideMark/>
          </w:tcPr>
          <w:p w14:paraId="4A9502B9"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1</w:t>
            </w:r>
          </w:p>
        </w:tc>
        <w:tc>
          <w:tcPr>
            <w:tcW w:w="341" w:type="pct"/>
            <w:tcBorders>
              <w:top w:val="nil"/>
              <w:left w:val="nil"/>
              <w:bottom w:val="nil"/>
              <w:right w:val="nil"/>
            </w:tcBorders>
            <w:shd w:val="clear" w:color="auto" w:fill="auto"/>
            <w:noWrap/>
            <w:vAlign w:val="bottom"/>
            <w:hideMark/>
          </w:tcPr>
          <w:p w14:paraId="51964627"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0.27</w:t>
            </w:r>
          </w:p>
        </w:tc>
        <w:tc>
          <w:tcPr>
            <w:tcW w:w="341" w:type="pct"/>
            <w:tcBorders>
              <w:top w:val="nil"/>
              <w:left w:val="nil"/>
              <w:bottom w:val="nil"/>
              <w:right w:val="nil"/>
            </w:tcBorders>
            <w:shd w:val="clear" w:color="auto" w:fill="auto"/>
            <w:noWrap/>
            <w:vAlign w:val="bottom"/>
            <w:hideMark/>
          </w:tcPr>
          <w:p w14:paraId="0D0E22EF"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-0.08</w:t>
            </w:r>
          </w:p>
        </w:tc>
        <w:tc>
          <w:tcPr>
            <w:tcW w:w="341" w:type="pct"/>
            <w:tcBorders>
              <w:top w:val="nil"/>
              <w:left w:val="nil"/>
              <w:bottom w:val="nil"/>
              <w:right w:val="nil"/>
            </w:tcBorders>
            <w:shd w:val="clear" w:color="auto" w:fill="auto"/>
            <w:noWrap/>
            <w:vAlign w:val="bottom"/>
            <w:hideMark/>
          </w:tcPr>
          <w:p w14:paraId="725ED95A"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-0.01</w:t>
            </w:r>
          </w:p>
        </w:tc>
        <w:tc>
          <w:tcPr>
            <w:tcW w:w="341" w:type="pct"/>
            <w:tcBorders>
              <w:top w:val="nil"/>
              <w:left w:val="nil"/>
              <w:bottom w:val="nil"/>
              <w:right w:val="nil"/>
            </w:tcBorders>
            <w:shd w:val="clear" w:color="auto" w:fill="auto"/>
            <w:noWrap/>
            <w:vAlign w:val="bottom"/>
            <w:hideMark/>
          </w:tcPr>
          <w:p w14:paraId="3BC54A2E"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0.44</w:t>
            </w:r>
          </w:p>
        </w:tc>
        <w:tc>
          <w:tcPr>
            <w:tcW w:w="341" w:type="pct"/>
            <w:tcBorders>
              <w:top w:val="nil"/>
              <w:left w:val="nil"/>
              <w:bottom w:val="nil"/>
              <w:right w:val="nil"/>
            </w:tcBorders>
            <w:shd w:val="clear" w:color="auto" w:fill="auto"/>
            <w:noWrap/>
            <w:vAlign w:val="bottom"/>
            <w:hideMark/>
          </w:tcPr>
          <w:p w14:paraId="1ABBA38D"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0.34</w:t>
            </w:r>
          </w:p>
        </w:tc>
        <w:tc>
          <w:tcPr>
            <w:tcW w:w="341" w:type="pct"/>
            <w:tcBorders>
              <w:top w:val="nil"/>
              <w:left w:val="nil"/>
              <w:bottom w:val="nil"/>
              <w:right w:val="nil"/>
            </w:tcBorders>
            <w:shd w:val="clear" w:color="auto" w:fill="auto"/>
            <w:noWrap/>
            <w:vAlign w:val="bottom"/>
            <w:hideMark/>
          </w:tcPr>
          <w:p w14:paraId="2B7E0DB9"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0.29</w:t>
            </w:r>
          </w:p>
        </w:tc>
        <w:tc>
          <w:tcPr>
            <w:tcW w:w="341" w:type="pct"/>
            <w:tcBorders>
              <w:top w:val="nil"/>
              <w:left w:val="nil"/>
              <w:bottom w:val="nil"/>
              <w:right w:val="nil"/>
            </w:tcBorders>
            <w:shd w:val="clear" w:color="auto" w:fill="auto"/>
            <w:noWrap/>
            <w:vAlign w:val="bottom"/>
            <w:hideMark/>
          </w:tcPr>
          <w:p w14:paraId="1DE14036"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0.28</w:t>
            </w:r>
          </w:p>
        </w:tc>
        <w:tc>
          <w:tcPr>
            <w:tcW w:w="341" w:type="pct"/>
            <w:tcBorders>
              <w:top w:val="nil"/>
              <w:left w:val="nil"/>
              <w:bottom w:val="nil"/>
              <w:right w:val="nil"/>
            </w:tcBorders>
            <w:shd w:val="clear" w:color="auto" w:fill="auto"/>
            <w:noWrap/>
            <w:vAlign w:val="bottom"/>
            <w:hideMark/>
          </w:tcPr>
          <w:p w14:paraId="65690E76"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0.41</w:t>
            </w:r>
          </w:p>
        </w:tc>
      </w:tr>
      <w:tr w:rsidR="00D41D03" w:rsidRPr="00BC5198" w14:paraId="57296BBB" w14:textId="77777777" w:rsidTr="00BC5198">
        <w:trPr>
          <w:trHeight w:val="113"/>
        </w:trPr>
        <w:tc>
          <w:tcPr>
            <w:tcW w:w="393" w:type="pct"/>
            <w:tcBorders>
              <w:top w:val="nil"/>
              <w:left w:val="nil"/>
              <w:bottom w:val="nil"/>
              <w:right w:val="nil"/>
            </w:tcBorders>
            <w:shd w:val="clear" w:color="auto" w:fill="auto"/>
            <w:noWrap/>
            <w:vAlign w:val="bottom"/>
            <w:hideMark/>
          </w:tcPr>
          <w:p w14:paraId="23C797CD" w14:textId="77777777" w:rsidR="00D41D03" w:rsidRPr="00BC5198" w:rsidRDefault="00D41D03" w:rsidP="00BC5198">
            <w:pPr>
              <w:spacing w:before="0" w:after="0"/>
              <w:jc w:val="left"/>
              <w:rPr>
                <w:rFonts w:ascii="Calibri" w:hAnsi="Calibri" w:cs="Times New Roman"/>
                <w:color w:val="000000"/>
                <w:sz w:val="20"/>
                <w:szCs w:val="20"/>
              </w:rPr>
            </w:pPr>
            <w:r w:rsidRPr="00BC5198">
              <w:rPr>
                <w:rFonts w:ascii="Calibri" w:hAnsi="Calibri" w:cs="Times New Roman"/>
                <w:color w:val="000000"/>
                <w:sz w:val="20"/>
                <w:szCs w:val="20"/>
              </w:rPr>
              <w:t>Chl-</w:t>
            </w:r>
            <w:r w:rsidR="00BC5198">
              <w:rPr>
                <w:rFonts w:ascii="Calibri" w:hAnsi="Calibri" w:cs="Times New Roman"/>
                <w:color w:val="000000"/>
                <w:sz w:val="20"/>
                <w:szCs w:val="20"/>
              </w:rPr>
              <w:t>a</w:t>
            </w:r>
          </w:p>
        </w:tc>
        <w:tc>
          <w:tcPr>
            <w:tcW w:w="380" w:type="pct"/>
            <w:tcBorders>
              <w:top w:val="nil"/>
              <w:left w:val="nil"/>
              <w:bottom w:val="nil"/>
              <w:right w:val="nil"/>
            </w:tcBorders>
            <w:shd w:val="clear" w:color="auto" w:fill="auto"/>
            <w:noWrap/>
            <w:vAlign w:val="bottom"/>
            <w:hideMark/>
          </w:tcPr>
          <w:p w14:paraId="3B174C32"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0.28</w:t>
            </w:r>
          </w:p>
        </w:tc>
        <w:tc>
          <w:tcPr>
            <w:tcW w:w="341" w:type="pct"/>
            <w:tcBorders>
              <w:top w:val="nil"/>
              <w:left w:val="nil"/>
              <w:bottom w:val="nil"/>
              <w:right w:val="nil"/>
            </w:tcBorders>
            <w:shd w:val="clear" w:color="auto" w:fill="auto"/>
            <w:noWrap/>
            <w:vAlign w:val="bottom"/>
            <w:hideMark/>
          </w:tcPr>
          <w:p w14:paraId="07D2E0E6"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-0.15</w:t>
            </w:r>
          </w:p>
        </w:tc>
        <w:tc>
          <w:tcPr>
            <w:tcW w:w="341" w:type="pct"/>
            <w:tcBorders>
              <w:top w:val="nil"/>
              <w:left w:val="nil"/>
              <w:bottom w:val="nil"/>
              <w:right w:val="nil"/>
            </w:tcBorders>
            <w:shd w:val="clear" w:color="auto" w:fill="auto"/>
            <w:noWrap/>
            <w:vAlign w:val="bottom"/>
            <w:hideMark/>
          </w:tcPr>
          <w:p w14:paraId="400A9D03"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-0.26</w:t>
            </w:r>
          </w:p>
        </w:tc>
        <w:tc>
          <w:tcPr>
            <w:tcW w:w="476" w:type="pct"/>
            <w:tcBorders>
              <w:top w:val="nil"/>
              <w:left w:val="nil"/>
              <w:bottom w:val="nil"/>
              <w:right w:val="nil"/>
            </w:tcBorders>
            <w:shd w:val="clear" w:color="auto" w:fill="auto"/>
            <w:noWrap/>
            <w:vAlign w:val="bottom"/>
            <w:hideMark/>
          </w:tcPr>
          <w:p w14:paraId="7236648A"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-0.16</w:t>
            </w:r>
          </w:p>
        </w:tc>
        <w:tc>
          <w:tcPr>
            <w:tcW w:w="341" w:type="pct"/>
            <w:tcBorders>
              <w:top w:val="nil"/>
              <w:left w:val="nil"/>
              <w:bottom w:val="nil"/>
              <w:right w:val="nil"/>
            </w:tcBorders>
            <w:shd w:val="clear" w:color="auto" w:fill="auto"/>
            <w:noWrap/>
            <w:vAlign w:val="bottom"/>
            <w:hideMark/>
          </w:tcPr>
          <w:p w14:paraId="2BBBE3EA"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0.27</w:t>
            </w:r>
          </w:p>
        </w:tc>
        <w:tc>
          <w:tcPr>
            <w:tcW w:w="341" w:type="pct"/>
            <w:tcBorders>
              <w:top w:val="nil"/>
              <w:left w:val="nil"/>
              <w:bottom w:val="nil"/>
              <w:right w:val="nil"/>
            </w:tcBorders>
            <w:shd w:val="clear" w:color="auto" w:fill="auto"/>
            <w:noWrap/>
            <w:vAlign w:val="bottom"/>
            <w:hideMark/>
          </w:tcPr>
          <w:p w14:paraId="6223637E"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1</w:t>
            </w:r>
          </w:p>
        </w:tc>
        <w:tc>
          <w:tcPr>
            <w:tcW w:w="341" w:type="pct"/>
            <w:tcBorders>
              <w:top w:val="nil"/>
              <w:left w:val="nil"/>
              <w:bottom w:val="nil"/>
              <w:right w:val="nil"/>
            </w:tcBorders>
            <w:shd w:val="clear" w:color="auto" w:fill="auto"/>
            <w:noWrap/>
            <w:vAlign w:val="bottom"/>
            <w:hideMark/>
          </w:tcPr>
          <w:p w14:paraId="02ACD0AA"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-0.32</w:t>
            </w:r>
          </w:p>
        </w:tc>
        <w:tc>
          <w:tcPr>
            <w:tcW w:w="341" w:type="pct"/>
            <w:tcBorders>
              <w:top w:val="nil"/>
              <w:left w:val="nil"/>
              <w:bottom w:val="nil"/>
              <w:right w:val="nil"/>
            </w:tcBorders>
            <w:shd w:val="clear" w:color="auto" w:fill="auto"/>
            <w:noWrap/>
            <w:vAlign w:val="bottom"/>
            <w:hideMark/>
          </w:tcPr>
          <w:p w14:paraId="3ACDAED9"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-0.19</w:t>
            </w:r>
          </w:p>
        </w:tc>
        <w:tc>
          <w:tcPr>
            <w:tcW w:w="341" w:type="pct"/>
            <w:tcBorders>
              <w:top w:val="nil"/>
              <w:left w:val="nil"/>
              <w:bottom w:val="nil"/>
              <w:right w:val="nil"/>
            </w:tcBorders>
            <w:shd w:val="clear" w:color="auto" w:fill="auto"/>
            <w:noWrap/>
            <w:vAlign w:val="bottom"/>
            <w:hideMark/>
          </w:tcPr>
          <w:p w14:paraId="7FB9914C"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0.07</w:t>
            </w:r>
          </w:p>
        </w:tc>
        <w:tc>
          <w:tcPr>
            <w:tcW w:w="341" w:type="pct"/>
            <w:tcBorders>
              <w:top w:val="nil"/>
              <w:left w:val="nil"/>
              <w:bottom w:val="nil"/>
              <w:right w:val="nil"/>
            </w:tcBorders>
            <w:shd w:val="clear" w:color="auto" w:fill="auto"/>
            <w:noWrap/>
            <w:vAlign w:val="bottom"/>
            <w:hideMark/>
          </w:tcPr>
          <w:p w14:paraId="0D0818FB"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0.13</w:t>
            </w:r>
          </w:p>
        </w:tc>
        <w:tc>
          <w:tcPr>
            <w:tcW w:w="341" w:type="pct"/>
            <w:tcBorders>
              <w:top w:val="nil"/>
              <w:left w:val="nil"/>
              <w:bottom w:val="nil"/>
              <w:right w:val="nil"/>
            </w:tcBorders>
            <w:shd w:val="clear" w:color="auto" w:fill="auto"/>
            <w:noWrap/>
            <w:vAlign w:val="bottom"/>
            <w:hideMark/>
          </w:tcPr>
          <w:p w14:paraId="0AB31F24"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0.19</w:t>
            </w:r>
          </w:p>
        </w:tc>
        <w:tc>
          <w:tcPr>
            <w:tcW w:w="341" w:type="pct"/>
            <w:tcBorders>
              <w:top w:val="nil"/>
              <w:left w:val="nil"/>
              <w:bottom w:val="nil"/>
              <w:right w:val="nil"/>
            </w:tcBorders>
            <w:shd w:val="clear" w:color="auto" w:fill="auto"/>
            <w:noWrap/>
            <w:vAlign w:val="bottom"/>
            <w:hideMark/>
          </w:tcPr>
          <w:p w14:paraId="14BE6646"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0.08</w:t>
            </w:r>
          </w:p>
        </w:tc>
        <w:tc>
          <w:tcPr>
            <w:tcW w:w="341" w:type="pct"/>
            <w:tcBorders>
              <w:top w:val="nil"/>
              <w:left w:val="nil"/>
              <w:bottom w:val="nil"/>
              <w:right w:val="nil"/>
            </w:tcBorders>
            <w:shd w:val="clear" w:color="auto" w:fill="auto"/>
            <w:noWrap/>
            <w:vAlign w:val="bottom"/>
            <w:hideMark/>
          </w:tcPr>
          <w:p w14:paraId="676635C3"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0.34</w:t>
            </w:r>
          </w:p>
        </w:tc>
      </w:tr>
      <w:tr w:rsidR="00D41D03" w:rsidRPr="00BC5198" w14:paraId="4B6D8AC2" w14:textId="77777777" w:rsidTr="00BC5198">
        <w:trPr>
          <w:trHeight w:val="113"/>
        </w:trPr>
        <w:tc>
          <w:tcPr>
            <w:tcW w:w="393" w:type="pct"/>
            <w:tcBorders>
              <w:top w:val="nil"/>
              <w:left w:val="nil"/>
              <w:bottom w:val="nil"/>
              <w:right w:val="nil"/>
            </w:tcBorders>
            <w:shd w:val="clear" w:color="auto" w:fill="auto"/>
            <w:noWrap/>
            <w:vAlign w:val="bottom"/>
            <w:hideMark/>
          </w:tcPr>
          <w:p w14:paraId="6B16C25E" w14:textId="77777777" w:rsidR="00D41D03" w:rsidRPr="00BC5198" w:rsidRDefault="00D41D03" w:rsidP="00BC5198">
            <w:pPr>
              <w:spacing w:before="0" w:after="0"/>
              <w:jc w:val="left"/>
              <w:rPr>
                <w:rFonts w:ascii="Calibri" w:hAnsi="Calibri" w:cs="Times New Roman"/>
                <w:color w:val="000000"/>
                <w:sz w:val="20"/>
                <w:szCs w:val="20"/>
              </w:rPr>
            </w:pPr>
            <w:r w:rsidRPr="00BC5198">
              <w:rPr>
                <w:rFonts w:ascii="Calibri" w:hAnsi="Calibri" w:cs="Times New Roman"/>
                <w:color w:val="000000"/>
                <w:sz w:val="20"/>
                <w:szCs w:val="20"/>
              </w:rPr>
              <w:t>TN</w:t>
            </w:r>
          </w:p>
        </w:tc>
        <w:tc>
          <w:tcPr>
            <w:tcW w:w="380" w:type="pct"/>
            <w:tcBorders>
              <w:top w:val="nil"/>
              <w:left w:val="nil"/>
              <w:bottom w:val="nil"/>
              <w:right w:val="nil"/>
            </w:tcBorders>
            <w:shd w:val="clear" w:color="auto" w:fill="auto"/>
            <w:noWrap/>
            <w:vAlign w:val="bottom"/>
            <w:hideMark/>
          </w:tcPr>
          <w:p w14:paraId="632B7D64"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-0.02</w:t>
            </w:r>
          </w:p>
        </w:tc>
        <w:tc>
          <w:tcPr>
            <w:tcW w:w="341" w:type="pct"/>
            <w:tcBorders>
              <w:top w:val="nil"/>
              <w:left w:val="nil"/>
              <w:bottom w:val="nil"/>
              <w:right w:val="nil"/>
            </w:tcBorders>
            <w:shd w:val="clear" w:color="auto" w:fill="auto"/>
            <w:noWrap/>
            <w:vAlign w:val="bottom"/>
            <w:hideMark/>
          </w:tcPr>
          <w:p w14:paraId="16765F3D"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-0.53</w:t>
            </w:r>
          </w:p>
        </w:tc>
        <w:tc>
          <w:tcPr>
            <w:tcW w:w="341" w:type="pct"/>
            <w:tcBorders>
              <w:top w:val="nil"/>
              <w:left w:val="nil"/>
              <w:bottom w:val="nil"/>
              <w:right w:val="nil"/>
            </w:tcBorders>
            <w:shd w:val="clear" w:color="auto" w:fill="auto"/>
            <w:noWrap/>
            <w:vAlign w:val="bottom"/>
            <w:hideMark/>
          </w:tcPr>
          <w:p w14:paraId="56306EF1"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-0.34</w:t>
            </w:r>
          </w:p>
        </w:tc>
        <w:tc>
          <w:tcPr>
            <w:tcW w:w="476" w:type="pct"/>
            <w:tcBorders>
              <w:top w:val="nil"/>
              <w:left w:val="nil"/>
              <w:bottom w:val="nil"/>
              <w:right w:val="nil"/>
            </w:tcBorders>
            <w:shd w:val="clear" w:color="auto" w:fill="auto"/>
            <w:noWrap/>
            <w:vAlign w:val="bottom"/>
            <w:hideMark/>
          </w:tcPr>
          <w:p w14:paraId="1B1CEDD8"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-0.01</w:t>
            </w:r>
          </w:p>
        </w:tc>
        <w:tc>
          <w:tcPr>
            <w:tcW w:w="341" w:type="pct"/>
            <w:tcBorders>
              <w:top w:val="nil"/>
              <w:left w:val="nil"/>
              <w:bottom w:val="nil"/>
              <w:right w:val="nil"/>
            </w:tcBorders>
            <w:shd w:val="clear" w:color="auto" w:fill="auto"/>
            <w:noWrap/>
            <w:vAlign w:val="bottom"/>
            <w:hideMark/>
          </w:tcPr>
          <w:p w14:paraId="3FDD2639"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-0.08</w:t>
            </w:r>
          </w:p>
        </w:tc>
        <w:tc>
          <w:tcPr>
            <w:tcW w:w="341" w:type="pct"/>
            <w:tcBorders>
              <w:top w:val="nil"/>
              <w:left w:val="nil"/>
              <w:bottom w:val="nil"/>
              <w:right w:val="nil"/>
            </w:tcBorders>
            <w:shd w:val="clear" w:color="auto" w:fill="auto"/>
            <w:noWrap/>
            <w:vAlign w:val="bottom"/>
            <w:hideMark/>
          </w:tcPr>
          <w:p w14:paraId="22103FBC"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-0.32</w:t>
            </w:r>
          </w:p>
        </w:tc>
        <w:tc>
          <w:tcPr>
            <w:tcW w:w="341" w:type="pct"/>
            <w:tcBorders>
              <w:top w:val="nil"/>
              <w:left w:val="nil"/>
              <w:bottom w:val="nil"/>
              <w:right w:val="nil"/>
            </w:tcBorders>
            <w:shd w:val="clear" w:color="auto" w:fill="auto"/>
            <w:noWrap/>
            <w:vAlign w:val="bottom"/>
            <w:hideMark/>
          </w:tcPr>
          <w:p w14:paraId="6469DFC5"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1</w:t>
            </w:r>
          </w:p>
        </w:tc>
        <w:tc>
          <w:tcPr>
            <w:tcW w:w="341" w:type="pct"/>
            <w:tcBorders>
              <w:top w:val="nil"/>
              <w:left w:val="nil"/>
              <w:bottom w:val="nil"/>
              <w:right w:val="nil"/>
            </w:tcBorders>
            <w:shd w:val="clear" w:color="auto" w:fill="auto"/>
            <w:noWrap/>
            <w:vAlign w:val="bottom"/>
            <w:hideMark/>
          </w:tcPr>
          <w:p w14:paraId="4CBA658D"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0.51</w:t>
            </w:r>
          </w:p>
        </w:tc>
        <w:tc>
          <w:tcPr>
            <w:tcW w:w="341" w:type="pct"/>
            <w:tcBorders>
              <w:top w:val="nil"/>
              <w:left w:val="nil"/>
              <w:bottom w:val="nil"/>
              <w:right w:val="nil"/>
            </w:tcBorders>
            <w:shd w:val="clear" w:color="auto" w:fill="auto"/>
            <w:noWrap/>
            <w:vAlign w:val="bottom"/>
            <w:hideMark/>
          </w:tcPr>
          <w:p w14:paraId="25D6BC06"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0.31</w:t>
            </w:r>
          </w:p>
        </w:tc>
        <w:tc>
          <w:tcPr>
            <w:tcW w:w="341" w:type="pct"/>
            <w:tcBorders>
              <w:top w:val="nil"/>
              <w:left w:val="nil"/>
              <w:bottom w:val="nil"/>
              <w:right w:val="nil"/>
            </w:tcBorders>
            <w:shd w:val="clear" w:color="auto" w:fill="auto"/>
            <w:noWrap/>
            <w:vAlign w:val="bottom"/>
            <w:hideMark/>
          </w:tcPr>
          <w:p w14:paraId="39F7F7F0"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0.43</w:t>
            </w:r>
          </w:p>
        </w:tc>
        <w:tc>
          <w:tcPr>
            <w:tcW w:w="341" w:type="pct"/>
            <w:tcBorders>
              <w:top w:val="nil"/>
              <w:left w:val="nil"/>
              <w:bottom w:val="nil"/>
              <w:right w:val="nil"/>
            </w:tcBorders>
            <w:shd w:val="clear" w:color="auto" w:fill="auto"/>
            <w:noWrap/>
            <w:vAlign w:val="bottom"/>
            <w:hideMark/>
          </w:tcPr>
          <w:p w14:paraId="78EF9025"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0.42</w:t>
            </w:r>
          </w:p>
        </w:tc>
        <w:tc>
          <w:tcPr>
            <w:tcW w:w="341" w:type="pct"/>
            <w:tcBorders>
              <w:top w:val="nil"/>
              <w:left w:val="nil"/>
              <w:bottom w:val="nil"/>
              <w:right w:val="nil"/>
            </w:tcBorders>
            <w:shd w:val="clear" w:color="auto" w:fill="auto"/>
            <w:noWrap/>
            <w:vAlign w:val="bottom"/>
            <w:hideMark/>
          </w:tcPr>
          <w:p w14:paraId="1979D31B"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-0.12</w:t>
            </w:r>
          </w:p>
        </w:tc>
        <w:tc>
          <w:tcPr>
            <w:tcW w:w="341" w:type="pct"/>
            <w:tcBorders>
              <w:top w:val="nil"/>
              <w:left w:val="nil"/>
              <w:bottom w:val="nil"/>
              <w:right w:val="nil"/>
            </w:tcBorders>
            <w:shd w:val="clear" w:color="auto" w:fill="auto"/>
            <w:noWrap/>
            <w:vAlign w:val="bottom"/>
            <w:hideMark/>
          </w:tcPr>
          <w:p w14:paraId="71A4696E"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0.33</w:t>
            </w:r>
          </w:p>
        </w:tc>
      </w:tr>
      <w:tr w:rsidR="00D41D03" w:rsidRPr="00BC5198" w14:paraId="3B865131" w14:textId="77777777" w:rsidTr="00BC5198">
        <w:trPr>
          <w:trHeight w:val="113"/>
        </w:trPr>
        <w:tc>
          <w:tcPr>
            <w:tcW w:w="393" w:type="pct"/>
            <w:tcBorders>
              <w:top w:val="nil"/>
              <w:left w:val="nil"/>
              <w:bottom w:val="nil"/>
              <w:right w:val="nil"/>
            </w:tcBorders>
            <w:shd w:val="clear" w:color="auto" w:fill="auto"/>
            <w:noWrap/>
            <w:vAlign w:val="bottom"/>
            <w:hideMark/>
          </w:tcPr>
          <w:p w14:paraId="44712099" w14:textId="77777777" w:rsidR="00D41D03" w:rsidRPr="00BC5198" w:rsidRDefault="00D41D03" w:rsidP="00BC5198">
            <w:pPr>
              <w:spacing w:before="0" w:after="0"/>
              <w:jc w:val="left"/>
              <w:rPr>
                <w:rFonts w:ascii="Calibri" w:hAnsi="Calibri" w:cs="Times New Roman"/>
                <w:color w:val="000000"/>
                <w:sz w:val="20"/>
                <w:szCs w:val="20"/>
              </w:rPr>
            </w:pPr>
            <w:r w:rsidRPr="00BC5198">
              <w:rPr>
                <w:rFonts w:ascii="Calibri" w:hAnsi="Calibri" w:cs="Times New Roman"/>
                <w:color w:val="000000"/>
                <w:sz w:val="20"/>
                <w:szCs w:val="20"/>
              </w:rPr>
              <w:t>PN</w:t>
            </w:r>
          </w:p>
        </w:tc>
        <w:tc>
          <w:tcPr>
            <w:tcW w:w="380" w:type="pct"/>
            <w:tcBorders>
              <w:top w:val="nil"/>
              <w:left w:val="nil"/>
              <w:bottom w:val="nil"/>
              <w:right w:val="nil"/>
            </w:tcBorders>
            <w:shd w:val="clear" w:color="auto" w:fill="auto"/>
            <w:noWrap/>
            <w:vAlign w:val="bottom"/>
            <w:hideMark/>
          </w:tcPr>
          <w:p w14:paraId="42FC6B8B"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-0.05</w:t>
            </w:r>
          </w:p>
        </w:tc>
        <w:tc>
          <w:tcPr>
            <w:tcW w:w="341" w:type="pct"/>
            <w:tcBorders>
              <w:top w:val="nil"/>
              <w:left w:val="nil"/>
              <w:bottom w:val="nil"/>
              <w:right w:val="nil"/>
            </w:tcBorders>
            <w:shd w:val="clear" w:color="auto" w:fill="auto"/>
            <w:noWrap/>
            <w:vAlign w:val="bottom"/>
            <w:hideMark/>
          </w:tcPr>
          <w:p w14:paraId="68B684CB"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-0.21</w:t>
            </w:r>
          </w:p>
        </w:tc>
        <w:tc>
          <w:tcPr>
            <w:tcW w:w="341" w:type="pct"/>
            <w:tcBorders>
              <w:top w:val="nil"/>
              <w:left w:val="nil"/>
              <w:bottom w:val="nil"/>
              <w:right w:val="nil"/>
            </w:tcBorders>
            <w:shd w:val="clear" w:color="auto" w:fill="auto"/>
            <w:noWrap/>
            <w:vAlign w:val="bottom"/>
            <w:hideMark/>
          </w:tcPr>
          <w:p w14:paraId="3D113CA8"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-0.01</w:t>
            </w:r>
          </w:p>
        </w:tc>
        <w:tc>
          <w:tcPr>
            <w:tcW w:w="476" w:type="pct"/>
            <w:tcBorders>
              <w:top w:val="nil"/>
              <w:left w:val="nil"/>
              <w:bottom w:val="nil"/>
              <w:right w:val="nil"/>
            </w:tcBorders>
            <w:shd w:val="clear" w:color="auto" w:fill="auto"/>
            <w:noWrap/>
            <w:vAlign w:val="bottom"/>
            <w:hideMark/>
          </w:tcPr>
          <w:p w14:paraId="5950DBDC"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0.25</w:t>
            </w:r>
          </w:p>
        </w:tc>
        <w:tc>
          <w:tcPr>
            <w:tcW w:w="341" w:type="pct"/>
            <w:tcBorders>
              <w:top w:val="nil"/>
              <w:left w:val="nil"/>
              <w:bottom w:val="nil"/>
              <w:right w:val="nil"/>
            </w:tcBorders>
            <w:shd w:val="clear" w:color="auto" w:fill="auto"/>
            <w:noWrap/>
            <w:vAlign w:val="bottom"/>
            <w:hideMark/>
          </w:tcPr>
          <w:p w14:paraId="0E0F772B"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-0.01</w:t>
            </w:r>
          </w:p>
        </w:tc>
        <w:tc>
          <w:tcPr>
            <w:tcW w:w="341" w:type="pct"/>
            <w:tcBorders>
              <w:top w:val="nil"/>
              <w:left w:val="nil"/>
              <w:bottom w:val="nil"/>
              <w:right w:val="nil"/>
            </w:tcBorders>
            <w:shd w:val="clear" w:color="auto" w:fill="auto"/>
            <w:noWrap/>
            <w:vAlign w:val="bottom"/>
            <w:hideMark/>
          </w:tcPr>
          <w:p w14:paraId="025B63D9"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-0.19</w:t>
            </w:r>
          </w:p>
        </w:tc>
        <w:tc>
          <w:tcPr>
            <w:tcW w:w="341" w:type="pct"/>
            <w:tcBorders>
              <w:top w:val="nil"/>
              <w:left w:val="nil"/>
              <w:bottom w:val="nil"/>
              <w:right w:val="nil"/>
            </w:tcBorders>
            <w:shd w:val="clear" w:color="auto" w:fill="auto"/>
            <w:noWrap/>
            <w:vAlign w:val="bottom"/>
            <w:hideMark/>
          </w:tcPr>
          <w:p w14:paraId="07122A4B"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0.51</w:t>
            </w:r>
          </w:p>
        </w:tc>
        <w:tc>
          <w:tcPr>
            <w:tcW w:w="341" w:type="pct"/>
            <w:tcBorders>
              <w:top w:val="nil"/>
              <w:left w:val="nil"/>
              <w:bottom w:val="nil"/>
              <w:right w:val="nil"/>
            </w:tcBorders>
            <w:shd w:val="clear" w:color="auto" w:fill="auto"/>
            <w:noWrap/>
            <w:vAlign w:val="bottom"/>
            <w:hideMark/>
          </w:tcPr>
          <w:p w14:paraId="5EED2409"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1</w:t>
            </w:r>
          </w:p>
        </w:tc>
        <w:tc>
          <w:tcPr>
            <w:tcW w:w="341" w:type="pct"/>
            <w:tcBorders>
              <w:top w:val="nil"/>
              <w:left w:val="nil"/>
              <w:bottom w:val="nil"/>
              <w:right w:val="nil"/>
            </w:tcBorders>
            <w:shd w:val="clear" w:color="auto" w:fill="auto"/>
            <w:noWrap/>
            <w:vAlign w:val="bottom"/>
            <w:hideMark/>
          </w:tcPr>
          <w:p w14:paraId="4A8C6538"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0.23</w:t>
            </w:r>
          </w:p>
        </w:tc>
        <w:tc>
          <w:tcPr>
            <w:tcW w:w="341" w:type="pct"/>
            <w:tcBorders>
              <w:top w:val="nil"/>
              <w:left w:val="nil"/>
              <w:bottom w:val="nil"/>
              <w:right w:val="nil"/>
            </w:tcBorders>
            <w:shd w:val="clear" w:color="auto" w:fill="auto"/>
            <w:noWrap/>
            <w:vAlign w:val="bottom"/>
            <w:hideMark/>
          </w:tcPr>
          <w:p w14:paraId="0713FED9"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0.19</w:t>
            </w:r>
          </w:p>
        </w:tc>
        <w:tc>
          <w:tcPr>
            <w:tcW w:w="341" w:type="pct"/>
            <w:tcBorders>
              <w:top w:val="nil"/>
              <w:left w:val="nil"/>
              <w:bottom w:val="nil"/>
              <w:right w:val="nil"/>
            </w:tcBorders>
            <w:shd w:val="clear" w:color="auto" w:fill="auto"/>
            <w:noWrap/>
            <w:vAlign w:val="bottom"/>
            <w:hideMark/>
          </w:tcPr>
          <w:p w14:paraId="252474B8"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0.19</w:t>
            </w:r>
          </w:p>
        </w:tc>
        <w:tc>
          <w:tcPr>
            <w:tcW w:w="341" w:type="pct"/>
            <w:tcBorders>
              <w:top w:val="nil"/>
              <w:left w:val="nil"/>
              <w:bottom w:val="nil"/>
              <w:right w:val="nil"/>
            </w:tcBorders>
            <w:shd w:val="clear" w:color="auto" w:fill="auto"/>
            <w:noWrap/>
            <w:vAlign w:val="bottom"/>
            <w:hideMark/>
          </w:tcPr>
          <w:p w14:paraId="029E7EEE"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-0.03</w:t>
            </w:r>
          </w:p>
        </w:tc>
        <w:tc>
          <w:tcPr>
            <w:tcW w:w="341" w:type="pct"/>
            <w:tcBorders>
              <w:top w:val="nil"/>
              <w:left w:val="nil"/>
              <w:bottom w:val="nil"/>
              <w:right w:val="nil"/>
            </w:tcBorders>
            <w:shd w:val="clear" w:color="auto" w:fill="auto"/>
            <w:noWrap/>
            <w:vAlign w:val="bottom"/>
            <w:hideMark/>
          </w:tcPr>
          <w:p w14:paraId="157819E6"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0.02</w:t>
            </w:r>
          </w:p>
        </w:tc>
      </w:tr>
      <w:tr w:rsidR="00D41D03" w:rsidRPr="00BC5198" w14:paraId="43C3537D" w14:textId="77777777" w:rsidTr="00BC5198">
        <w:trPr>
          <w:trHeight w:val="113"/>
        </w:trPr>
        <w:tc>
          <w:tcPr>
            <w:tcW w:w="393" w:type="pct"/>
            <w:tcBorders>
              <w:top w:val="nil"/>
              <w:left w:val="nil"/>
              <w:bottom w:val="nil"/>
              <w:right w:val="nil"/>
            </w:tcBorders>
            <w:shd w:val="clear" w:color="auto" w:fill="auto"/>
            <w:noWrap/>
            <w:vAlign w:val="bottom"/>
            <w:hideMark/>
          </w:tcPr>
          <w:p w14:paraId="2AE59DF8" w14:textId="77777777" w:rsidR="00D41D03" w:rsidRPr="00BC5198" w:rsidRDefault="00D41D03" w:rsidP="00BC5198">
            <w:pPr>
              <w:spacing w:before="0" w:after="0"/>
              <w:jc w:val="left"/>
              <w:rPr>
                <w:rFonts w:ascii="Calibri" w:hAnsi="Calibri" w:cs="Times New Roman"/>
                <w:color w:val="000000"/>
                <w:sz w:val="20"/>
                <w:szCs w:val="20"/>
              </w:rPr>
            </w:pPr>
            <w:r w:rsidRPr="00BC5198">
              <w:rPr>
                <w:rFonts w:ascii="Calibri" w:hAnsi="Calibri" w:cs="Times New Roman"/>
                <w:color w:val="000000"/>
                <w:sz w:val="20"/>
                <w:szCs w:val="20"/>
              </w:rPr>
              <w:t>DIN</w:t>
            </w:r>
          </w:p>
        </w:tc>
        <w:tc>
          <w:tcPr>
            <w:tcW w:w="380" w:type="pct"/>
            <w:tcBorders>
              <w:top w:val="nil"/>
              <w:left w:val="nil"/>
              <w:bottom w:val="nil"/>
              <w:right w:val="nil"/>
            </w:tcBorders>
            <w:shd w:val="clear" w:color="auto" w:fill="auto"/>
            <w:noWrap/>
            <w:vAlign w:val="bottom"/>
            <w:hideMark/>
          </w:tcPr>
          <w:p w14:paraId="45E9EC6A"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0.33</w:t>
            </w:r>
          </w:p>
        </w:tc>
        <w:tc>
          <w:tcPr>
            <w:tcW w:w="341" w:type="pct"/>
            <w:tcBorders>
              <w:top w:val="nil"/>
              <w:left w:val="nil"/>
              <w:bottom w:val="nil"/>
              <w:right w:val="nil"/>
            </w:tcBorders>
            <w:shd w:val="clear" w:color="auto" w:fill="auto"/>
            <w:noWrap/>
            <w:vAlign w:val="bottom"/>
            <w:hideMark/>
          </w:tcPr>
          <w:p w14:paraId="3A1F76A0"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-0.44</w:t>
            </w:r>
          </w:p>
        </w:tc>
        <w:tc>
          <w:tcPr>
            <w:tcW w:w="341" w:type="pct"/>
            <w:tcBorders>
              <w:top w:val="nil"/>
              <w:left w:val="nil"/>
              <w:bottom w:val="nil"/>
              <w:right w:val="nil"/>
            </w:tcBorders>
            <w:shd w:val="clear" w:color="auto" w:fill="auto"/>
            <w:noWrap/>
            <w:vAlign w:val="bottom"/>
            <w:hideMark/>
          </w:tcPr>
          <w:p w14:paraId="6416A2FA"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-0.51</w:t>
            </w:r>
          </w:p>
        </w:tc>
        <w:tc>
          <w:tcPr>
            <w:tcW w:w="476" w:type="pct"/>
            <w:tcBorders>
              <w:top w:val="nil"/>
              <w:left w:val="nil"/>
              <w:bottom w:val="nil"/>
              <w:right w:val="nil"/>
            </w:tcBorders>
            <w:shd w:val="clear" w:color="auto" w:fill="auto"/>
            <w:noWrap/>
            <w:vAlign w:val="bottom"/>
            <w:hideMark/>
          </w:tcPr>
          <w:p w14:paraId="53773C44"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-0.46</w:t>
            </w:r>
          </w:p>
        </w:tc>
        <w:tc>
          <w:tcPr>
            <w:tcW w:w="341" w:type="pct"/>
            <w:tcBorders>
              <w:top w:val="nil"/>
              <w:left w:val="nil"/>
              <w:bottom w:val="nil"/>
              <w:right w:val="nil"/>
            </w:tcBorders>
            <w:shd w:val="clear" w:color="auto" w:fill="auto"/>
            <w:noWrap/>
            <w:vAlign w:val="bottom"/>
            <w:hideMark/>
          </w:tcPr>
          <w:p w14:paraId="204FE8AD"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0.44</w:t>
            </w:r>
          </w:p>
        </w:tc>
        <w:tc>
          <w:tcPr>
            <w:tcW w:w="341" w:type="pct"/>
            <w:tcBorders>
              <w:top w:val="nil"/>
              <w:left w:val="nil"/>
              <w:bottom w:val="nil"/>
              <w:right w:val="nil"/>
            </w:tcBorders>
            <w:shd w:val="clear" w:color="auto" w:fill="auto"/>
            <w:noWrap/>
            <w:vAlign w:val="bottom"/>
            <w:hideMark/>
          </w:tcPr>
          <w:p w14:paraId="349E04DF"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0.07</w:t>
            </w:r>
          </w:p>
        </w:tc>
        <w:tc>
          <w:tcPr>
            <w:tcW w:w="341" w:type="pct"/>
            <w:tcBorders>
              <w:top w:val="nil"/>
              <w:left w:val="nil"/>
              <w:bottom w:val="nil"/>
              <w:right w:val="nil"/>
            </w:tcBorders>
            <w:shd w:val="clear" w:color="auto" w:fill="auto"/>
            <w:noWrap/>
            <w:vAlign w:val="bottom"/>
            <w:hideMark/>
          </w:tcPr>
          <w:p w14:paraId="2D2DB88D"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0.31</w:t>
            </w:r>
          </w:p>
        </w:tc>
        <w:tc>
          <w:tcPr>
            <w:tcW w:w="341" w:type="pct"/>
            <w:tcBorders>
              <w:top w:val="nil"/>
              <w:left w:val="nil"/>
              <w:bottom w:val="nil"/>
              <w:right w:val="nil"/>
            </w:tcBorders>
            <w:shd w:val="clear" w:color="auto" w:fill="auto"/>
            <w:noWrap/>
            <w:vAlign w:val="bottom"/>
            <w:hideMark/>
          </w:tcPr>
          <w:p w14:paraId="4E0DD562"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0.23</w:t>
            </w:r>
          </w:p>
        </w:tc>
        <w:tc>
          <w:tcPr>
            <w:tcW w:w="341" w:type="pct"/>
            <w:tcBorders>
              <w:top w:val="nil"/>
              <w:left w:val="nil"/>
              <w:bottom w:val="nil"/>
              <w:right w:val="nil"/>
            </w:tcBorders>
            <w:shd w:val="clear" w:color="auto" w:fill="auto"/>
            <w:noWrap/>
            <w:vAlign w:val="bottom"/>
            <w:hideMark/>
          </w:tcPr>
          <w:p w14:paraId="03BFFA7B"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1</w:t>
            </w:r>
          </w:p>
        </w:tc>
        <w:tc>
          <w:tcPr>
            <w:tcW w:w="341" w:type="pct"/>
            <w:tcBorders>
              <w:top w:val="nil"/>
              <w:left w:val="nil"/>
              <w:bottom w:val="nil"/>
              <w:right w:val="nil"/>
            </w:tcBorders>
            <w:shd w:val="clear" w:color="auto" w:fill="auto"/>
            <w:noWrap/>
            <w:vAlign w:val="bottom"/>
            <w:hideMark/>
          </w:tcPr>
          <w:p w14:paraId="76F8E70B"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0.50</w:t>
            </w:r>
          </w:p>
        </w:tc>
        <w:tc>
          <w:tcPr>
            <w:tcW w:w="341" w:type="pct"/>
            <w:tcBorders>
              <w:top w:val="nil"/>
              <w:left w:val="nil"/>
              <w:bottom w:val="nil"/>
              <w:right w:val="nil"/>
            </w:tcBorders>
            <w:shd w:val="clear" w:color="auto" w:fill="auto"/>
            <w:noWrap/>
            <w:vAlign w:val="bottom"/>
            <w:hideMark/>
          </w:tcPr>
          <w:p w14:paraId="45C49133"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0.58</w:t>
            </w:r>
          </w:p>
        </w:tc>
        <w:tc>
          <w:tcPr>
            <w:tcW w:w="341" w:type="pct"/>
            <w:tcBorders>
              <w:top w:val="nil"/>
              <w:left w:val="nil"/>
              <w:bottom w:val="nil"/>
              <w:right w:val="nil"/>
            </w:tcBorders>
            <w:shd w:val="clear" w:color="auto" w:fill="auto"/>
            <w:noWrap/>
            <w:vAlign w:val="bottom"/>
            <w:hideMark/>
          </w:tcPr>
          <w:p w14:paraId="21032347"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0.26</w:t>
            </w:r>
          </w:p>
        </w:tc>
        <w:tc>
          <w:tcPr>
            <w:tcW w:w="341" w:type="pct"/>
            <w:tcBorders>
              <w:top w:val="nil"/>
              <w:left w:val="nil"/>
              <w:bottom w:val="nil"/>
              <w:right w:val="nil"/>
            </w:tcBorders>
            <w:shd w:val="clear" w:color="auto" w:fill="auto"/>
            <w:noWrap/>
            <w:vAlign w:val="bottom"/>
            <w:hideMark/>
          </w:tcPr>
          <w:p w14:paraId="106D14CA"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0.45</w:t>
            </w:r>
          </w:p>
        </w:tc>
      </w:tr>
      <w:tr w:rsidR="00D41D03" w:rsidRPr="00BC5198" w14:paraId="29A9DF6D" w14:textId="77777777" w:rsidTr="00BC5198">
        <w:trPr>
          <w:trHeight w:val="113"/>
        </w:trPr>
        <w:tc>
          <w:tcPr>
            <w:tcW w:w="393" w:type="pct"/>
            <w:tcBorders>
              <w:top w:val="nil"/>
              <w:left w:val="nil"/>
              <w:bottom w:val="nil"/>
              <w:right w:val="nil"/>
            </w:tcBorders>
            <w:shd w:val="clear" w:color="auto" w:fill="auto"/>
            <w:noWrap/>
            <w:vAlign w:val="bottom"/>
            <w:hideMark/>
          </w:tcPr>
          <w:p w14:paraId="3766AE8A" w14:textId="77777777" w:rsidR="00D41D03" w:rsidRPr="00BC5198" w:rsidRDefault="00D41D03" w:rsidP="00BC5198">
            <w:pPr>
              <w:spacing w:before="0" w:after="0"/>
              <w:jc w:val="left"/>
              <w:rPr>
                <w:rFonts w:ascii="Calibri" w:hAnsi="Calibri" w:cs="Times New Roman"/>
                <w:color w:val="000000"/>
                <w:sz w:val="20"/>
                <w:szCs w:val="20"/>
              </w:rPr>
            </w:pPr>
            <w:r w:rsidRPr="00BC5198">
              <w:rPr>
                <w:rFonts w:ascii="Calibri" w:hAnsi="Calibri" w:cs="Times New Roman"/>
                <w:color w:val="000000"/>
                <w:sz w:val="20"/>
                <w:szCs w:val="20"/>
              </w:rPr>
              <w:t>TP</w:t>
            </w:r>
          </w:p>
        </w:tc>
        <w:tc>
          <w:tcPr>
            <w:tcW w:w="380" w:type="pct"/>
            <w:tcBorders>
              <w:top w:val="nil"/>
              <w:left w:val="nil"/>
              <w:bottom w:val="nil"/>
              <w:right w:val="nil"/>
            </w:tcBorders>
            <w:shd w:val="clear" w:color="auto" w:fill="auto"/>
            <w:noWrap/>
            <w:vAlign w:val="bottom"/>
            <w:hideMark/>
          </w:tcPr>
          <w:p w14:paraId="7942AC96"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0.34</w:t>
            </w:r>
          </w:p>
        </w:tc>
        <w:tc>
          <w:tcPr>
            <w:tcW w:w="341" w:type="pct"/>
            <w:tcBorders>
              <w:top w:val="nil"/>
              <w:left w:val="nil"/>
              <w:bottom w:val="nil"/>
              <w:right w:val="nil"/>
            </w:tcBorders>
            <w:shd w:val="clear" w:color="auto" w:fill="auto"/>
            <w:noWrap/>
            <w:vAlign w:val="bottom"/>
            <w:hideMark/>
          </w:tcPr>
          <w:p w14:paraId="0DE3E923"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-0.55</w:t>
            </w:r>
          </w:p>
        </w:tc>
        <w:tc>
          <w:tcPr>
            <w:tcW w:w="341" w:type="pct"/>
            <w:tcBorders>
              <w:top w:val="nil"/>
              <w:left w:val="nil"/>
              <w:bottom w:val="nil"/>
              <w:right w:val="nil"/>
            </w:tcBorders>
            <w:shd w:val="clear" w:color="auto" w:fill="auto"/>
            <w:noWrap/>
            <w:vAlign w:val="bottom"/>
            <w:hideMark/>
          </w:tcPr>
          <w:p w14:paraId="7B7393E4"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-0.60</w:t>
            </w:r>
          </w:p>
        </w:tc>
        <w:tc>
          <w:tcPr>
            <w:tcW w:w="476" w:type="pct"/>
            <w:tcBorders>
              <w:top w:val="nil"/>
              <w:left w:val="nil"/>
              <w:bottom w:val="nil"/>
              <w:right w:val="nil"/>
            </w:tcBorders>
            <w:shd w:val="clear" w:color="auto" w:fill="auto"/>
            <w:noWrap/>
            <w:vAlign w:val="bottom"/>
            <w:hideMark/>
          </w:tcPr>
          <w:p w14:paraId="1BFD8A2A"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-0.16</w:t>
            </w:r>
          </w:p>
        </w:tc>
        <w:tc>
          <w:tcPr>
            <w:tcW w:w="341" w:type="pct"/>
            <w:tcBorders>
              <w:top w:val="nil"/>
              <w:left w:val="nil"/>
              <w:bottom w:val="nil"/>
              <w:right w:val="nil"/>
            </w:tcBorders>
            <w:shd w:val="clear" w:color="auto" w:fill="auto"/>
            <w:noWrap/>
            <w:vAlign w:val="bottom"/>
            <w:hideMark/>
          </w:tcPr>
          <w:p w14:paraId="68AA3C4E"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0.34</w:t>
            </w:r>
          </w:p>
        </w:tc>
        <w:tc>
          <w:tcPr>
            <w:tcW w:w="341" w:type="pct"/>
            <w:tcBorders>
              <w:top w:val="nil"/>
              <w:left w:val="nil"/>
              <w:bottom w:val="nil"/>
              <w:right w:val="nil"/>
            </w:tcBorders>
            <w:shd w:val="clear" w:color="auto" w:fill="auto"/>
            <w:noWrap/>
            <w:vAlign w:val="bottom"/>
            <w:hideMark/>
          </w:tcPr>
          <w:p w14:paraId="65D86E60"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0.13</w:t>
            </w:r>
          </w:p>
        </w:tc>
        <w:tc>
          <w:tcPr>
            <w:tcW w:w="341" w:type="pct"/>
            <w:tcBorders>
              <w:top w:val="nil"/>
              <w:left w:val="nil"/>
              <w:bottom w:val="nil"/>
              <w:right w:val="nil"/>
            </w:tcBorders>
            <w:shd w:val="clear" w:color="auto" w:fill="auto"/>
            <w:noWrap/>
            <w:vAlign w:val="bottom"/>
            <w:hideMark/>
          </w:tcPr>
          <w:p w14:paraId="3B0F443F"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0.43</w:t>
            </w:r>
          </w:p>
        </w:tc>
        <w:tc>
          <w:tcPr>
            <w:tcW w:w="341" w:type="pct"/>
            <w:tcBorders>
              <w:top w:val="nil"/>
              <w:left w:val="nil"/>
              <w:bottom w:val="nil"/>
              <w:right w:val="nil"/>
            </w:tcBorders>
            <w:shd w:val="clear" w:color="auto" w:fill="auto"/>
            <w:noWrap/>
            <w:vAlign w:val="bottom"/>
            <w:hideMark/>
          </w:tcPr>
          <w:p w14:paraId="53BA09E4"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0.19</w:t>
            </w:r>
          </w:p>
        </w:tc>
        <w:tc>
          <w:tcPr>
            <w:tcW w:w="341" w:type="pct"/>
            <w:tcBorders>
              <w:top w:val="nil"/>
              <w:left w:val="nil"/>
              <w:bottom w:val="nil"/>
              <w:right w:val="nil"/>
            </w:tcBorders>
            <w:shd w:val="clear" w:color="auto" w:fill="auto"/>
            <w:noWrap/>
            <w:vAlign w:val="bottom"/>
            <w:hideMark/>
          </w:tcPr>
          <w:p w14:paraId="231A43FA"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0.50</w:t>
            </w:r>
          </w:p>
        </w:tc>
        <w:tc>
          <w:tcPr>
            <w:tcW w:w="341" w:type="pct"/>
            <w:tcBorders>
              <w:top w:val="nil"/>
              <w:left w:val="nil"/>
              <w:bottom w:val="nil"/>
              <w:right w:val="nil"/>
            </w:tcBorders>
            <w:shd w:val="clear" w:color="auto" w:fill="auto"/>
            <w:noWrap/>
            <w:vAlign w:val="bottom"/>
            <w:hideMark/>
          </w:tcPr>
          <w:p w14:paraId="41AE809F"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1</w:t>
            </w:r>
          </w:p>
        </w:tc>
        <w:tc>
          <w:tcPr>
            <w:tcW w:w="341" w:type="pct"/>
            <w:tcBorders>
              <w:top w:val="nil"/>
              <w:left w:val="nil"/>
              <w:bottom w:val="nil"/>
              <w:right w:val="nil"/>
            </w:tcBorders>
            <w:shd w:val="clear" w:color="000000" w:fill="FFFF00"/>
            <w:noWrap/>
            <w:vAlign w:val="bottom"/>
            <w:hideMark/>
          </w:tcPr>
          <w:p w14:paraId="5E893372"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0.80</w:t>
            </w:r>
          </w:p>
        </w:tc>
        <w:tc>
          <w:tcPr>
            <w:tcW w:w="341" w:type="pct"/>
            <w:tcBorders>
              <w:top w:val="nil"/>
              <w:left w:val="nil"/>
              <w:bottom w:val="nil"/>
              <w:right w:val="nil"/>
            </w:tcBorders>
            <w:shd w:val="clear" w:color="auto" w:fill="auto"/>
            <w:noWrap/>
            <w:vAlign w:val="bottom"/>
            <w:hideMark/>
          </w:tcPr>
          <w:p w14:paraId="50877487"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-0.01</w:t>
            </w:r>
          </w:p>
        </w:tc>
        <w:tc>
          <w:tcPr>
            <w:tcW w:w="341" w:type="pct"/>
            <w:tcBorders>
              <w:top w:val="nil"/>
              <w:left w:val="nil"/>
              <w:bottom w:val="nil"/>
              <w:right w:val="nil"/>
            </w:tcBorders>
            <w:shd w:val="clear" w:color="auto" w:fill="auto"/>
            <w:noWrap/>
            <w:vAlign w:val="bottom"/>
            <w:hideMark/>
          </w:tcPr>
          <w:p w14:paraId="778E5042"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0.48</w:t>
            </w:r>
          </w:p>
        </w:tc>
      </w:tr>
      <w:tr w:rsidR="00D41D03" w:rsidRPr="00BC5198" w14:paraId="2FC3CF33" w14:textId="77777777" w:rsidTr="00BC5198">
        <w:trPr>
          <w:trHeight w:val="113"/>
        </w:trPr>
        <w:tc>
          <w:tcPr>
            <w:tcW w:w="393" w:type="pct"/>
            <w:tcBorders>
              <w:top w:val="nil"/>
              <w:left w:val="nil"/>
              <w:bottom w:val="nil"/>
              <w:right w:val="nil"/>
            </w:tcBorders>
            <w:shd w:val="clear" w:color="auto" w:fill="auto"/>
            <w:noWrap/>
            <w:vAlign w:val="bottom"/>
            <w:hideMark/>
          </w:tcPr>
          <w:p w14:paraId="74ED1E5A" w14:textId="77777777" w:rsidR="00D41D03" w:rsidRPr="00BC5198" w:rsidRDefault="00D41D03" w:rsidP="00BC5198">
            <w:pPr>
              <w:spacing w:before="0" w:after="0"/>
              <w:jc w:val="left"/>
              <w:rPr>
                <w:rFonts w:ascii="Calibri" w:hAnsi="Calibri" w:cs="Times New Roman"/>
                <w:color w:val="000000"/>
                <w:sz w:val="20"/>
                <w:szCs w:val="20"/>
              </w:rPr>
            </w:pPr>
            <w:r w:rsidRPr="00BC5198">
              <w:rPr>
                <w:rFonts w:ascii="Calibri" w:hAnsi="Calibri" w:cs="Times New Roman"/>
                <w:color w:val="000000"/>
                <w:sz w:val="20"/>
                <w:szCs w:val="20"/>
              </w:rPr>
              <w:t>PP</w:t>
            </w:r>
          </w:p>
        </w:tc>
        <w:tc>
          <w:tcPr>
            <w:tcW w:w="380" w:type="pct"/>
            <w:tcBorders>
              <w:top w:val="nil"/>
              <w:left w:val="nil"/>
              <w:bottom w:val="nil"/>
              <w:right w:val="nil"/>
            </w:tcBorders>
            <w:shd w:val="clear" w:color="auto" w:fill="auto"/>
            <w:noWrap/>
            <w:vAlign w:val="bottom"/>
            <w:hideMark/>
          </w:tcPr>
          <w:p w14:paraId="47B26705"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0.40</w:t>
            </w:r>
          </w:p>
        </w:tc>
        <w:tc>
          <w:tcPr>
            <w:tcW w:w="341" w:type="pct"/>
            <w:tcBorders>
              <w:top w:val="nil"/>
              <w:left w:val="nil"/>
              <w:bottom w:val="nil"/>
              <w:right w:val="nil"/>
            </w:tcBorders>
            <w:shd w:val="clear" w:color="auto" w:fill="auto"/>
            <w:noWrap/>
            <w:vAlign w:val="bottom"/>
            <w:hideMark/>
          </w:tcPr>
          <w:p w14:paraId="2226FC44"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-0.56</w:t>
            </w:r>
          </w:p>
        </w:tc>
        <w:tc>
          <w:tcPr>
            <w:tcW w:w="341" w:type="pct"/>
            <w:tcBorders>
              <w:top w:val="nil"/>
              <w:left w:val="nil"/>
              <w:bottom w:val="nil"/>
              <w:right w:val="nil"/>
            </w:tcBorders>
            <w:shd w:val="clear" w:color="000000" w:fill="FFFF00"/>
            <w:noWrap/>
            <w:vAlign w:val="bottom"/>
            <w:hideMark/>
          </w:tcPr>
          <w:p w14:paraId="4CA88130"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-0.63</w:t>
            </w:r>
          </w:p>
        </w:tc>
        <w:tc>
          <w:tcPr>
            <w:tcW w:w="476" w:type="pct"/>
            <w:tcBorders>
              <w:top w:val="nil"/>
              <w:left w:val="nil"/>
              <w:bottom w:val="nil"/>
              <w:right w:val="nil"/>
            </w:tcBorders>
            <w:shd w:val="clear" w:color="auto" w:fill="auto"/>
            <w:noWrap/>
            <w:vAlign w:val="bottom"/>
            <w:hideMark/>
          </w:tcPr>
          <w:p w14:paraId="7770E906"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-0.31</w:t>
            </w:r>
          </w:p>
        </w:tc>
        <w:tc>
          <w:tcPr>
            <w:tcW w:w="341" w:type="pct"/>
            <w:tcBorders>
              <w:top w:val="nil"/>
              <w:left w:val="nil"/>
              <w:bottom w:val="nil"/>
              <w:right w:val="nil"/>
            </w:tcBorders>
            <w:shd w:val="clear" w:color="auto" w:fill="auto"/>
            <w:noWrap/>
            <w:vAlign w:val="bottom"/>
            <w:hideMark/>
          </w:tcPr>
          <w:p w14:paraId="41A87C2C"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0.29</w:t>
            </w:r>
          </w:p>
        </w:tc>
        <w:tc>
          <w:tcPr>
            <w:tcW w:w="341" w:type="pct"/>
            <w:tcBorders>
              <w:top w:val="nil"/>
              <w:left w:val="nil"/>
              <w:bottom w:val="nil"/>
              <w:right w:val="nil"/>
            </w:tcBorders>
            <w:shd w:val="clear" w:color="auto" w:fill="auto"/>
            <w:noWrap/>
            <w:vAlign w:val="bottom"/>
            <w:hideMark/>
          </w:tcPr>
          <w:p w14:paraId="77B07A86"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0.19</w:t>
            </w:r>
          </w:p>
        </w:tc>
        <w:tc>
          <w:tcPr>
            <w:tcW w:w="341" w:type="pct"/>
            <w:tcBorders>
              <w:top w:val="nil"/>
              <w:left w:val="nil"/>
              <w:bottom w:val="nil"/>
              <w:right w:val="nil"/>
            </w:tcBorders>
            <w:shd w:val="clear" w:color="auto" w:fill="auto"/>
            <w:noWrap/>
            <w:vAlign w:val="bottom"/>
            <w:hideMark/>
          </w:tcPr>
          <w:p w14:paraId="48595F04"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0.42</w:t>
            </w:r>
          </w:p>
        </w:tc>
        <w:tc>
          <w:tcPr>
            <w:tcW w:w="341" w:type="pct"/>
            <w:tcBorders>
              <w:top w:val="nil"/>
              <w:left w:val="nil"/>
              <w:bottom w:val="nil"/>
              <w:right w:val="nil"/>
            </w:tcBorders>
            <w:shd w:val="clear" w:color="auto" w:fill="auto"/>
            <w:noWrap/>
            <w:vAlign w:val="bottom"/>
            <w:hideMark/>
          </w:tcPr>
          <w:p w14:paraId="279EEB81"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0.19</w:t>
            </w:r>
          </w:p>
        </w:tc>
        <w:tc>
          <w:tcPr>
            <w:tcW w:w="341" w:type="pct"/>
            <w:tcBorders>
              <w:top w:val="nil"/>
              <w:left w:val="nil"/>
              <w:bottom w:val="nil"/>
              <w:right w:val="nil"/>
            </w:tcBorders>
            <w:shd w:val="clear" w:color="auto" w:fill="auto"/>
            <w:noWrap/>
            <w:vAlign w:val="bottom"/>
            <w:hideMark/>
          </w:tcPr>
          <w:p w14:paraId="16BD7F8B"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0.58</w:t>
            </w:r>
          </w:p>
        </w:tc>
        <w:tc>
          <w:tcPr>
            <w:tcW w:w="341" w:type="pct"/>
            <w:tcBorders>
              <w:top w:val="nil"/>
              <w:left w:val="nil"/>
              <w:bottom w:val="nil"/>
              <w:right w:val="nil"/>
            </w:tcBorders>
            <w:shd w:val="clear" w:color="000000" w:fill="FFFF00"/>
            <w:noWrap/>
            <w:vAlign w:val="bottom"/>
            <w:hideMark/>
          </w:tcPr>
          <w:p w14:paraId="7ED2BC80"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0.80</w:t>
            </w:r>
          </w:p>
        </w:tc>
        <w:tc>
          <w:tcPr>
            <w:tcW w:w="341" w:type="pct"/>
            <w:tcBorders>
              <w:top w:val="nil"/>
              <w:left w:val="nil"/>
              <w:bottom w:val="nil"/>
              <w:right w:val="nil"/>
            </w:tcBorders>
            <w:shd w:val="clear" w:color="auto" w:fill="auto"/>
            <w:noWrap/>
            <w:vAlign w:val="bottom"/>
            <w:hideMark/>
          </w:tcPr>
          <w:p w14:paraId="759685DD"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1</w:t>
            </w:r>
          </w:p>
        </w:tc>
        <w:tc>
          <w:tcPr>
            <w:tcW w:w="341" w:type="pct"/>
            <w:tcBorders>
              <w:top w:val="nil"/>
              <w:left w:val="nil"/>
              <w:bottom w:val="nil"/>
              <w:right w:val="nil"/>
            </w:tcBorders>
            <w:shd w:val="clear" w:color="auto" w:fill="auto"/>
            <w:noWrap/>
            <w:vAlign w:val="bottom"/>
            <w:hideMark/>
          </w:tcPr>
          <w:p w14:paraId="2A9A69CB"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0.00</w:t>
            </w:r>
          </w:p>
        </w:tc>
        <w:tc>
          <w:tcPr>
            <w:tcW w:w="341" w:type="pct"/>
            <w:tcBorders>
              <w:top w:val="nil"/>
              <w:left w:val="nil"/>
              <w:bottom w:val="nil"/>
              <w:right w:val="nil"/>
            </w:tcBorders>
            <w:shd w:val="clear" w:color="auto" w:fill="auto"/>
            <w:noWrap/>
            <w:vAlign w:val="bottom"/>
            <w:hideMark/>
          </w:tcPr>
          <w:p w14:paraId="00D969FD"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0.56</w:t>
            </w:r>
          </w:p>
        </w:tc>
      </w:tr>
      <w:tr w:rsidR="00D41D03" w:rsidRPr="00BC5198" w14:paraId="7112BED2" w14:textId="77777777" w:rsidTr="00BC5198">
        <w:trPr>
          <w:trHeight w:val="113"/>
        </w:trPr>
        <w:tc>
          <w:tcPr>
            <w:tcW w:w="393" w:type="pct"/>
            <w:tcBorders>
              <w:top w:val="nil"/>
              <w:left w:val="nil"/>
              <w:bottom w:val="nil"/>
              <w:right w:val="nil"/>
            </w:tcBorders>
            <w:shd w:val="clear" w:color="auto" w:fill="auto"/>
            <w:noWrap/>
            <w:vAlign w:val="bottom"/>
            <w:hideMark/>
          </w:tcPr>
          <w:p w14:paraId="05F0AB87" w14:textId="77777777" w:rsidR="00D41D03" w:rsidRPr="00BC5198" w:rsidRDefault="00D41D03" w:rsidP="00BC5198">
            <w:pPr>
              <w:spacing w:before="0" w:after="0"/>
              <w:jc w:val="left"/>
              <w:rPr>
                <w:rFonts w:ascii="Calibri" w:hAnsi="Calibri" w:cs="Times New Roman"/>
                <w:color w:val="000000"/>
                <w:sz w:val="20"/>
                <w:szCs w:val="20"/>
              </w:rPr>
            </w:pPr>
            <w:r w:rsidRPr="00BC5198">
              <w:rPr>
                <w:rFonts w:ascii="Calibri" w:hAnsi="Calibri" w:cs="Times New Roman"/>
                <w:color w:val="000000"/>
                <w:sz w:val="20"/>
                <w:szCs w:val="20"/>
              </w:rPr>
              <w:t>DIP</w:t>
            </w:r>
          </w:p>
        </w:tc>
        <w:tc>
          <w:tcPr>
            <w:tcW w:w="380" w:type="pct"/>
            <w:tcBorders>
              <w:top w:val="nil"/>
              <w:left w:val="nil"/>
              <w:bottom w:val="nil"/>
              <w:right w:val="nil"/>
            </w:tcBorders>
            <w:shd w:val="clear" w:color="auto" w:fill="auto"/>
            <w:noWrap/>
            <w:vAlign w:val="bottom"/>
            <w:hideMark/>
          </w:tcPr>
          <w:p w14:paraId="7CF10A68"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-0.13</w:t>
            </w:r>
          </w:p>
        </w:tc>
        <w:tc>
          <w:tcPr>
            <w:tcW w:w="341" w:type="pct"/>
            <w:tcBorders>
              <w:top w:val="nil"/>
              <w:left w:val="nil"/>
              <w:bottom w:val="nil"/>
              <w:right w:val="nil"/>
            </w:tcBorders>
            <w:shd w:val="clear" w:color="auto" w:fill="auto"/>
            <w:noWrap/>
            <w:vAlign w:val="bottom"/>
            <w:hideMark/>
          </w:tcPr>
          <w:p w14:paraId="46292E5B"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-0.15</w:t>
            </w:r>
          </w:p>
        </w:tc>
        <w:tc>
          <w:tcPr>
            <w:tcW w:w="341" w:type="pct"/>
            <w:tcBorders>
              <w:top w:val="nil"/>
              <w:left w:val="nil"/>
              <w:bottom w:val="nil"/>
              <w:right w:val="nil"/>
            </w:tcBorders>
            <w:shd w:val="clear" w:color="auto" w:fill="auto"/>
            <w:noWrap/>
            <w:vAlign w:val="bottom"/>
            <w:hideMark/>
          </w:tcPr>
          <w:p w14:paraId="34E430F3"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0.12</w:t>
            </w:r>
          </w:p>
        </w:tc>
        <w:tc>
          <w:tcPr>
            <w:tcW w:w="476" w:type="pct"/>
            <w:tcBorders>
              <w:top w:val="nil"/>
              <w:left w:val="nil"/>
              <w:bottom w:val="nil"/>
              <w:right w:val="nil"/>
            </w:tcBorders>
            <w:shd w:val="clear" w:color="auto" w:fill="auto"/>
            <w:noWrap/>
            <w:vAlign w:val="bottom"/>
            <w:hideMark/>
          </w:tcPr>
          <w:p w14:paraId="3136B697"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-0.36</w:t>
            </w:r>
          </w:p>
        </w:tc>
        <w:tc>
          <w:tcPr>
            <w:tcW w:w="341" w:type="pct"/>
            <w:tcBorders>
              <w:top w:val="nil"/>
              <w:left w:val="nil"/>
              <w:bottom w:val="nil"/>
              <w:right w:val="nil"/>
            </w:tcBorders>
            <w:shd w:val="clear" w:color="auto" w:fill="auto"/>
            <w:noWrap/>
            <w:vAlign w:val="bottom"/>
            <w:hideMark/>
          </w:tcPr>
          <w:p w14:paraId="1B07904E"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0.28</w:t>
            </w:r>
          </w:p>
        </w:tc>
        <w:tc>
          <w:tcPr>
            <w:tcW w:w="341" w:type="pct"/>
            <w:tcBorders>
              <w:top w:val="nil"/>
              <w:left w:val="nil"/>
              <w:bottom w:val="nil"/>
              <w:right w:val="nil"/>
            </w:tcBorders>
            <w:shd w:val="clear" w:color="auto" w:fill="auto"/>
            <w:noWrap/>
            <w:vAlign w:val="bottom"/>
            <w:hideMark/>
          </w:tcPr>
          <w:p w14:paraId="0C37C4D3"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0.08</w:t>
            </w:r>
          </w:p>
        </w:tc>
        <w:tc>
          <w:tcPr>
            <w:tcW w:w="341" w:type="pct"/>
            <w:tcBorders>
              <w:top w:val="nil"/>
              <w:left w:val="nil"/>
              <w:bottom w:val="nil"/>
              <w:right w:val="nil"/>
            </w:tcBorders>
            <w:shd w:val="clear" w:color="auto" w:fill="auto"/>
            <w:noWrap/>
            <w:vAlign w:val="bottom"/>
            <w:hideMark/>
          </w:tcPr>
          <w:p w14:paraId="528686E0"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-0.12</w:t>
            </w:r>
          </w:p>
        </w:tc>
        <w:tc>
          <w:tcPr>
            <w:tcW w:w="341" w:type="pct"/>
            <w:tcBorders>
              <w:top w:val="nil"/>
              <w:left w:val="nil"/>
              <w:bottom w:val="nil"/>
              <w:right w:val="nil"/>
            </w:tcBorders>
            <w:shd w:val="clear" w:color="auto" w:fill="auto"/>
            <w:noWrap/>
            <w:vAlign w:val="bottom"/>
            <w:hideMark/>
          </w:tcPr>
          <w:p w14:paraId="0DF1305F"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-0.03</w:t>
            </w:r>
          </w:p>
        </w:tc>
        <w:tc>
          <w:tcPr>
            <w:tcW w:w="341" w:type="pct"/>
            <w:tcBorders>
              <w:top w:val="nil"/>
              <w:left w:val="nil"/>
              <w:bottom w:val="nil"/>
              <w:right w:val="nil"/>
            </w:tcBorders>
            <w:shd w:val="clear" w:color="auto" w:fill="auto"/>
            <w:noWrap/>
            <w:vAlign w:val="bottom"/>
            <w:hideMark/>
          </w:tcPr>
          <w:p w14:paraId="78D95CB0"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0.26</w:t>
            </w:r>
          </w:p>
        </w:tc>
        <w:tc>
          <w:tcPr>
            <w:tcW w:w="341" w:type="pct"/>
            <w:tcBorders>
              <w:top w:val="nil"/>
              <w:left w:val="nil"/>
              <w:bottom w:val="nil"/>
              <w:right w:val="nil"/>
            </w:tcBorders>
            <w:shd w:val="clear" w:color="auto" w:fill="auto"/>
            <w:noWrap/>
            <w:vAlign w:val="bottom"/>
            <w:hideMark/>
          </w:tcPr>
          <w:p w14:paraId="45C5C446"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-0.01</w:t>
            </w:r>
          </w:p>
        </w:tc>
        <w:tc>
          <w:tcPr>
            <w:tcW w:w="341" w:type="pct"/>
            <w:tcBorders>
              <w:top w:val="nil"/>
              <w:left w:val="nil"/>
              <w:bottom w:val="nil"/>
              <w:right w:val="nil"/>
            </w:tcBorders>
            <w:shd w:val="clear" w:color="auto" w:fill="auto"/>
            <w:noWrap/>
            <w:vAlign w:val="bottom"/>
            <w:hideMark/>
          </w:tcPr>
          <w:p w14:paraId="4F07807A"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0.00</w:t>
            </w:r>
          </w:p>
        </w:tc>
        <w:tc>
          <w:tcPr>
            <w:tcW w:w="341" w:type="pct"/>
            <w:tcBorders>
              <w:top w:val="nil"/>
              <w:left w:val="nil"/>
              <w:bottom w:val="nil"/>
              <w:right w:val="nil"/>
            </w:tcBorders>
            <w:shd w:val="clear" w:color="auto" w:fill="auto"/>
            <w:noWrap/>
            <w:vAlign w:val="bottom"/>
            <w:hideMark/>
          </w:tcPr>
          <w:p w14:paraId="6DD8BA5C"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1</w:t>
            </w:r>
          </w:p>
        </w:tc>
        <w:tc>
          <w:tcPr>
            <w:tcW w:w="341" w:type="pct"/>
            <w:tcBorders>
              <w:top w:val="nil"/>
              <w:left w:val="nil"/>
              <w:bottom w:val="nil"/>
              <w:right w:val="nil"/>
            </w:tcBorders>
            <w:shd w:val="clear" w:color="auto" w:fill="auto"/>
            <w:noWrap/>
            <w:vAlign w:val="bottom"/>
            <w:hideMark/>
          </w:tcPr>
          <w:p w14:paraId="2E7246CC"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-0.14</w:t>
            </w:r>
          </w:p>
        </w:tc>
      </w:tr>
      <w:tr w:rsidR="00D41D03" w:rsidRPr="00BC5198" w14:paraId="019F8E3A" w14:textId="77777777" w:rsidTr="00BC5198">
        <w:trPr>
          <w:trHeight w:val="113"/>
        </w:trPr>
        <w:tc>
          <w:tcPr>
            <w:tcW w:w="393" w:type="pct"/>
            <w:tcBorders>
              <w:top w:val="nil"/>
              <w:left w:val="nil"/>
              <w:bottom w:val="single" w:sz="4" w:space="0" w:color="auto"/>
              <w:right w:val="nil"/>
            </w:tcBorders>
            <w:shd w:val="clear" w:color="auto" w:fill="auto"/>
            <w:noWrap/>
            <w:vAlign w:val="bottom"/>
            <w:hideMark/>
          </w:tcPr>
          <w:p w14:paraId="772F7FC3" w14:textId="77777777" w:rsidR="00D41D03" w:rsidRPr="00BC5198" w:rsidRDefault="00D41D03" w:rsidP="00BC5198">
            <w:pPr>
              <w:spacing w:before="0" w:after="0"/>
              <w:jc w:val="left"/>
              <w:rPr>
                <w:rFonts w:ascii="Calibri" w:hAnsi="Calibri" w:cs="Times New Roman"/>
                <w:color w:val="000000"/>
                <w:sz w:val="20"/>
                <w:szCs w:val="20"/>
              </w:rPr>
            </w:pPr>
            <w:r w:rsidRPr="00BC5198">
              <w:rPr>
                <w:rFonts w:ascii="Calibri" w:hAnsi="Calibri" w:cs="Times New Roman"/>
                <w:color w:val="000000"/>
                <w:sz w:val="20"/>
                <w:szCs w:val="20"/>
              </w:rPr>
              <w:t>Si</w:t>
            </w:r>
          </w:p>
        </w:tc>
        <w:tc>
          <w:tcPr>
            <w:tcW w:w="380" w:type="pct"/>
            <w:tcBorders>
              <w:top w:val="nil"/>
              <w:left w:val="nil"/>
              <w:bottom w:val="single" w:sz="4" w:space="0" w:color="auto"/>
              <w:right w:val="nil"/>
            </w:tcBorders>
            <w:shd w:val="clear" w:color="000000" w:fill="FFFF00"/>
            <w:noWrap/>
            <w:vAlign w:val="bottom"/>
            <w:hideMark/>
          </w:tcPr>
          <w:p w14:paraId="7445573E"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0.62</w:t>
            </w:r>
          </w:p>
        </w:tc>
        <w:tc>
          <w:tcPr>
            <w:tcW w:w="341" w:type="pct"/>
            <w:tcBorders>
              <w:top w:val="nil"/>
              <w:left w:val="nil"/>
              <w:bottom w:val="single" w:sz="4" w:space="0" w:color="auto"/>
              <w:right w:val="nil"/>
            </w:tcBorders>
            <w:shd w:val="clear" w:color="auto" w:fill="auto"/>
            <w:noWrap/>
            <w:vAlign w:val="bottom"/>
            <w:hideMark/>
          </w:tcPr>
          <w:p w14:paraId="2330EC06"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-0.52</w:t>
            </w:r>
          </w:p>
        </w:tc>
        <w:tc>
          <w:tcPr>
            <w:tcW w:w="341" w:type="pct"/>
            <w:tcBorders>
              <w:top w:val="nil"/>
              <w:left w:val="nil"/>
              <w:bottom w:val="single" w:sz="4" w:space="0" w:color="auto"/>
              <w:right w:val="nil"/>
            </w:tcBorders>
            <w:shd w:val="clear" w:color="000000" w:fill="FFFF00"/>
            <w:noWrap/>
            <w:vAlign w:val="bottom"/>
            <w:hideMark/>
          </w:tcPr>
          <w:p w14:paraId="26DB5775"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-0.93</w:t>
            </w:r>
          </w:p>
        </w:tc>
        <w:tc>
          <w:tcPr>
            <w:tcW w:w="476" w:type="pct"/>
            <w:tcBorders>
              <w:top w:val="nil"/>
              <w:left w:val="nil"/>
              <w:bottom w:val="single" w:sz="4" w:space="0" w:color="auto"/>
              <w:right w:val="nil"/>
            </w:tcBorders>
            <w:shd w:val="clear" w:color="auto" w:fill="auto"/>
            <w:noWrap/>
            <w:vAlign w:val="bottom"/>
            <w:hideMark/>
          </w:tcPr>
          <w:p w14:paraId="47B6DC99"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-0.59</w:t>
            </w:r>
          </w:p>
        </w:tc>
        <w:tc>
          <w:tcPr>
            <w:tcW w:w="341" w:type="pct"/>
            <w:tcBorders>
              <w:top w:val="nil"/>
              <w:left w:val="nil"/>
              <w:bottom w:val="single" w:sz="4" w:space="0" w:color="auto"/>
              <w:right w:val="nil"/>
            </w:tcBorders>
            <w:shd w:val="clear" w:color="auto" w:fill="auto"/>
            <w:noWrap/>
            <w:vAlign w:val="bottom"/>
            <w:hideMark/>
          </w:tcPr>
          <w:p w14:paraId="4D39C328"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0.41</w:t>
            </w:r>
          </w:p>
        </w:tc>
        <w:tc>
          <w:tcPr>
            <w:tcW w:w="341" w:type="pct"/>
            <w:tcBorders>
              <w:top w:val="nil"/>
              <w:left w:val="nil"/>
              <w:bottom w:val="single" w:sz="4" w:space="0" w:color="auto"/>
              <w:right w:val="nil"/>
            </w:tcBorders>
            <w:shd w:val="clear" w:color="auto" w:fill="auto"/>
            <w:noWrap/>
            <w:vAlign w:val="bottom"/>
            <w:hideMark/>
          </w:tcPr>
          <w:p w14:paraId="3C00ACC0"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0.34</w:t>
            </w:r>
          </w:p>
        </w:tc>
        <w:tc>
          <w:tcPr>
            <w:tcW w:w="341" w:type="pct"/>
            <w:tcBorders>
              <w:top w:val="nil"/>
              <w:left w:val="nil"/>
              <w:bottom w:val="single" w:sz="4" w:space="0" w:color="auto"/>
              <w:right w:val="nil"/>
            </w:tcBorders>
            <w:shd w:val="clear" w:color="auto" w:fill="auto"/>
            <w:noWrap/>
            <w:vAlign w:val="bottom"/>
            <w:hideMark/>
          </w:tcPr>
          <w:p w14:paraId="00F005B7"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0.33</w:t>
            </w:r>
          </w:p>
        </w:tc>
        <w:tc>
          <w:tcPr>
            <w:tcW w:w="341" w:type="pct"/>
            <w:tcBorders>
              <w:top w:val="nil"/>
              <w:left w:val="nil"/>
              <w:bottom w:val="single" w:sz="4" w:space="0" w:color="auto"/>
              <w:right w:val="nil"/>
            </w:tcBorders>
            <w:shd w:val="clear" w:color="auto" w:fill="auto"/>
            <w:noWrap/>
            <w:vAlign w:val="bottom"/>
            <w:hideMark/>
          </w:tcPr>
          <w:p w14:paraId="1317E74B"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0.02</w:t>
            </w:r>
          </w:p>
        </w:tc>
        <w:tc>
          <w:tcPr>
            <w:tcW w:w="341" w:type="pct"/>
            <w:tcBorders>
              <w:top w:val="nil"/>
              <w:left w:val="nil"/>
              <w:bottom w:val="single" w:sz="4" w:space="0" w:color="auto"/>
              <w:right w:val="nil"/>
            </w:tcBorders>
            <w:shd w:val="clear" w:color="auto" w:fill="auto"/>
            <w:noWrap/>
            <w:vAlign w:val="bottom"/>
            <w:hideMark/>
          </w:tcPr>
          <w:p w14:paraId="1710E95D"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0.45</w:t>
            </w:r>
          </w:p>
        </w:tc>
        <w:tc>
          <w:tcPr>
            <w:tcW w:w="341" w:type="pct"/>
            <w:tcBorders>
              <w:top w:val="nil"/>
              <w:left w:val="nil"/>
              <w:bottom w:val="single" w:sz="4" w:space="0" w:color="auto"/>
              <w:right w:val="nil"/>
            </w:tcBorders>
            <w:shd w:val="clear" w:color="auto" w:fill="auto"/>
            <w:noWrap/>
            <w:vAlign w:val="bottom"/>
            <w:hideMark/>
          </w:tcPr>
          <w:p w14:paraId="7ED54DD7"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0.48</w:t>
            </w:r>
          </w:p>
        </w:tc>
        <w:tc>
          <w:tcPr>
            <w:tcW w:w="341" w:type="pct"/>
            <w:tcBorders>
              <w:top w:val="nil"/>
              <w:left w:val="nil"/>
              <w:bottom w:val="single" w:sz="4" w:space="0" w:color="auto"/>
              <w:right w:val="nil"/>
            </w:tcBorders>
            <w:shd w:val="clear" w:color="auto" w:fill="auto"/>
            <w:noWrap/>
            <w:vAlign w:val="bottom"/>
            <w:hideMark/>
          </w:tcPr>
          <w:p w14:paraId="58182A60"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0.56</w:t>
            </w:r>
          </w:p>
        </w:tc>
        <w:tc>
          <w:tcPr>
            <w:tcW w:w="341" w:type="pct"/>
            <w:tcBorders>
              <w:top w:val="nil"/>
              <w:left w:val="nil"/>
              <w:bottom w:val="single" w:sz="4" w:space="0" w:color="auto"/>
              <w:right w:val="nil"/>
            </w:tcBorders>
            <w:shd w:val="clear" w:color="auto" w:fill="auto"/>
            <w:noWrap/>
            <w:vAlign w:val="bottom"/>
            <w:hideMark/>
          </w:tcPr>
          <w:p w14:paraId="321E9173"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-0.14</w:t>
            </w:r>
          </w:p>
        </w:tc>
        <w:tc>
          <w:tcPr>
            <w:tcW w:w="341" w:type="pct"/>
            <w:tcBorders>
              <w:top w:val="nil"/>
              <w:left w:val="nil"/>
              <w:bottom w:val="single" w:sz="4" w:space="0" w:color="auto"/>
              <w:right w:val="nil"/>
            </w:tcBorders>
            <w:shd w:val="clear" w:color="auto" w:fill="auto"/>
            <w:noWrap/>
            <w:vAlign w:val="bottom"/>
            <w:hideMark/>
          </w:tcPr>
          <w:p w14:paraId="59BEA3D2" w14:textId="77777777" w:rsidR="00D41D03" w:rsidRPr="00BC5198" w:rsidRDefault="00D41D03" w:rsidP="00BC5198">
            <w:pPr>
              <w:spacing w:before="0" w:after="0"/>
              <w:jc w:val="center"/>
              <w:rPr>
                <w:rFonts w:ascii="Calibri" w:hAnsi="Calibri" w:cs="Times New Roman"/>
                <w:color w:val="000000"/>
                <w:sz w:val="20"/>
                <w:szCs w:val="20"/>
              </w:rPr>
            </w:pPr>
            <w:r w:rsidRPr="00BC5198">
              <w:rPr>
                <w:rFonts w:ascii="Calibri" w:hAnsi="Calibri" w:cs="Times New Roman"/>
                <w:color w:val="000000"/>
                <w:sz w:val="20"/>
                <w:szCs w:val="20"/>
              </w:rPr>
              <w:t>1</w:t>
            </w:r>
          </w:p>
        </w:tc>
      </w:tr>
    </w:tbl>
    <w:p w14:paraId="611FFFDD" w14:textId="77777777" w:rsidR="00AF1274" w:rsidRDefault="00AF1274" w:rsidP="00AF1274">
      <w:bookmarkStart w:id="158" w:name="_Toc428793320"/>
      <w:bookmarkStart w:id="159" w:name="_Toc428851339"/>
    </w:p>
    <w:p w14:paraId="23A7B55A" w14:textId="6AADBCD0" w:rsidR="000313CF" w:rsidRPr="00B46AF9" w:rsidRDefault="000313CF" w:rsidP="00B46AF9">
      <w:pPr>
        <w:pStyle w:val="Heading2"/>
      </w:pPr>
      <w:bookmarkStart w:id="160" w:name="_Toc443299480"/>
      <w:bookmarkStart w:id="161" w:name="_Toc443299693"/>
      <w:bookmarkStart w:id="162" w:name="_Toc454304713"/>
      <w:r w:rsidRPr="00B46AF9">
        <w:t xml:space="preserve">Data analysis </w:t>
      </w:r>
      <w:r w:rsidR="00AF1274" w:rsidRPr="00B46AF9">
        <w:t>–</w:t>
      </w:r>
      <w:r w:rsidRPr="00B46AF9">
        <w:t xml:space="preserve"> </w:t>
      </w:r>
      <w:r w:rsidR="00BE1A79">
        <w:t>T</w:t>
      </w:r>
      <w:r w:rsidRPr="00B46AF9">
        <w:t>emporal</w:t>
      </w:r>
      <w:bookmarkEnd w:id="160"/>
      <w:bookmarkEnd w:id="161"/>
      <w:bookmarkEnd w:id="162"/>
    </w:p>
    <w:bookmarkEnd w:id="158"/>
    <w:bookmarkEnd w:id="159"/>
    <w:p w14:paraId="73E50A7E" w14:textId="77777777" w:rsidR="001D6FE0" w:rsidRDefault="00AF1274" w:rsidP="0065493C">
      <w:pPr>
        <w:rPr>
          <w:lang w:val="en-US"/>
        </w:rPr>
      </w:pPr>
      <w:r>
        <w:rPr>
          <w:lang w:val="en-US"/>
        </w:rPr>
        <w:t>The results of Spearman rank c</w:t>
      </w:r>
      <w:r w:rsidR="001D6FE0">
        <w:rPr>
          <w:lang w:val="en-US"/>
        </w:rPr>
        <w:t>orrelation</w:t>
      </w:r>
      <w:r w:rsidR="00A64178">
        <w:rPr>
          <w:lang w:val="en-US"/>
        </w:rPr>
        <w:t xml:space="preserve"> </w:t>
      </w:r>
      <w:r w:rsidR="00A64178" w:rsidRPr="001D6FE0">
        <w:rPr>
          <w:lang w:val="en-US"/>
        </w:rPr>
        <w:t>f</w:t>
      </w:r>
      <w:r w:rsidR="00A64178">
        <w:rPr>
          <w:lang w:val="en-US"/>
        </w:rPr>
        <w:t>rom</w:t>
      </w:r>
      <w:r w:rsidR="00A64178" w:rsidRPr="001D6FE0">
        <w:rPr>
          <w:lang w:val="en-US"/>
        </w:rPr>
        <w:t xml:space="preserve"> the four most frequent sampled transects over the </w:t>
      </w:r>
      <w:r w:rsidR="00BC5198">
        <w:rPr>
          <w:lang w:val="en-US"/>
        </w:rPr>
        <w:t>GBR</w:t>
      </w:r>
      <w:r w:rsidR="00A64178" w:rsidRPr="001D6FE0">
        <w:rPr>
          <w:lang w:val="en-US"/>
        </w:rPr>
        <w:t xml:space="preserve"> in the last 9 wet seasons</w:t>
      </w:r>
      <w:r w:rsidR="001D6FE0">
        <w:rPr>
          <w:lang w:val="en-US"/>
        </w:rPr>
        <w:t xml:space="preserve"> </w:t>
      </w:r>
      <w:r w:rsidR="00D2332A">
        <w:rPr>
          <w:lang w:val="en-US"/>
        </w:rPr>
        <w:t xml:space="preserve">(Tully, Franklands Burdekin, Fitzroy) </w:t>
      </w:r>
      <w:r w:rsidR="009919D4">
        <w:rPr>
          <w:lang w:val="en-US"/>
        </w:rPr>
        <w:t>show</w:t>
      </w:r>
      <w:r w:rsidR="00A64178">
        <w:rPr>
          <w:lang w:val="en-US"/>
        </w:rPr>
        <w:t xml:space="preserve"> more conclusive correlations than compared to single year correlations</w:t>
      </w:r>
      <w:r>
        <w:rPr>
          <w:lang w:val="en-US"/>
        </w:rPr>
        <w:t xml:space="preserve"> (</w:t>
      </w:r>
      <w:r w:rsidR="00A64178">
        <w:rPr>
          <w:lang w:val="en-US"/>
        </w:rPr>
        <w:t>T</w:t>
      </w:r>
      <w:r>
        <w:rPr>
          <w:lang w:val="en-US"/>
        </w:rPr>
        <w:t xml:space="preserve">able 4-5, Table </w:t>
      </w:r>
      <w:r w:rsidR="00A64178">
        <w:rPr>
          <w:lang w:val="en-US"/>
        </w:rPr>
        <w:t>4-6</w:t>
      </w:r>
      <w:r>
        <w:rPr>
          <w:lang w:val="en-US"/>
        </w:rPr>
        <w:t>)</w:t>
      </w:r>
      <w:r w:rsidR="00A64178">
        <w:rPr>
          <w:lang w:val="en-US"/>
        </w:rPr>
        <w:t xml:space="preserve">. </w:t>
      </w:r>
      <w:r>
        <w:rPr>
          <w:lang w:val="en-US"/>
        </w:rPr>
        <w:t xml:space="preserve"> </w:t>
      </w:r>
      <w:r w:rsidR="00A64178">
        <w:rPr>
          <w:lang w:val="en-US"/>
        </w:rPr>
        <w:t xml:space="preserve">All </w:t>
      </w:r>
      <w:r w:rsidR="001D6FE0">
        <w:rPr>
          <w:lang w:val="en-US"/>
        </w:rPr>
        <w:t xml:space="preserve"> WQ parameters</w:t>
      </w:r>
      <w:r w:rsidR="00A64178">
        <w:rPr>
          <w:lang w:val="en-US"/>
        </w:rPr>
        <w:t xml:space="preserve"> in the four most frequently sampled transects</w:t>
      </w:r>
      <w:r>
        <w:rPr>
          <w:lang w:val="en-US"/>
        </w:rPr>
        <w:t xml:space="preserve"> </w:t>
      </w:r>
      <w:r w:rsidR="001D6FE0">
        <w:rPr>
          <w:lang w:val="en-US"/>
        </w:rPr>
        <w:t>were te</w:t>
      </w:r>
      <w:r w:rsidR="00DE47B8">
        <w:rPr>
          <w:lang w:val="en-US"/>
        </w:rPr>
        <w:t>s</w:t>
      </w:r>
      <w:r w:rsidR="001D6FE0">
        <w:rPr>
          <w:lang w:val="en-US"/>
        </w:rPr>
        <w:t>ted against 5-day mean river discharge</w:t>
      </w:r>
      <w:r w:rsidR="00A64178">
        <w:rPr>
          <w:lang w:val="en-US"/>
        </w:rPr>
        <w:t xml:space="preserve"> (Table 4-7) and salinity (Table 4-8)</w:t>
      </w:r>
      <w:r w:rsidR="001D6FE0">
        <w:rPr>
          <w:lang w:val="en-US"/>
        </w:rPr>
        <w:t xml:space="preserve">. </w:t>
      </w:r>
    </w:p>
    <w:p w14:paraId="34D08AF2" w14:textId="77777777" w:rsidR="00BF10D1" w:rsidRDefault="00BF10D1" w:rsidP="0065493C">
      <w:pPr>
        <w:rPr>
          <w:lang w:val="en-US"/>
        </w:rPr>
      </w:pPr>
      <w:r>
        <w:rPr>
          <w:lang w:val="en-US"/>
        </w:rPr>
        <w:t>CDOM was positively correlated with discharge for sites within the Burdekin and Fitzroy regions. Si was positively correlated with discharge for Tully and Russell-Mulgrave (</w:t>
      </w:r>
      <w:r w:rsidR="00146710">
        <w:rPr>
          <w:lang w:val="en-US"/>
        </w:rPr>
        <w:t>Frankland Island group</w:t>
      </w:r>
      <w:r>
        <w:rPr>
          <w:lang w:val="en-US"/>
        </w:rPr>
        <w:t xml:space="preserve">) regions. TN and TP were positively correlated with discharge for Fitzroy and Burdekin respectively </w:t>
      </w:r>
      <w:r w:rsidR="00BC5198">
        <w:rPr>
          <w:lang w:val="en-US"/>
        </w:rPr>
        <w:t>(</w:t>
      </w:r>
      <w:r>
        <w:rPr>
          <w:lang w:val="en-US"/>
        </w:rPr>
        <w:t xml:space="preserve">Table 4-7). </w:t>
      </w:r>
    </w:p>
    <w:p w14:paraId="3F6F3377" w14:textId="77777777" w:rsidR="00BF10D1" w:rsidRDefault="00BF10D1" w:rsidP="0065493C">
      <w:pPr>
        <w:rPr>
          <w:lang w:val="en-US"/>
        </w:rPr>
      </w:pPr>
      <w:r>
        <w:rPr>
          <w:lang w:val="en-US"/>
        </w:rPr>
        <w:t xml:space="preserve">Significant correlations were more evident against salinity for all regions. CDOM was negatively correlated with salinity for all regions, again illustrating its ability as a proxy for salinity and other WQ </w:t>
      </w:r>
      <w:r w:rsidR="009919D4">
        <w:rPr>
          <w:lang w:val="en-US"/>
        </w:rPr>
        <w:t xml:space="preserve">components with conservative mixing behavior. </w:t>
      </w:r>
      <w:r>
        <w:rPr>
          <w:lang w:val="en-US"/>
        </w:rPr>
        <w:t xml:space="preserve">Si, with exception of Burdekin, was </w:t>
      </w:r>
      <w:r w:rsidR="00C83AAE">
        <w:rPr>
          <w:lang w:val="en-US"/>
        </w:rPr>
        <w:t>significantly</w:t>
      </w:r>
      <w:r>
        <w:rPr>
          <w:lang w:val="en-US"/>
        </w:rPr>
        <w:t xml:space="preserve"> correlated against salinity. </w:t>
      </w:r>
      <w:r w:rsidR="00C83AAE">
        <w:rPr>
          <w:lang w:val="en-US"/>
        </w:rPr>
        <w:t xml:space="preserve">Particulate and dissolved nutrients, with exception of PN, were all significantly correlated with salinity for the Burdekin highlighting the importance of the Burdekin river in large flow as a significant mechanism for the movement of anthropogenic nutrients. </w:t>
      </w:r>
    </w:p>
    <w:p w14:paraId="281635FF" w14:textId="77777777" w:rsidR="00C83AAE" w:rsidRDefault="00C83AAE" w:rsidP="0065493C">
      <w:pPr>
        <w:rPr>
          <w:lang w:val="en-US"/>
        </w:rPr>
      </w:pPr>
    </w:p>
    <w:p w14:paraId="77224256" w14:textId="77777777" w:rsidR="00C83AAE" w:rsidRDefault="00C83AAE" w:rsidP="0065493C">
      <w:pPr>
        <w:rPr>
          <w:lang w:val="en-US"/>
        </w:rPr>
      </w:pPr>
    </w:p>
    <w:p w14:paraId="7857E11D" w14:textId="77777777" w:rsidR="00C83AAE" w:rsidRDefault="00C83AAE" w:rsidP="0065493C">
      <w:pPr>
        <w:rPr>
          <w:lang w:val="en-US"/>
        </w:rPr>
      </w:pPr>
    </w:p>
    <w:p w14:paraId="5E6409BF" w14:textId="77777777" w:rsidR="00C83AAE" w:rsidRDefault="00C83AAE" w:rsidP="0065493C">
      <w:pPr>
        <w:rPr>
          <w:lang w:val="en-US"/>
        </w:rPr>
      </w:pPr>
    </w:p>
    <w:p w14:paraId="3ED6DA19" w14:textId="77777777" w:rsidR="00C83AAE" w:rsidRDefault="00C83AAE" w:rsidP="0065493C">
      <w:pPr>
        <w:rPr>
          <w:lang w:val="en-US"/>
        </w:rPr>
      </w:pPr>
    </w:p>
    <w:p w14:paraId="5379D8A2" w14:textId="0EB2239D" w:rsidR="001D6FE0" w:rsidRPr="00A64178" w:rsidRDefault="00A64178" w:rsidP="00A64178">
      <w:pPr>
        <w:pStyle w:val="Caption"/>
        <w:rPr>
          <w:rFonts w:cs="Courier New"/>
          <w:sz w:val="24"/>
        </w:rPr>
      </w:pPr>
      <w:bookmarkStart w:id="163" w:name="_Toc454304612"/>
      <w:r>
        <w:lastRenderedPageBreak/>
        <w:t xml:space="preserve">Table </w:t>
      </w:r>
      <w:r w:rsidR="00445BD2">
        <w:fldChar w:fldCharType="begin"/>
      </w:r>
      <w:r w:rsidR="00445BD2">
        <w:instrText xml:space="preserve"> STYLEREF 1 \s </w:instrText>
      </w:r>
      <w:r w:rsidR="00445BD2">
        <w:fldChar w:fldCharType="separate"/>
      </w:r>
      <w:r w:rsidR="000E22F3">
        <w:rPr>
          <w:noProof/>
        </w:rPr>
        <w:t>4</w:t>
      </w:r>
      <w:r w:rsidR="00445BD2">
        <w:fldChar w:fldCharType="end"/>
      </w:r>
      <w:r w:rsidR="00445BD2">
        <w:noBreakHyphen/>
      </w:r>
      <w:r w:rsidR="00445BD2">
        <w:fldChar w:fldCharType="begin"/>
      </w:r>
      <w:r w:rsidR="00445BD2">
        <w:instrText xml:space="preserve"> SEQ Table \* ARABIC \s 1 </w:instrText>
      </w:r>
      <w:r w:rsidR="00445BD2">
        <w:fldChar w:fldCharType="separate"/>
      </w:r>
      <w:r w:rsidR="000E22F3">
        <w:rPr>
          <w:noProof/>
        </w:rPr>
        <w:t>7</w:t>
      </w:r>
      <w:r w:rsidR="00445BD2">
        <w:fldChar w:fldCharType="end"/>
      </w:r>
      <w:r>
        <w:t xml:space="preserve">: </w:t>
      </w:r>
      <w:r w:rsidR="001D6FE0" w:rsidRPr="001D6FE0">
        <w:rPr>
          <w:lang w:val="en-US"/>
        </w:rPr>
        <w:t>Spearman’s rank correlation coefficients f</w:t>
      </w:r>
      <w:r w:rsidR="00DE47B8">
        <w:rPr>
          <w:lang w:val="en-US"/>
        </w:rPr>
        <w:t>rom</w:t>
      </w:r>
      <w:r w:rsidR="001D6FE0" w:rsidRPr="001D6FE0">
        <w:rPr>
          <w:lang w:val="en-US"/>
        </w:rPr>
        <w:t xml:space="preserve"> the four most frequent sampled transects over the </w:t>
      </w:r>
      <w:r w:rsidR="0021644E">
        <w:rPr>
          <w:lang w:val="en-US"/>
        </w:rPr>
        <w:t>GBR</w:t>
      </w:r>
      <w:r w:rsidR="00BF10D1">
        <w:rPr>
          <w:lang w:val="en-US"/>
        </w:rPr>
        <w:t xml:space="preserve"> (2006 – 2014). </w:t>
      </w:r>
      <w:r w:rsidR="001D6FE0" w:rsidRPr="001D6FE0">
        <w:rPr>
          <w:lang w:val="en-US"/>
        </w:rPr>
        <w:t xml:space="preserve"> Values stand for correlation coefficient between the </w:t>
      </w:r>
      <w:r w:rsidR="001D6FE0" w:rsidRPr="00A64178">
        <w:rPr>
          <w:i/>
          <w:lang w:val="en-US"/>
        </w:rPr>
        <w:t>total wet season river discharge</w:t>
      </w:r>
      <w:r w:rsidR="001D6FE0" w:rsidRPr="001D6FE0">
        <w:rPr>
          <w:lang w:val="en-US"/>
        </w:rPr>
        <w:t xml:space="preserve"> (Table 3-6) and the WQ parameters: TSS</w:t>
      </w:r>
      <w:r>
        <w:rPr>
          <w:lang w:val="en-US"/>
        </w:rPr>
        <w:t xml:space="preserve">, </w:t>
      </w:r>
      <w:r w:rsidR="0021644E">
        <w:rPr>
          <w:lang w:val="en-US"/>
        </w:rPr>
        <w:t>C</w:t>
      </w:r>
      <w:r w:rsidR="001D6FE0" w:rsidRPr="001D6FE0">
        <w:rPr>
          <w:lang w:val="en-US"/>
        </w:rPr>
        <w:t xml:space="preserve">hl-a), </w:t>
      </w:r>
      <w:r>
        <w:rPr>
          <w:lang w:val="en-US"/>
        </w:rPr>
        <w:t>TN</w:t>
      </w:r>
      <w:r w:rsidR="001D6FE0" w:rsidRPr="001D6FE0">
        <w:rPr>
          <w:lang w:val="en-US"/>
        </w:rPr>
        <w:t xml:space="preserve">, TDN, </w:t>
      </w:r>
      <w:r>
        <w:rPr>
          <w:lang w:val="en-US"/>
        </w:rPr>
        <w:t>DIN</w:t>
      </w:r>
      <w:r w:rsidR="001D6FE0" w:rsidRPr="001D6FE0">
        <w:rPr>
          <w:lang w:val="en-US"/>
        </w:rPr>
        <w:t xml:space="preserve">, </w:t>
      </w:r>
      <w:r>
        <w:rPr>
          <w:lang w:val="en-US"/>
        </w:rPr>
        <w:t>TP</w:t>
      </w:r>
      <w:r w:rsidR="001D6FE0" w:rsidRPr="001D6FE0">
        <w:rPr>
          <w:lang w:val="en-US"/>
        </w:rPr>
        <w:t xml:space="preserve">, </w:t>
      </w:r>
      <w:r>
        <w:rPr>
          <w:lang w:val="en-US"/>
        </w:rPr>
        <w:t>TDP</w:t>
      </w:r>
      <w:r w:rsidR="001D6FE0" w:rsidRPr="001D6FE0">
        <w:rPr>
          <w:lang w:val="en-US"/>
        </w:rPr>
        <w:t xml:space="preserve">, </w:t>
      </w:r>
      <w:r>
        <w:rPr>
          <w:lang w:val="en-US"/>
        </w:rPr>
        <w:t>DIP,</w:t>
      </w:r>
      <w:r w:rsidR="001D6FE0" w:rsidRPr="001D6FE0">
        <w:rPr>
          <w:lang w:val="en-US"/>
        </w:rPr>
        <w:t xml:space="preserve"> </w:t>
      </w:r>
      <w:r>
        <w:rPr>
          <w:lang w:val="en-US"/>
        </w:rPr>
        <w:t>PN</w:t>
      </w:r>
      <w:r w:rsidR="001D6FE0" w:rsidRPr="001D6FE0">
        <w:rPr>
          <w:lang w:val="en-US"/>
        </w:rPr>
        <w:t xml:space="preserve">, </w:t>
      </w:r>
      <w:r>
        <w:rPr>
          <w:lang w:val="en-US"/>
        </w:rPr>
        <w:t xml:space="preserve">PP. </w:t>
      </w:r>
      <w:r w:rsidR="001D6FE0" w:rsidRPr="001D6FE0">
        <w:rPr>
          <w:lang w:val="en-US"/>
        </w:rPr>
        <w:t xml:space="preserve"> Highlighted values</w:t>
      </w:r>
      <w:r w:rsidR="001D6FE0">
        <w:rPr>
          <w:lang w:val="en-US"/>
        </w:rPr>
        <w:t xml:space="preserve"> have correlation &gt; 0.6 or &lt;-0.6 and</w:t>
      </w:r>
      <w:r w:rsidR="001D6FE0" w:rsidRPr="001D6FE0">
        <w:rPr>
          <w:lang w:val="en-US"/>
        </w:rPr>
        <w:t xml:space="preserve"> are significa</w:t>
      </w:r>
      <w:r w:rsidR="00F73D82">
        <w:rPr>
          <w:lang w:val="en-US"/>
        </w:rPr>
        <w:t>nt</w:t>
      </w:r>
      <w:r w:rsidR="001D6FE0" w:rsidRPr="001D6FE0">
        <w:rPr>
          <w:lang w:val="en-US"/>
        </w:rPr>
        <w:t xml:space="preserve"> at p &lt; 0.01.</w:t>
      </w:r>
      <w:bookmarkEnd w:id="163"/>
    </w:p>
    <w:tbl>
      <w:tblPr>
        <w:tblW w:w="8733" w:type="dxa"/>
        <w:tblInd w:w="93" w:type="dxa"/>
        <w:tblLook w:val="04A0" w:firstRow="1" w:lastRow="0" w:firstColumn="1" w:lastColumn="0" w:noHBand="0" w:noVBand="1"/>
        <w:tblCaption w:val="Spearman’s rank correlation coefficients from the four most frequent sampled transects over the GRB (2006 – 2014)."/>
        <w:tblDescription w:val="Spearman’s rank correlation coefficients from the four most frequent sampled transects over the GRB (2006 – 2014).  Values stand for correlation coefficient between the total wet season river discharge (Table 3-6) and the WQ parameters: TSS , chl-a), TN, TDN, DIN, TP, TDP, DIP, PN, PP.  Highlighted values have correlation &gt; 0.6 or &lt;-0.6 and are significate at p &lt; 0.01."/>
      </w:tblPr>
      <w:tblGrid>
        <w:gridCol w:w="1247"/>
        <w:gridCol w:w="1738"/>
        <w:gridCol w:w="1340"/>
        <w:gridCol w:w="2340"/>
        <w:gridCol w:w="2068"/>
      </w:tblGrid>
      <w:tr w:rsidR="009919D4" w:rsidRPr="00D2332A" w14:paraId="4008F5A2" w14:textId="77777777" w:rsidTr="00BF10D1">
        <w:trPr>
          <w:trHeight w:val="300"/>
        </w:trPr>
        <w:tc>
          <w:tcPr>
            <w:tcW w:w="1247" w:type="dxa"/>
            <w:tcBorders>
              <w:top w:val="single" w:sz="4" w:space="0" w:color="auto"/>
              <w:left w:val="nil"/>
              <w:bottom w:val="single" w:sz="4" w:space="0" w:color="auto"/>
              <w:right w:val="nil"/>
            </w:tcBorders>
            <w:shd w:val="clear" w:color="auto" w:fill="auto"/>
            <w:noWrap/>
            <w:vAlign w:val="bottom"/>
            <w:hideMark/>
          </w:tcPr>
          <w:p w14:paraId="047899BE" w14:textId="77777777" w:rsidR="009919D4" w:rsidRPr="00D2332A" w:rsidRDefault="009919D4" w:rsidP="00D47A52">
            <w:pPr>
              <w:spacing w:before="0" w:after="0"/>
              <w:jc w:val="left"/>
              <w:rPr>
                <w:rFonts w:cs="Times New Roman"/>
                <w:color w:val="000000"/>
                <w:sz w:val="20"/>
                <w:szCs w:val="20"/>
              </w:rPr>
            </w:pPr>
            <w:r w:rsidRPr="00D2332A">
              <w:rPr>
                <w:rFonts w:cs="Times New Roman"/>
                <w:color w:val="000000"/>
                <w:sz w:val="20"/>
                <w:szCs w:val="20"/>
              </w:rPr>
              <w:t> </w:t>
            </w:r>
          </w:p>
        </w:tc>
        <w:tc>
          <w:tcPr>
            <w:tcW w:w="1738" w:type="dxa"/>
            <w:tcBorders>
              <w:top w:val="single" w:sz="4" w:space="0" w:color="auto"/>
              <w:left w:val="nil"/>
              <w:bottom w:val="single" w:sz="4" w:space="0" w:color="auto"/>
              <w:right w:val="nil"/>
            </w:tcBorders>
            <w:shd w:val="clear" w:color="auto" w:fill="auto"/>
            <w:noWrap/>
            <w:vAlign w:val="bottom"/>
            <w:hideMark/>
          </w:tcPr>
          <w:p w14:paraId="21AECE2A" w14:textId="77777777" w:rsidR="009919D4" w:rsidRPr="00D2332A" w:rsidRDefault="009919D4" w:rsidP="00D47A52">
            <w:pPr>
              <w:spacing w:before="0" w:after="0"/>
              <w:jc w:val="left"/>
              <w:rPr>
                <w:rFonts w:cs="Times New Roman"/>
                <w:color w:val="000000"/>
                <w:sz w:val="20"/>
                <w:szCs w:val="20"/>
              </w:rPr>
            </w:pPr>
            <w:r w:rsidRPr="00D2332A">
              <w:rPr>
                <w:rFonts w:cs="Times New Roman"/>
                <w:color w:val="000000"/>
                <w:sz w:val="20"/>
                <w:szCs w:val="20"/>
              </w:rPr>
              <w:t>Tully to Sisters</w:t>
            </w:r>
          </w:p>
        </w:tc>
        <w:tc>
          <w:tcPr>
            <w:tcW w:w="1340" w:type="dxa"/>
            <w:tcBorders>
              <w:top w:val="single" w:sz="4" w:space="0" w:color="auto"/>
              <w:left w:val="nil"/>
              <w:bottom w:val="single" w:sz="4" w:space="0" w:color="auto"/>
              <w:right w:val="nil"/>
            </w:tcBorders>
            <w:shd w:val="clear" w:color="auto" w:fill="auto"/>
            <w:noWrap/>
            <w:vAlign w:val="bottom"/>
            <w:hideMark/>
          </w:tcPr>
          <w:p w14:paraId="4A27E751" w14:textId="77777777" w:rsidR="009919D4" w:rsidRPr="00D2332A" w:rsidRDefault="009919D4" w:rsidP="00146710">
            <w:pPr>
              <w:spacing w:before="0" w:after="0"/>
              <w:jc w:val="center"/>
              <w:rPr>
                <w:rFonts w:cs="Times New Roman"/>
                <w:color w:val="000000"/>
                <w:sz w:val="20"/>
                <w:szCs w:val="20"/>
              </w:rPr>
            </w:pPr>
            <w:r w:rsidRPr="00D2332A">
              <w:rPr>
                <w:rFonts w:cs="Times New Roman"/>
                <w:color w:val="000000"/>
                <w:sz w:val="20"/>
                <w:szCs w:val="20"/>
              </w:rPr>
              <w:t>Frankl</w:t>
            </w:r>
            <w:r w:rsidR="00146710">
              <w:rPr>
                <w:rFonts w:cs="Times New Roman"/>
                <w:color w:val="000000"/>
                <w:sz w:val="20"/>
                <w:szCs w:val="20"/>
              </w:rPr>
              <w:t>and Group</w:t>
            </w:r>
          </w:p>
        </w:tc>
        <w:tc>
          <w:tcPr>
            <w:tcW w:w="2340" w:type="dxa"/>
            <w:tcBorders>
              <w:top w:val="single" w:sz="4" w:space="0" w:color="auto"/>
              <w:left w:val="nil"/>
              <w:bottom w:val="single" w:sz="4" w:space="0" w:color="auto"/>
              <w:right w:val="nil"/>
            </w:tcBorders>
            <w:shd w:val="clear" w:color="auto" w:fill="auto"/>
            <w:noWrap/>
            <w:vAlign w:val="bottom"/>
            <w:hideMark/>
          </w:tcPr>
          <w:p w14:paraId="77E1E1E5" w14:textId="77777777" w:rsidR="009919D4" w:rsidRPr="00D2332A" w:rsidRDefault="009919D4" w:rsidP="00D47A52">
            <w:pPr>
              <w:spacing w:before="0" w:after="0"/>
              <w:jc w:val="left"/>
              <w:rPr>
                <w:rFonts w:cs="Times New Roman"/>
                <w:color w:val="000000"/>
                <w:sz w:val="20"/>
                <w:szCs w:val="20"/>
              </w:rPr>
            </w:pPr>
            <w:r w:rsidRPr="00D2332A">
              <w:rPr>
                <w:rFonts w:cs="Times New Roman"/>
                <w:color w:val="000000"/>
                <w:sz w:val="20"/>
                <w:szCs w:val="20"/>
              </w:rPr>
              <w:t>Burdekin to Palm Island</w:t>
            </w:r>
          </w:p>
        </w:tc>
        <w:tc>
          <w:tcPr>
            <w:tcW w:w="2068" w:type="dxa"/>
            <w:tcBorders>
              <w:top w:val="single" w:sz="4" w:space="0" w:color="auto"/>
              <w:left w:val="nil"/>
              <w:bottom w:val="single" w:sz="4" w:space="0" w:color="auto"/>
              <w:right w:val="nil"/>
            </w:tcBorders>
            <w:shd w:val="clear" w:color="auto" w:fill="auto"/>
            <w:noWrap/>
            <w:vAlign w:val="bottom"/>
            <w:hideMark/>
          </w:tcPr>
          <w:p w14:paraId="2FA3F55E" w14:textId="77777777" w:rsidR="009919D4" w:rsidRPr="00D2332A" w:rsidRDefault="009919D4" w:rsidP="00D47A52">
            <w:pPr>
              <w:spacing w:before="0" w:after="0"/>
              <w:jc w:val="left"/>
              <w:rPr>
                <w:rFonts w:cs="Times New Roman"/>
                <w:color w:val="000000"/>
                <w:sz w:val="20"/>
                <w:szCs w:val="20"/>
              </w:rPr>
            </w:pPr>
            <w:r w:rsidRPr="00D2332A">
              <w:rPr>
                <w:rFonts w:cs="Times New Roman"/>
                <w:color w:val="000000"/>
                <w:sz w:val="20"/>
                <w:szCs w:val="20"/>
              </w:rPr>
              <w:t>Fitzroy to Keppels</w:t>
            </w:r>
          </w:p>
        </w:tc>
      </w:tr>
      <w:tr w:rsidR="009919D4" w:rsidRPr="00D2332A" w14:paraId="4EF7AA87" w14:textId="77777777" w:rsidTr="00BF10D1">
        <w:trPr>
          <w:trHeight w:val="300"/>
        </w:trPr>
        <w:tc>
          <w:tcPr>
            <w:tcW w:w="1247" w:type="dxa"/>
            <w:tcBorders>
              <w:top w:val="nil"/>
              <w:left w:val="nil"/>
              <w:bottom w:val="nil"/>
              <w:right w:val="nil"/>
            </w:tcBorders>
            <w:shd w:val="clear" w:color="auto" w:fill="auto"/>
            <w:noWrap/>
            <w:vAlign w:val="bottom"/>
            <w:hideMark/>
          </w:tcPr>
          <w:p w14:paraId="32C42391" w14:textId="77777777" w:rsidR="009919D4" w:rsidRPr="00D2332A" w:rsidRDefault="009919D4" w:rsidP="00D47A52">
            <w:pPr>
              <w:spacing w:before="0" w:after="0"/>
              <w:jc w:val="left"/>
              <w:rPr>
                <w:rFonts w:cs="Times New Roman"/>
                <w:color w:val="000000"/>
                <w:sz w:val="20"/>
                <w:szCs w:val="20"/>
              </w:rPr>
            </w:pPr>
            <w:r w:rsidRPr="00D2332A">
              <w:rPr>
                <w:rFonts w:cs="Times New Roman"/>
                <w:color w:val="000000"/>
                <w:sz w:val="20"/>
                <w:szCs w:val="20"/>
              </w:rPr>
              <w:t>CDOM</w:t>
            </w:r>
          </w:p>
        </w:tc>
        <w:tc>
          <w:tcPr>
            <w:tcW w:w="1738" w:type="dxa"/>
            <w:tcBorders>
              <w:top w:val="nil"/>
              <w:left w:val="nil"/>
              <w:bottom w:val="nil"/>
              <w:right w:val="nil"/>
            </w:tcBorders>
            <w:shd w:val="clear" w:color="auto" w:fill="auto"/>
            <w:noWrap/>
            <w:vAlign w:val="bottom"/>
            <w:hideMark/>
          </w:tcPr>
          <w:p w14:paraId="299531BE" w14:textId="77777777" w:rsidR="009919D4" w:rsidRPr="00D2332A" w:rsidRDefault="009919D4" w:rsidP="00D47A52">
            <w:pPr>
              <w:spacing w:before="0" w:after="0"/>
              <w:jc w:val="center"/>
              <w:rPr>
                <w:rFonts w:cs="Times New Roman"/>
                <w:color w:val="000000"/>
                <w:sz w:val="20"/>
                <w:szCs w:val="20"/>
              </w:rPr>
            </w:pPr>
            <w:r w:rsidRPr="00D2332A">
              <w:rPr>
                <w:rFonts w:cs="Times New Roman"/>
                <w:color w:val="000000"/>
                <w:sz w:val="20"/>
                <w:szCs w:val="20"/>
              </w:rPr>
              <w:t>0.566</w:t>
            </w:r>
          </w:p>
        </w:tc>
        <w:tc>
          <w:tcPr>
            <w:tcW w:w="1340" w:type="dxa"/>
            <w:tcBorders>
              <w:top w:val="nil"/>
              <w:left w:val="nil"/>
              <w:bottom w:val="nil"/>
              <w:right w:val="nil"/>
            </w:tcBorders>
            <w:shd w:val="clear" w:color="auto" w:fill="auto"/>
            <w:noWrap/>
            <w:vAlign w:val="bottom"/>
            <w:hideMark/>
          </w:tcPr>
          <w:p w14:paraId="5BA2051D" w14:textId="77777777" w:rsidR="009919D4" w:rsidRPr="00D2332A" w:rsidRDefault="009919D4" w:rsidP="00D47A52">
            <w:pPr>
              <w:spacing w:before="0" w:after="0"/>
              <w:jc w:val="center"/>
              <w:rPr>
                <w:rFonts w:cs="Times New Roman"/>
                <w:color w:val="000000"/>
                <w:sz w:val="20"/>
                <w:szCs w:val="20"/>
              </w:rPr>
            </w:pPr>
            <w:r w:rsidRPr="00D2332A">
              <w:rPr>
                <w:rFonts w:cs="Times New Roman"/>
                <w:color w:val="000000"/>
                <w:sz w:val="20"/>
                <w:szCs w:val="20"/>
              </w:rPr>
              <w:t>0.563</w:t>
            </w:r>
          </w:p>
        </w:tc>
        <w:tc>
          <w:tcPr>
            <w:tcW w:w="2340" w:type="dxa"/>
            <w:tcBorders>
              <w:top w:val="nil"/>
              <w:left w:val="nil"/>
              <w:bottom w:val="nil"/>
              <w:right w:val="nil"/>
            </w:tcBorders>
            <w:shd w:val="clear" w:color="000000" w:fill="FFFF00"/>
            <w:noWrap/>
            <w:vAlign w:val="bottom"/>
            <w:hideMark/>
          </w:tcPr>
          <w:p w14:paraId="71AB0120" w14:textId="77777777" w:rsidR="009919D4" w:rsidRPr="00D2332A" w:rsidRDefault="009919D4" w:rsidP="00D47A52">
            <w:pPr>
              <w:spacing w:before="0" w:after="0"/>
              <w:jc w:val="center"/>
              <w:rPr>
                <w:rFonts w:cs="Times New Roman"/>
                <w:color w:val="000000"/>
                <w:sz w:val="20"/>
                <w:szCs w:val="20"/>
              </w:rPr>
            </w:pPr>
            <w:r w:rsidRPr="00D2332A">
              <w:rPr>
                <w:rFonts w:cs="Times New Roman"/>
                <w:color w:val="000000"/>
                <w:sz w:val="20"/>
                <w:szCs w:val="20"/>
              </w:rPr>
              <w:t>0.795</w:t>
            </w:r>
          </w:p>
        </w:tc>
        <w:tc>
          <w:tcPr>
            <w:tcW w:w="2068" w:type="dxa"/>
            <w:tcBorders>
              <w:top w:val="nil"/>
              <w:left w:val="nil"/>
              <w:bottom w:val="nil"/>
              <w:right w:val="nil"/>
            </w:tcBorders>
            <w:shd w:val="clear" w:color="000000" w:fill="FFFF00"/>
            <w:noWrap/>
            <w:vAlign w:val="bottom"/>
            <w:hideMark/>
          </w:tcPr>
          <w:p w14:paraId="48570F6D" w14:textId="77777777" w:rsidR="009919D4" w:rsidRPr="00D2332A" w:rsidRDefault="009919D4" w:rsidP="00D47A52">
            <w:pPr>
              <w:spacing w:before="0" w:after="0"/>
              <w:jc w:val="center"/>
              <w:rPr>
                <w:rFonts w:cs="Times New Roman"/>
                <w:color w:val="000000"/>
                <w:sz w:val="20"/>
                <w:szCs w:val="20"/>
              </w:rPr>
            </w:pPr>
            <w:r w:rsidRPr="00D2332A">
              <w:rPr>
                <w:rFonts w:cs="Times New Roman"/>
                <w:color w:val="000000"/>
                <w:sz w:val="20"/>
                <w:szCs w:val="20"/>
              </w:rPr>
              <w:t>0.760</w:t>
            </w:r>
          </w:p>
        </w:tc>
      </w:tr>
      <w:tr w:rsidR="009919D4" w:rsidRPr="00D2332A" w14:paraId="26EDF5DE" w14:textId="77777777" w:rsidTr="00BF10D1">
        <w:trPr>
          <w:trHeight w:val="300"/>
        </w:trPr>
        <w:tc>
          <w:tcPr>
            <w:tcW w:w="1247" w:type="dxa"/>
            <w:tcBorders>
              <w:top w:val="nil"/>
              <w:left w:val="nil"/>
              <w:bottom w:val="nil"/>
              <w:right w:val="nil"/>
            </w:tcBorders>
            <w:shd w:val="clear" w:color="auto" w:fill="auto"/>
            <w:noWrap/>
            <w:vAlign w:val="bottom"/>
            <w:hideMark/>
          </w:tcPr>
          <w:p w14:paraId="0E55E665" w14:textId="77777777" w:rsidR="009919D4" w:rsidRPr="00D2332A" w:rsidRDefault="009919D4" w:rsidP="00D47A52">
            <w:pPr>
              <w:spacing w:before="0" w:after="0"/>
              <w:jc w:val="left"/>
              <w:rPr>
                <w:rFonts w:cs="Times New Roman"/>
                <w:color w:val="000000"/>
                <w:sz w:val="20"/>
                <w:szCs w:val="20"/>
              </w:rPr>
            </w:pPr>
            <w:r w:rsidRPr="00D2332A">
              <w:rPr>
                <w:rFonts w:cs="Times New Roman"/>
                <w:color w:val="000000"/>
                <w:sz w:val="20"/>
                <w:szCs w:val="20"/>
              </w:rPr>
              <w:t>Chl-a</w:t>
            </w:r>
          </w:p>
        </w:tc>
        <w:tc>
          <w:tcPr>
            <w:tcW w:w="1738" w:type="dxa"/>
            <w:tcBorders>
              <w:top w:val="nil"/>
              <w:left w:val="nil"/>
              <w:bottom w:val="nil"/>
              <w:right w:val="nil"/>
            </w:tcBorders>
            <w:shd w:val="clear" w:color="auto" w:fill="auto"/>
            <w:noWrap/>
            <w:vAlign w:val="bottom"/>
            <w:hideMark/>
          </w:tcPr>
          <w:p w14:paraId="10747302" w14:textId="77777777" w:rsidR="009919D4" w:rsidRPr="00D2332A" w:rsidRDefault="009919D4" w:rsidP="00D47A52">
            <w:pPr>
              <w:spacing w:before="0" w:after="0"/>
              <w:jc w:val="center"/>
              <w:rPr>
                <w:rFonts w:cs="Times New Roman"/>
                <w:color w:val="000000"/>
                <w:sz w:val="20"/>
                <w:szCs w:val="20"/>
              </w:rPr>
            </w:pPr>
            <w:r w:rsidRPr="00D2332A">
              <w:rPr>
                <w:rFonts w:cs="Times New Roman"/>
                <w:color w:val="000000"/>
                <w:sz w:val="20"/>
                <w:szCs w:val="20"/>
              </w:rPr>
              <w:t>0.312</w:t>
            </w:r>
          </w:p>
        </w:tc>
        <w:tc>
          <w:tcPr>
            <w:tcW w:w="1340" w:type="dxa"/>
            <w:tcBorders>
              <w:top w:val="nil"/>
              <w:left w:val="nil"/>
              <w:bottom w:val="nil"/>
              <w:right w:val="nil"/>
            </w:tcBorders>
            <w:shd w:val="clear" w:color="auto" w:fill="auto"/>
            <w:noWrap/>
            <w:vAlign w:val="bottom"/>
            <w:hideMark/>
          </w:tcPr>
          <w:p w14:paraId="5E6CBDAF" w14:textId="77777777" w:rsidR="009919D4" w:rsidRPr="00D2332A" w:rsidRDefault="009919D4" w:rsidP="00D47A52">
            <w:pPr>
              <w:spacing w:before="0" w:after="0"/>
              <w:jc w:val="center"/>
              <w:rPr>
                <w:rFonts w:cs="Times New Roman"/>
                <w:color w:val="000000"/>
                <w:sz w:val="20"/>
                <w:szCs w:val="20"/>
              </w:rPr>
            </w:pPr>
            <w:r w:rsidRPr="00D2332A">
              <w:rPr>
                <w:rFonts w:cs="Times New Roman"/>
                <w:color w:val="000000"/>
                <w:sz w:val="20"/>
                <w:szCs w:val="20"/>
              </w:rPr>
              <w:t>0.278</w:t>
            </w:r>
          </w:p>
        </w:tc>
        <w:tc>
          <w:tcPr>
            <w:tcW w:w="2340" w:type="dxa"/>
            <w:tcBorders>
              <w:top w:val="nil"/>
              <w:left w:val="nil"/>
              <w:bottom w:val="nil"/>
              <w:right w:val="nil"/>
            </w:tcBorders>
            <w:shd w:val="clear" w:color="auto" w:fill="auto"/>
            <w:noWrap/>
            <w:vAlign w:val="bottom"/>
            <w:hideMark/>
          </w:tcPr>
          <w:p w14:paraId="0CB5D7FE" w14:textId="77777777" w:rsidR="009919D4" w:rsidRPr="00D2332A" w:rsidRDefault="009919D4" w:rsidP="00D47A52">
            <w:pPr>
              <w:spacing w:before="0" w:after="0"/>
              <w:jc w:val="center"/>
              <w:rPr>
                <w:rFonts w:cs="Times New Roman"/>
                <w:color w:val="000000"/>
                <w:sz w:val="20"/>
                <w:szCs w:val="20"/>
              </w:rPr>
            </w:pPr>
            <w:r w:rsidRPr="00D2332A">
              <w:rPr>
                <w:rFonts w:cs="Times New Roman"/>
                <w:color w:val="000000"/>
                <w:sz w:val="20"/>
                <w:szCs w:val="20"/>
              </w:rPr>
              <w:t>0.011</w:t>
            </w:r>
          </w:p>
        </w:tc>
        <w:tc>
          <w:tcPr>
            <w:tcW w:w="2068" w:type="dxa"/>
            <w:tcBorders>
              <w:top w:val="nil"/>
              <w:left w:val="nil"/>
              <w:bottom w:val="nil"/>
              <w:right w:val="nil"/>
            </w:tcBorders>
            <w:shd w:val="clear" w:color="auto" w:fill="auto"/>
            <w:noWrap/>
            <w:vAlign w:val="bottom"/>
            <w:hideMark/>
          </w:tcPr>
          <w:p w14:paraId="372BD097" w14:textId="77777777" w:rsidR="009919D4" w:rsidRPr="00D2332A" w:rsidRDefault="009919D4" w:rsidP="00D47A52">
            <w:pPr>
              <w:spacing w:before="0" w:after="0"/>
              <w:jc w:val="center"/>
              <w:rPr>
                <w:rFonts w:cs="Times New Roman"/>
                <w:color w:val="000000"/>
                <w:sz w:val="20"/>
                <w:szCs w:val="20"/>
              </w:rPr>
            </w:pPr>
            <w:r w:rsidRPr="00D2332A">
              <w:rPr>
                <w:rFonts w:cs="Times New Roman"/>
                <w:color w:val="000000"/>
                <w:sz w:val="20"/>
                <w:szCs w:val="20"/>
              </w:rPr>
              <w:t>0.260</w:t>
            </w:r>
          </w:p>
        </w:tc>
      </w:tr>
      <w:tr w:rsidR="009919D4" w:rsidRPr="00D2332A" w14:paraId="1FB408B1" w14:textId="77777777" w:rsidTr="00BF10D1">
        <w:trPr>
          <w:trHeight w:val="300"/>
        </w:trPr>
        <w:tc>
          <w:tcPr>
            <w:tcW w:w="1247" w:type="dxa"/>
            <w:tcBorders>
              <w:top w:val="nil"/>
              <w:left w:val="nil"/>
              <w:bottom w:val="nil"/>
              <w:right w:val="nil"/>
            </w:tcBorders>
            <w:shd w:val="clear" w:color="auto" w:fill="auto"/>
            <w:noWrap/>
            <w:vAlign w:val="bottom"/>
            <w:hideMark/>
          </w:tcPr>
          <w:p w14:paraId="11FE044B" w14:textId="77777777" w:rsidR="009919D4" w:rsidRPr="00D2332A" w:rsidRDefault="009919D4" w:rsidP="00D47A52">
            <w:pPr>
              <w:spacing w:before="0" w:after="0"/>
              <w:jc w:val="left"/>
              <w:rPr>
                <w:rFonts w:cs="Times New Roman"/>
                <w:color w:val="000000"/>
                <w:sz w:val="20"/>
                <w:szCs w:val="20"/>
              </w:rPr>
            </w:pPr>
            <w:r w:rsidRPr="00D2332A">
              <w:rPr>
                <w:rFonts w:cs="Times New Roman"/>
                <w:color w:val="000000"/>
                <w:sz w:val="20"/>
                <w:szCs w:val="20"/>
              </w:rPr>
              <w:t>Kd</w:t>
            </w:r>
          </w:p>
        </w:tc>
        <w:tc>
          <w:tcPr>
            <w:tcW w:w="1738" w:type="dxa"/>
            <w:tcBorders>
              <w:top w:val="nil"/>
              <w:left w:val="nil"/>
              <w:bottom w:val="nil"/>
              <w:right w:val="nil"/>
            </w:tcBorders>
            <w:shd w:val="clear" w:color="auto" w:fill="auto"/>
            <w:noWrap/>
            <w:vAlign w:val="bottom"/>
            <w:hideMark/>
          </w:tcPr>
          <w:p w14:paraId="58F75F07" w14:textId="77777777" w:rsidR="009919D4" w:rsidRPr="00D2332A" w:rsidRDefault="009919D4" w:rsidP="00D47A52">
            <w:pPr>
              <w:spacing w:before="0" w:after="0"/>
              <w:jc w:val="center"/>
              <w:rPr>
                <w:rFonts w:cs="Times New Roman"/>
                <w:color w:val="000000"/>
                <w:sz w:val="20"/>
                <w:szCs w:val="20"/>
              </w:rPr>
            </w:pPr>
            <w:r w:rsidRPr="00D2332A">
              <w:rPr>
                <w:rFonts w:cs="Times New Roman"/>
                <w:color w:val="000000"/>
                <w:sz w:val="20"/>
                <w:szCs w:val="20"/>
              </w:rPr>
              <w:t>0.245</w:t>
            </w:r>
          </w:p>
        </w:tc>
        <w:tc>
          <w:tcPr>
            <w:tcW w:w="1340" w:type="dxa"/>
            <w:tcBorders>
              <w:top w:val="nil"/>
              <w:left w:val="nil"/>
              <w:bottom w:val="nil"/>
              <w:right w:val="nil"/>
            </w:tcBorders>
            <w:shd w:val="clear" w:color="auto" w:fill="auto"/>
            <w:noWrap/>
            <w:vAlign w:val="bottom"/>
            <w:hideMark/>
          </w:tcPr>
          <w:p w14:paraId="250568B6" w14:textId="77777777" w:rsidR="009919D4" w:rsidRPr="00D2332A" w:rsidRDefault="009919D4" w:rsidP="00D47A52">
            <w:pPr>
              <w:spacing w:before="0" w:after="0"/>
              <w:jc w:val="center"/>
              <w:rPr>
                <w:rFonts w:cs="Times New Roman"/>
                <w:color w:val="000000"/>
                <w:sz w:val="20"/>
                <w:szCs w:val="20"/>
              </w:rPr>
            </w:pPr>
            <w:r w:rsidRPr="00D2332A">
              <w:rPr>
                <w:rFonts w:cs="Times New Roman"/>
                <w:color w:val="000000"/>
                <w:sz w:val="20"/>
                <w:szCs w:val="20"/>
              </w:rPr>
              <w:t>0.175</w:t>
            </w:r>
          </w:p>
        </w:tc>
        <w:tc>
          <w:tcPr>
            <w:tcW w:w="2340" w:type="dxa"/>
            <w:tcBorders>
              <w:top w:val="nil"/>
              <w:left w:val="nil"/>
              <w:bottom w:val="nil"/>
              <w:right w:val="nil"/>
            </w:tcBorders>
            <w:shd w:val="clear" w:color="auto" w:fill="auto"/>
            <w:noWrap/>
            <w:vAlign w:val="bottom"/>
            <w:hideMark/>
          </w:tcPr>
          <w:p w14:paraId="5B8EC770" w14:textId="77777777" w:rsidR="009919D4" w:rsidRPr="00D2332A" w:rsidRDefault="009919D4" w:rsidP="00D47A52">
            <w:pPr>
              <w:spacing w:before="0" w:after="0"/>
              <w:jc w:val="center"/>
              <w:rPr>
                <w:rFonts w:cs="Times New Roman"/>
                <w:color w:val="000000"/>
                <w:sz w:val="20"/>
                <w:szCs w:val="20"/>
              </w:rPr>
            </w:pPr>
            <w:r w:rsidRPr="00D2332A">
              <w:rPr>
                <w:rFonts w:cs="Times New Roman"/>
                <w:color w:val="000000"/>
                <w:sz w:val="20"/>
                <w:szCs w:val="20"/>
              </w:rPr>
              <w:t>0.055</w:t>
            </w:r>
          </w:p>
        </w:tc>
        <w:tc>
          <w:tcPr>
            <w:tcW w:w="2068" w:type="dxa"/>
            <w:tcBorders>
              <w:top w:val="nil"/>
              <w:left w:val="nil"/>
              <w:bottom w:val="nil"/>
              <w:right w:val="nil"/>
            </w:tcBorders>
            <w:shd w:val="clear" w:color="auto" w:fill="auto"/>
            <w:noWrap/>
            <w:vAlign w:val="bottom"/>
            <w:hideMark/>
          </w:tcPr>
          <w:p w14:paraId="0F85EBCE" w14:textId="77777777" w:rsidR="009919D4" w:rsidRPr="00D2332A" w:rsidRDefault="009919D4" w:rsidP="00D47A52">
            <w:pPr>
              <w:spacing w:before="0" w:after="0"/>
              <w:jc w:val="center"/>
              <w:rPr>
                <w:rFonts w:cs="Times New Roman"/>
                <w:color w:val="000000"/>
                <w:sz w:val="20"/>
                <w:szCs w:val="20"/>
              </w:rPr>
            </w:pPr>
            <w:r w:rsidRPr="00D2332A">
              <w:rPr>
                <w:rFonts w:cs="Times New Roman"/>
                <w:color w:val="000000"/>
                <w:sz w:val="20"/>
                <w:szCs w:val="20"/>
              </w:rPr>
              <w:t>NA</w:t>
            </w:r>
          </w:p>
        </w:tc>
      </w:tr>
      <w:tr w:rsidR="009919D4" w:rsidRPr="00D2332A" w14:paraId="1850C940" w14:textId="77777777" w:rsidTr="00BF10D1">
        <w:trPr>
          <w:trHeight w:val="300"/>
        </w:trPr>
        <w:tc>
          <w:tcPr>
            <w:tcW w:w="1247" w:type="dxa"/>
            <w:tcBorders>
              <w:top w:val="nil"/>
              <w:left w:val="nil"/>
              <w:bottom w:val="nil"/>
              <w:right w:val="nil"/>
            </w:tcBorders>
            <w:shd w:val="clear" w:color="auto" w:fill="auto"/>
            <w:noWrap/>
            <w:vAlign w:val="bottom"/>
            <w:hideMark/>
          </w:tcPr>
          <w:p w14:paraId="58BE3362" w14:textId="77777777" w:rsidR="009919D4" w:rsidRPr="00D2332A" w:rsidRDefault="009919D4" w:rsidP="00D47A52">
            <w:pPr>
              <w:spacing w:before="0" w:after="0"/>
              <w:jc w:val="left"/>
              <w:rPr>
                <w:rFonts w:cs="Times New Roman"/>
                <w:color w:val="000000"/>
                <w:sz w:val="20"/>
                <w:szCs w:val="20"/>
              </w:rPr>
            </w:pPr>
            <w:r w:rsidRPr="00D2332A">
              <w:rPr>
                <w:rFonts w:cs="Times New Roman"/>
                <w:color w:val="000000"/>
                <w:sz w:val="20"/>
                <w:szCs w:val="20"/>
              </w:rPr>
              <w:t>TSS</w:t>
            </w:r>
          </w:p>
        </w:tc>
        <w:tc>
          <w:tcPr>
            <w:tcW w:w="1738" w:type="dxa"/>
            <w:tcBorders>
              <w:top w:val="nil"/>
              <w:left w:val="nil"/>
              <w:bottom w:val="nil"/>
              <w:right w:val="nil"/>
            </w:tcBorders>
            <w:shd w:val="clear" w:color="auto" w:fill="auto"/>
            <w:noWrap/>
            <w:vAlign w:val="bottom"/>
            <w:hideMark/>
          </w:tcPr>
          <w:p w14:paraId="13C62294" w14:textId="77777777" w:rsidR="009919D4" w:rsidRPr="00D2332A" w:rsidRDefault="009919D4" w:rsidP="00D47A52">
            <w:pPr>
              <w:spacing w:before="0" w:after="0"/>
              <w:jc w:val="center"/>
              <w:rPr>
                <w:rFonts w:cs="Times New Roman"/>
                <w:color w:val="000000"/>
                <w:sz w:val="20"/>
                <w:szCs w:val="20"/>
              </w:rPr>
            </w:pPr>
            <w:r w:rsidRPr="00D2332A">
              <w:rPr>
                <w:rFonts w:cs="Times New Roman"/>
                <w:color w:val="000000"/>
                <w:sz w:val="20"/>
                <w:szCs w:val="20"/>
              </w:rPr>
              <w:t>-0.151</w:t>
            </w:r>
          </w:p>
        </w:tc>
        <w:tc>
          <w:tcPr>
            <w:tcW w:w="1340" w:type="dxa"/>
            <w:tcBorders>
              <w:top w:val="nil"/>
              <w:left w:val="nil"/>
              <w:bottom w:val="nil"/>
              <w:right w:val="nil"/>
            </w:tcBorders>
            <w:shd w:val="clear" w:color="auto" w:fill="auto"/>
            <w:noWrap/>
            <w:vAlign w:val="bottom"/>
            <w:hideMark/>
          </w:tcPr>
          <w:p w14:paraId="3329316D" w14:textId="77777777" w:rsidR="009919D4" w:rsidRPr="00D2332A" w:rsidRDefault="009919D4" w:rsidP="00D47A52">
            <w:pPr>
              <w:spacing w:before="0" w:after="0"/>
              <w:jc w:val="center"/>
              <w:rPr>
                <w:rFonts w:cs="Times New Roman"/>
                <w:color w:val="000000"/>
                <w:sz w:val="20"/>
                <w:szCs w:val="20"/>
              </w:rPr>
            </w:pPr>
            <w:r w:rsidRPr="00D2332A">
              <w:rPr>
                <w:rFonts w:cs="Times New Roman"/>
                <w:color w:val="000000"/>
                <w:sz w:val="20"/>
                <w:szCs w:val="20"/>
              </w:rPr>
              <w:t>0.150</w:t>
            </w:r>
          </w:p>
        </w:tc>
        <w:tc>
          <w:tcPr>
            <w:tcW w:w="2340" w:type="dxa"/>
            <w:tcBorders>
              <w:top w:val="nil"/>
              <w:left w:val="nil"/>
              <w:bottom w:val="nil"/>
              <w:right w:val="nil"/>
            </w:tcBorders>
            <w:shd w:val="clear" w:color="auto" w:fill="auto"/>
            <w:noWrap/>
            <w:vAlign w:val="bottom"/>
            <w:hideMark/>
          </w:tcPr>
          <w:p w14:paraId="4E59FC23" w14:textId="77777777" w:rsidR="009919D4" w:rsidRPr="00D2332A" w:rsidRDefault="009919D4" w:rsidP="00D47A52">
            <w:pPr>
              <w:spacing w:before="0" w:after="0"/>
              <w:jc w:val="center"/>
              <w:rPr>
                <w:rFonts w:cs="Times New Roman"/>
                <w:color w:val="000000"/>
                <w:sz w:val="20"/>
                <w:szCs w:val="20"/>
              </w:rPr>
            </w:pPr>
            <w:r w:rsidRPr="00D2332A">
              <w:rPr>
                <w:rFonts w:cs="Times New Roman"/>
                <w:color w:val="000000"/>
                <w:sz w:val="20"/>
                <w:szCs w:val="20"/>
              </w:rPr>
              <w:t>0.155</w:t>
            </w:r>
          </w:p>
        </w:tc>
        <w:tc>
          <w:tcPr>
            <w:tcW w:w="2068" w:type="dxa"/>
            <w:tcBorders>
              <w:top w:val="nil"/>
              <w:left w:val="nil"/>
              <w:bottom w:val="nil"/>
              <w:right w:val="nil"/>
            </w:tcBorders>
            <w:shd w:val="clear" w:color="auto" w:fill="auto"/>
            <w:noWrap/>
            <w:vAlign w:val="bottom"/>
            <w:hideMark/>
          </w:tcPr>
          <w:p w14:paraId="6D2AA6E0" w14:textId="77777777" w:rsidR="009919D4" w:rsidRPr="00D2332A" w:rsidRDefault="009919D4" w:rsidP="00D47A52">
            <w:pPr>
              <w:spacing w:before="0" w:after="0"/>
              <w:jc w:val="center"/>
              <w:rPr>
                <w:rFonts w:cs="Times New Roman"/>
                <w:color w:val="000000"/>
                <w:sz w:val="20"/>
                <w:szCs w:val="20"/>
              </w:rPr>
            </w:pPr>
            <w:r w:rsidRPr="00D2332A">
              <w:rPr>
                <w:rFonts w:cs="Times New Roman"/>
                <w:color w:val="000000"/>
                <w:sz w:val="20"/>
                <w:szCs w:val="20"/>
              </w:rPr>
              <w:t>0.163</w:t>
            </w:r>
          </w:p>
        </w:tc>
      </w:tr>
      <w:tr w:rsidR="009919D4" w:rsidRPr="00D2332A" w14:paraId="49CA1C9E" w14:textId="77777777" w:rsidTr="00BF10D1">
        <w:trPr>
          <w:trHeight w:val="300"/>
        </w:trPr>
        <w:tc>
          <w:tcPr>
            <w:tcW w:w="1247" w:type="dxa"/>
            <w:tcBorders>
              <w:top w:val="nil"/>
              <w:left w:val="nil"/>
              <w:bottom w:val="nil"/>
              <w:right w:val="nil"/>
            </w:tcBorders>
            <w:shd w:val="clear" w:color="auto" w:fill="auto"/>
            <w:noWrap/>
            <w:vAlign w:val="bottom"/>
            <w:hideMark/>
          </w:tcPr>
          <w:p w14:paraId="6E45690D" w14:textId="77777777" w:rsidR="009919D4" w:rsidRPr="00D2332A" w:rsidRDefault="009919D4" w:rsidP="00D47A52">
            <w:pPr>
              <w:spacing w:before="0" w:after="0"/>
              <w:jc w:val="left"/>
              <w:rPr>
                <w:rFonts w:cs="Times New Roman"/>
                <w:color w:val="000000"/>
                <w:sz w:val="20"/>
                <w:szCs w:val="20"/>
              </w:rPr>
            </w:pPr>
            <w:r w:rsidRPr="00D2332A">
              <w:rPr>
                <w:rFonts w:cs="Times New Roman"/>
                <w:color w:val="000000"/>
                <w:sz w:val="20"/>
                <w:szCs w:val="20"/>
              </w:rPr>
              <w:t>Si</w:t>
            </w:r>
          </w:p>
        </w:tc>
        <w:tc>
          <w:tcPr>
            <w:tcW w:w="1738" w:type="dxa"/>
            <w:tcBorders>
              <w:top w:val="nil"/>
              <w:left w:val="nil"/>
              <w:bottom w:val="nil"/>
              <w:right w:val="nil"/>
            </w:tcBorders>
            <w:shd w:val="clear" w:color="000000" w:fill="FFFF00"/>
            <w:noWrap/>
            <w:vAlign w:val="bottom"/>
            <w:hideMark/>
          </w:tcPr>
          <w:p w14:paraId="77DBF887" w14:textId="77777777" w:rsidR="009919D4" w:rsidRPr="00D2332A" w:rsidRDefault="009919D4" w:rsidP="00D47A52">
            <w:pPr>
              <w:spacing w:before="0" w:after="0"/>
              <w:jc w:val="center"/>
              <w:rPr>
                <w:rFonts w:cs="Times New Roman"/>
                <w:color w:val="000000"/>
                <w:sz w:val="20"/>
                <w:szCs w:val="20"/>
              </w:rPr>
            </w:pPr>
            <w:r w:rsidRPr="00D2332A">
              <w:rPr>
                <w:rFonts w:cs="Times New Roman"/>
                <w:color w:val="000000"/>
                <w:sz w:val="20"/>
                <w:szCs w:val="20"/>
              </w:rPr>
              <w:t>0.698</w:t>
            </w:r>
          </w:p>
        </w:tc>
        <w:tc>
          <w:tcPr>
            <w:tcW w:w="1340" w:type="dxa"/>
            <w:tcBorders>
              <w:top w:val="nil"/>
              <w:left w:val="nil"/>
              <w:bottom w:val="nil"/>
              <w:right w:val="nil"/>
            </w:tcBorders>
            <w:shd w:val="clear" w:color="000000" w:fill="FFFF00"/>
            <w:noWrap/>
            <w:vAlign w:val="bottom"/>
            <w:hideMark/>
          </w:tcPr>
          <w:p w14:paraId="4CDA46F5" w14:textId="77777777" w:rsidR="009919D4" w:rsidRPr="00D2332A" w:rsidRDefault="009919D4" w:rsidP="00D47A52">
            <w:pPr>
              <w:spacing w:before="0" w:after="0"/>
              <w:jc w:val="center"/>
              <w:rPr>
                <w:rFonts w:cs="Times New Roman"/>
                <w:color w:val="000000"/>
                <w:sz w:val="20"/>
                <w:szCs w:val="20"/>
              </w:rPr>
            </w:pPr>
            <w:r w:rsidRPr="00D2332A">
              <w:rPr>
                <w:rFonts w:cs="Times New Roman"/>
                <w:color w:val="000000"/>
                <w:sz w:val="20"/>
                <w:szCs w:val="20"/>
              </w:rPr>
              <w:t>0.678</w:t>
            </w:r>
          </w:p>
        </w:tc>
        <w:tc>
          <w:tcPr>
            <w:tcW w:w="2340" w:type="dxa"/>
            <w:tcBorders>
              <w:top w:val="nil"/>
              <w:left w:val="nil"/>
              <w:bottom w:val="nil"/>
              <w:right w:val="nil"/>
            </w:tcBorders>
            <w:shd w:val="clear" w:color="auto" w:fill="auto"/>
            <w:noWrap/>
            <w:vAlign w:val="bottom"/>
            <w:hideMark/>
          </w:tcPr>
          <w:p w14:paraId="6CE0FED7" w14:textId="77777777" w:rsidR="009919D4" w:rsidRPr="00D2332A" w:rsidRDefault="009919D4" w:rsidP="00D47A52">
            <w:pPr>
              <w:spacing w:before="0" w:after="0"/>
              <w:jc w:val="center"/>
              <w:rPr>
                <w:rFonts w:cs="Times New Roman"/>
                <w:color w:val="000000"/>
                <w:sz w:val="20"/>
                <w:szCs w:val="20"/>
              </w:rPr>
            </w:pPr>
            <w:r w:rsidRPr="00D2332A">
              <w:rPr>
                <w:rFonts w:cs="Times New Roman"/>
                <w:color w:val="000000"/>
                <w:sz w:val="20"/>
                <w:szCs w:val="20"/>
              </w:rPr>
              <w:t>-0.436</w:t>
            </w:r>
          </w:p>
        </w:tc>
        <w:tc>
          <w:tcPr>
            <w:tcW w:w="2068" w:type="dxa"/>
            <w:tcBorders>
              <w:top w:val="nil"/>
              <w:left w:val="nil"/>
              <w:bottom w:val="nil"/>
              <w:right w:val="nil"/>
            </w:tcBorders>
            <w:shd w:val="clear" w:color="auto" w:fill="auto"/>
            <w:noWrap/>
            <w:vAlign w:val="bottom"/>
            <w:hideMark/>
          </w:tcPr>
          <w:p w14:paraId="0E9D7625" w14:textId="77777777" w:rsidR="009919D4" w:rsidRPr="00D2332A" w:rsidRDefault="009919D4" w:rsidP="00D47A52">
            <w:pPr>
              <w:spacing w:before="0" w:after="0"/>
              <w:jc w:val="center"/>
              <w:rPr>
                <w:rFonts w:cs="Times New Roman"/>
                <w:color w:val="000000"/>
                <w:sz w:val="20"/>
                <w:szCs w:val="20"/>
              </w:rPr>
            </w:pPr>
            <w:r w:rsidRPr="00D2332A">
              <w:rPr>
                <w:rFonts w:cs="Times New Roman"/>
                <w:color w:val="000000"/>
                <w:sz w:val="20"/>
                <w:szCs w:val="20"/>
              </w:rPr>
              <w:t>0.378</w:t>
            </w:r>
          </w:p>
        </w:tc>
      </w:tr>
      <w:tr w:rsidR="009919D4" w:rsidRPr="00D2332A" w14:paraId="75D5AA72" w14:textId="77777777" w:rsidTr="00BF10D1">
        <w:trPr>
          <w:trHeight w:val="300"/>
        </w:trPr>
        <w:tc>
          <w:tcPr>
            <w:tcW w:w="1247" w:type="dxa"/>
            <w:tcBorders>
              <w:top w:val="nil"/>
              <w:left w:val="nil"/>
              <w:bottom w:val="nil"/>
              <w:right w:val="nil"/>
            </w:tcBorders>
            <w:shd w:val="clear" w:color="auto" w:fill="auto"/>
            <w:noWrap/>
            <w:vAlign w:val="bottom"/>
            <w:hideMark/>
          </w:tcPr>
          <w:p w14:paraId="69B8B58F" w14:textId="77777777" w:rsidR="009919D4" w:rsidRPr="00D2332A" w:rsidRDefault="009919D4" w:rsidP="00D47A52">
            <w:pPr>
              <w:spacing w:before="0" w:after="0"/>
              <w:jc w:val="left"/>
              <w:rPr>
                <w:rFonts w:cs="Times New Roman"/>
                <w:color w:val="000000"/>
                <w:sz w:val="20"/>
                <w:szCs w:val="20"/>
              </w:rPr>
            </w:pPr>
            <w:r w:rsidRPr="00D2332A">
              <w:rPr>
                <w:rFonts w:cs="Times New Roman"/>
                <w:color w:val="000000"/>
                <w:sz w:val="20"/>
                <w:szCs w:val="20"/>
              </w:rPr>
              <w:t>TN</w:t>
            </w:r>
          </w:p>
        </w:tc>
        <w:tc>
          <w:tcPr>
            <w:tcW w:w="1738" w:type="dxa"/>
            <w:tcBorders>
              <w:top w:val="nil"/>
              <w:left w:val="nil"/>
              <w:bottom w:val="nil"/>
              <w:right w:val="nil"/>
            </w:tcBorders>
            <w:shd w:val="clear" w:color="auto" w:fill="auto"/>
            <w:noWrap/>
            <w:vAlign w:val="bottom"/>
            <w:hideMark/>
          </w:tcPr>
          <w:p w14:paraId="6E1A18D2" w14:textId="77777777" w:rsidR="009919D4" w:rsidRPr="00D2332A" w:rsidRDefault="009919D4" w:rsidP="00D47A52">
            <w:pPr>
              <w:spacing w:before="0" w:after="0"/>
              <w:jc w:val="center"/>
              <w:rPr>
                <w:rFonts w:cs="Times New Roman"/>
                <w:color w:val="000000"/>
                <w:sz w:val="20"/>
                <w:szCs w:val="20"/>
              </w:rPr>
            </w:pPr>
            <w:r w:rsidRPr="00D2332A">
              <w:rPr>
                <w:rFonts w:cs="Times New Roman"/>
                <w:color w:val="000000"/>
                <w:sz w:val="20"/>
                <w:szCs w:val="20"/>
              </w:rPr>
              <w:t>0.032</w:t>
            </w:r>
          </w:p>
        </w:tc>
        <w:tc>
          <w:tcPr>
            <w:tcW w:w="1340" w:type="dxa"/>
            <w:tcBorders>
              <w:top w:val="nil"/>
              <w:left w:val="nil"/>
              <w:bottom w:val="nil"/>
              <w:right w:val="nil"/>
            </w:tcBorders>
            <w:shd w:val="clear" w:color="auto" w:fill="auto"/>
            <w:noWrap/>
            <w:vAlign w:val="bottom"/>
            <w:hideMark/>
          </w:tcPr>
          <w:p w14:paraId="7A372360" w14:textId="77777777" w:rsidR="009919D4" w:rsidRPr="00D2332A" w:rsidRDefault="009919D4" w:rsidP="00D47A52">
            <w:pPr>
              <w:spacing w:before="0" w:after="0"/>
              <w:jc w:val="center"/>
              <w:rPr>
                <w:rFonts w:cs="Times New Roman"/>
                <w:color w:val="000000"/>
                <w:sz w:val="20"/>
                <w:szCs w:val="20"/>
              </w:rPr>
            </w:pPr>
            <w:r w:rsidRPr="00D2332A">
              <w:rPr>
                <w:rFonts w:cs="Times New Roman"/>
                <w:color w:val="000000"/>
                <w:sz w:val="20"/>
                <w:szCs w:val="20"/>
              </w:rPr>
              <w:t>-0.157</w:t>
            </w:r>
          </w:p>
        </w:tc>
        <w:tc>
          <w:tcPr>
            <w:tcW w:w="2340" w:type="dxa"/>
            <w:tcBorders>
              <w:top w:val="nil"/>
              <w:left w:val="nil"/>
              <w:bottom w:val="nil"/>
              <w:right w:val="nil"/>
            </w:tcBorders>
            <w:shd w:val="clear" w:color="auto" w:fill="auto"/>
            <w:noWrap/>
            <w:vAlign w:val="bottom"/>
            <w:hideMark/>
          </w:tcPr>
          <w:p w14:paraId="30551A14" w14:textId="77777777" w:rsidR="009919D4" w:rsidRPr="00D2332A" w:rsidRDefault="009919D4" w:rsidP="00D47A52">
            <w:pPr>
              <w:spacing w:before="0" w:after="0"/>
              <w:jc w:val="center"/>
              <w:rPr>
                <w:rFonts w:cs="Times New Roman"/>
                <w:color w:val="000000"/>
                <w:sz w:val="20"/>
                <w:szCs w:val="20"/>
              </w:rPr>
            </w:pPr>
            <w:r w:rsidRPr="00D2332A">
              <w:rPr>
                <w:rFonts w:cs="Times New Roman"/>
                <w:color w:val="000000"/>
                <w:sz w:val="20"/>
                <w:szCs w:val="20"/>
              </w:rPr>
              <w:t>0.589</w:t>
            </w:r>
          </w:p>
        </w:tc>
        <w:tc>
          <w:tcPr>
            <w:tcW w:w="2068" w:type="dxa"/>
            <w:tcBorders>
              <w:top w:val="nil"/>
              <w:left w:val="nil"/>
              <w:bottom w:val="nil"/>
              <w:right w:val="nil"/>
            </w:tcBorders>
            <w:shd w:val="clear" w:color="000000" w:fill="FFFF00"/>
            <w:noWrap/>
            <w:vAlign w:val="bottom"/>
            <w:hideMark/>
          </w:tcPr>
          <w:p w14:paraId="4BD64303" w14:textId="77777777" w:rsidR="009919D4" w:rsidRPr="00D2332A" w:rsidRDefault="009919D4" w:rsidP="00D47A52">
            <w:pPr>
              <w:spacing w:before="0" w:after="0"/>
              <w:jc w:val="center"/>
              <w:rPr>
                <w:rFonts w:cs="Times New Roman"/>
                <w:color w:val="000000"/>
                <w:sz w:val="20"/>
                <w:szCs w:val="20"/>
              </w:rPr>
            </w:pPr>
            <w:r w:rsidRPr="00D2332A">
              <w:rPr>
                <w:rFonts w:cs="Times New Roman"/>
                <w:color w:val="000000"/>
                <w:sz w:val="20"/>
                <w:szCs w:val="20"/>
              </w:rPr>
              <w:t>0.604</w:t>
            </w:r>
          </w:p>
        </w:tc>
      </w:tr>
      <w:tr w:rsidR="009919D4" w:rsidRPr="00D2332A" w14:paraId="73A80797" w14:textId="77777777" w:rsidTr="00BF10D1">
        <w:trPr>
          <w:trHeight w:val="300"/>
        </w:trPr>
        <w:tc>
          <w:tcPr>
            <w:tcW w:w="1247" w:type="dxa"/>
            <w:tcBorders>
              <w:top w:val="nil"/>
              <w:left w:val="nil"/>
              <w:bottom w:val="nil"/>
              <w:right w:val="nil"/>
            </w:tcBorders>
            <w:shd w:val="clear" w:color="auto" w:fill="auto"/>
            <w:noWrap/>
            <w:vAlign w:val="bottom"/>
            <w:hideMark/>
          </w:tcPr>
          <w:p w14:paraId="20F8C7E2" w14:textId="77777777" w:rsidR="009919D4" w:rsidRPr="00D2332A" w:rsidRDefault="009919D4" w:rsidP="00D47A52">
            <w:pPr>
              <w:spacing w:before="0" w:after="0"/>
              <w:jc w:val="left"/>
              <w:rPr>
                <w:rFonts w:cs="Times New Roman"/>
                <w:color w:val="000000"/>
                <w:sz w:val="20"/>
                <w:szCs w:val="20"/>
              </w:rPr>
            </w:pPr>
            <w:r w:rsidRPr="00D2332A">
              <w:rPr>
                <w:rFonts w:cs="Times New Roman"/>
                <w:color w:val="000000"/>
                <w:sz w:val="20"/>
                <w:szCs w:val="20"/>
              </w:rPr>
              <w:t>DIN</w:t>
            </w:r>
          </w:p>
        </w:tc>
        <w:tc>
          <w:tcPr>
            <w:tcW w:w="1738" w:type="dxa"/>
            <w:tcBorders>
              <w:top w:val="nil"/>
              <w:left w:val="nil"/>
              <w:bottom w:val="nil"/>
              <w:right w:val="nil"/>
            </w:tcBorders>
            <w:shd w:val="clear" w:color="auto" w:fill="auto"/>
            <w:noWrap/>
            <w:vAlign w:val="bottom"/>
            <w:hideMark/>
          </w:tcPr>
          <w:p w14:paraId="0318F54F" w14:textId="77777777" w:rsidR="009919D4" w:rsidRPr="00D2332A" w:rsidRDefault="009919D4" w:rsidP="00D47A52">
            <w:pPr>
              <w:spacing w:before="0" w:after="0"/>
              <w:jc w:val="center"/>
              <w:rPr>
                <w:rFonts w:cs="Times New Roman"/>
                <w:color w:val="000000"/>
                <w:sz w:val="20"/>
                <w:szCs w:val="20"/>
              </w:rPr>
            </w:pPr>
            <w:r w:rsidRPr="00D2332A">
              <w:rPr>
                <w:rFonts w:cs="Times New Roman"/>
                <w:color w:val="000000"/>
                <w:sz w:val="20"/>
                <w:szCs w:val="20"/>
              </w:rPr>
              <w:t>0.293</w:t>
            </w:r>
          </w:p>
        </w:tc>
        <w:tc>
          <w:tcPr>
            <w:tcW w:w="1340" w:type="dxa"/>
            <w:tcBorders>
              <w:top w:val="nil"/>
              <w:left w:val="nil"/>
              <w:bottom w:val="nil"/>
              <w:right w:val="nil"/>
            </w:tcBorders>
            <w:shd w:val="clear" w:color="auto" w:fill="auto"/>
            <w:noWrap/>
            <w:vAlign w:val="bottom"/>
            <w:hideMark/>
          </w:tcPr>
          <w:p w14:paraId="6F8780C2" w14:textId="77777777" w:rsidR="009919D4" w:rsidRPr="00D2332A" w:rsidRDefault="009919D4" w:rsidP="00D47A52">
            <w:pPr>
              <w:spacing w:before="0" w:after="0"/>
              <w:jc w:val="center"/>
              <w:rPr>
                <w:rFonts w:cs="Times New Roman"/>
                <w:color w:val="000000"/>
                <w:sz w:val="20"/>
                <w:szCs w:val="20"/>
              </w:rPr>
            </w:pPr>
            <w:r w:rsidRPr="00D2332A">
              <w:rPr>
                <w:rFonts w:cs="Times New Roman"/>
                <w:color w:val="000000"/>
                <w:sz w:val="20"/>
                <w:szCs w:val="20"/>
              </w:rPr>
              <w:t>0.492</w:t>
            </w:r>
          </w:p>
        </w:tc>
        <w:tc>
          <w:tcPr>
            <w:tcW w:w="2340" w:type="dxa"/>
            <w:tcBorders>
              <w:top w:val="nil"/>
              <w:left w:val="nil"/>
              <w:bottom w:val="nil"/>
              <w:right w:val="nil"/>
            </w:tcBorders>
            <w:shd w:val="clear" w:color="auto" w:fill="auto"/>
            <w:noWrap/>
            <w:vAlign w:val="bottom"/>
            <w:hideMark/>
          </w:tcPr>
          <w:p w14:paraId="3C638100" w14:textId="77777777" w:rsidR="009919D4" w:rsidRPr="00D2332A" w:rsidRDefault="009919D4" w:rsidP="00D47A52">
            <w:pPr>
              <w:spacing w:before="0" w:after="0"/>
              <w:jc w:val="center"/>
              <w:rPr>
                <w:rFonts w:cs="Times New Roman"/>
                <w:color w:val="000000"/>
                <w:sz w:val="20"/>
                <w:szCs w:val="20"/>
              </w:rPr>
            </w:pPr>
            <w:r w:rsidRPr="00D2332A">
              <w:rPr>
                <w:rFonts w:cs="Times New Roman"/>
                <w:color w:val="000000"/>
                <w:sz w:val="20"/>
                <w:szCs w:val="20"/>
              </w:rPr>
              <w:t>0.555</w:t>
            </w:r>
          </w:p>
        </w:tc>
        <w:tc>
          <w:tcPr>
            <w:tcW w:w="2068" w:type="dxa"/>
            <w:tcBorders>
              <w:top w:val="nil"/>
              <w:left w:val="nil"/>
              <w:bottom w:val="nil"/>
              <w:right w:val="nil"/>
            </w:tcBorders>
            <w:shd w:val="clear" w:color="auto" w:fill="auto"/>
            <w:noWrap/>
            <w:vAlign w:val="bottom"/>
            <w:hideMark/>
          </w:tcPr>
          <w:p w14:paraId="5058A468" w14:textId="77777777" w:rsidR="009919D4" w:rsidRPr="00D2332A" w:rsidRDefault="009919D4" w:rsidP="00D47A52">
            <w:pPr>
              <w:spacing w:before="0" w:after="0"/>
              <w:jc w:val="center"/>
              <w:rPr>
                <w:rFonts w:cs="Times New Roman"/>
                <w:color w:val="000000"/>
                <w:sz w:val="20"/>
                <w:szCs w:val="20"/>
              </w:rPr>
            </w:pPr>
            <w:r w:rsidRPr="00D2332A">
              <w:rPr>
                <w:rFonts w:cs="Times New Roman"/>
                <w:color w:val="000000"/>
                <w:sz w:val="20"/>
                <w:szCs w:val="20"/>
              </w:rPr>
              <w:t>0.553</w:t>
            </w:r>
          </w:p>
        </w:tc>
      </w:tr>
      <w:tr w:rsidR="009919D4" w:rsidRPr="00D2332A" w14:paraId="11B71234" w14:textId="77777777" w:rsidTr="00BF10D1">
        <w:trPr>
          <w:trHeight w:val="300"/>
        </w:trPr>
        <w:tc>
          <w:tcPr>
            <w:tcW w:w="1247" w:type="dxa"/>
            <w:tcBorders>
              <w:top w:val="nil"/>
              <w:left w:val="nil"/>
              <w:bottom w:val="nil"/>
              <w:right w:val="nil"/>
            </w:tcBorders>
            <w:shd w:val="clear" w:color="auto" w:fill="auto"/>
            <w:noWrap/>
            <w:vAlign w:val="bottom"/>
            <w:hideMark/>
          </w:tcPr>
          <w:p w14:paraId="10381595" w14:textId="77777777" w:rsidR="009919D4" w:rsidRPr="00D2332A" w:rsidRDefault="009919D4" w:rsidP="00D47A52">
            <w:pPr>
              <w:spacing w:before="0" w:after="0"/>
              <w:jc w:val="left"/>
              <w:rPr>
                <w:rFonts w:cs="Times New Roman"/>
                <w:color w:val="000000"/>
                <w:sz w:val="20"/>
                <w:szCs w:val="20"/>
              </w:rPr>
            </w:pPr>
            <w:r w:rsidRPr="00D2332A">
              <w:rPr>
                <w:rFonts w:cs="Times New Roman"/>
                <w:color w:val="000000"/>
                <w:sz w:val="20"/>
                <w:szCs w:val="20"/>
              </w:rPr>
              <w:t>TP</w:t>
            </w:r>
          </w:p>
        </w:tc>
        <w:tc>
          <w:tcPr>
            <w:tcW w:w="1738" w:type="dxa"/>
            <w:tcBorders>
              <w:top w:val="nil"/>
              <w:left w:val="nil"/>
              <w:bottom w:val="nil"/>
              <w:right w:val="nil"/>
            </w:tcBorders>
            <w:shd w:val="clear" w:color="auto" w:fill="auto"/>
            <w:noWrap/>
            <w:vAlign w:val="bottom"/>
            <w:hideMark/>
          </w:tcPr>
          <w:p w14:paraId="52A0B3FE" w14:textId="77777777" w:rsidR="009919D4" w:rsidRPr="00D2332A" w:rsidRDefault="009919D4" w:rsidP="00D47A52">
            <w:pPr>
              <w:spacing w:before="0" w:after="0"/>
              <w:jc w:val="center"/>
              <w:rPr>
                <w:rFonts w:cs="Times New Roman"/>
                <w:color w:val="000000"/>
                <w:sz w:val="20"/>
                <w:szCs w:val="20"/>
              </w:rPr>
            </w:pPr>
            <w:r w:rsidRPr="00D2332A">
              <w:rPr>
                <w:rFonts w:cs="Times New Roman"/>
                <w:color w:val="000000"/>
                <w:sz w:val="20"/>
                <w:szCs w:val="20"/>
              </w:rPr>
              <w:t>0.152</w:t>
            </w:r>
          </w:p>
        </w:tc>
        <w:tc>
          <w:tcPr>
            <w:tcW w:w="1340" w:type="dxa"/>
            <w:tcBorders>
              <w:top w:val="nil"/>
              <w:left w:val="nil"/>
              <w:bottom w:val="nil"/>
              <w:right w:val="nil"/>
            </w:tcBorders>
            <w:shd w:val="clear" w:color="auto" w:fill="auto"/>
            <w:noWrap/>
            <w:vAlign w:val="bottom"/>
            <w:hideMark/>
          </w:tcPr>
          <w:p w14:paraId="7A260052" w14:textId="77777777" w:rsidR="009919D4" w:rsidRPr="00D2332A" w:rsidRDefault="009919D4" w:rsidP="00D47A52">
            <w:pPr>
              <w:spacing w:before="0" w:after="0"/>
              <w:jc w:val="center"/>
              <w:rPr>
                <w:rFonts w:cs="Times New Roman"/>
                <w:color w:val="000000"/>
                <w:sz w:val="20"/>
                <w:szCs w:val="20"/>
              </w:rPr>
            </w:pPr>
            <w:r w:rsidRPr="00D2332A">
              <w:rPr>
                <w:rFonts w:cs="Times New Roman"/>
                <w:color w:val="000000"/>
                <w:sz w:val="20"/>
                <w:szCs w:val="20"/>
              </w:rPr>
              <w:t>0.419</w:t>
            </w:r>
          </w:p>
        </w:tc>
        <w:tc>
          <w:tcPr>
            <w:tcW w:w="2340" w:type="dxa"/>
            <w:tcBorders>
              <w:top w:val="nil"/>
              <w:left w:val="nil"/>
              <w:bottom w:val="nil"/>
              <w:right w:val="nil"/>
            </w:tcBorders>
            <w:shd w:val="clear" w:color="000000" w:fill="FFFF00"/>
            <w:noWrap/>
            <w:vAlign w:val="bottom"/>
            <w:hideMark/>
          </w:tcPr>
          <w:p w14:paraId="1EE73CF5" w14:textId="77777777" w:rsidR="009919D4" w:rsidRPr="00D2332A" w:rsidRDefault="009919D4" w:rsidP="00D47A52">
            <w:pPr>
              <w:spacing w:before="0" w:after="0"/>
              <w:jc w:val="center"/>
              <w:rPr>
                <w:rFonts w:cs="Times New Roman"/>
                <w:color w:val="000000"/>
                <w:sz w:val="20"/>
                <w:szCs w:val="20"/>
              </w:rPr>
            </w:pPr>
            <w:r w:rsidRPr="00D2332A">
              <w:rPr>
                <w:rFonts w:cs="Times New Roman"/>
                <w:color w:val="000000"/>
                <w:sz w:val="20"/>
                <w:szCs w:val="20"/>
              </w:rPr>
              <w:t>0.663</w:t>
            </w:r>
          </w:p>
        </w:tc>
        <w:tc>
          <w:tcPr>
            <w:tcW w:w="2068" w:type="dxa"/>
            <w:tcBorders>
              <w:top w:val="nil"/>
              <w:left w:val="nil"/>
              <w:bottom w:val="nil"/>
              <w:right w:val="nil"/>
            </w:tcBorders>
            <w:shd w:val="clear" w:color="auto" w:fill="auto"/>
            <w:noWrap/>
            <w:vAlign w:val="bottom"/>
            <w:hideMark/>
          </w:tcPr>
          <w:p w14:paraId="281A3D86" w14:textId="77777777" w:rsidR="009919D4" w:rsidRPr="00D2332A" w:rsidRDefault="009919D4" w:rsidP="00D47A52">
            <w:pPr>
              <w:spacing w:before="0" w:after="0"/>
              <w:jc w:val="center"/>
              <w:rPr>
                <w:rFonts w:cs="Times New Roman"/>
                <w:color w:val="000000"/>
                <w:sz w:val="20"/>
                <w:szCs w:val="20"/>
              </w:rPr>
            </w:pPr>
            <w:r w:rsidRPr="00D2332A">
              <w:rPr>
                <w:rFonts w:cs="Times New Roman"/>
                <w:color w:val="000000"/>
                <w:sz w:val="20"/>
                <w:szCs w:val="20"/>
              </w:rPr>
              <w:t>0.403</w:t>
            </w:r>
          </w:p>
        </w:tc>
      </w:tr>
      <w:tr w:rsidR="009919D4" w:rsidRPr="00D2332A" w14:paraId="29716308" w14:textId="77777777" w:rsidTr="00BF10D1">
        <w:trPr>
          <w:trHeight w:val="300"/>
        </w:trPr>
        <w:tc>
          <w:tcPr>
            <w:tcW w:w="1247" w:type="dxa"/>
            <w:tcBorders>
              <w:top w:val="nil"/>
              <w:left w:val="nil"/>
              <w:bottom w:val="nil"/>
              <w:right w:val="nil"/>
            </w:tcBorders>
            <w:shd w:val="clear" w:color="auto" w:fill="auto"/>
            <w:noWrap/>
            <w:vAlign w:val="bottom"/>
            <w:hideMark/>
          </w:tcPr>
          <w:p w14:paraId="3742042C" w14:textId="77777777" w:rsidR="009919D4" w:rsidRPr="00D2332A" w:rsidRDefault="009919D4" w:rsidP="00D47A52">
            <w:pPr>
              <w:spacing w:before="0" w:after="0"/>
              <w:jc w:val="left"/>
              <w:rPr>
                <w:rFonts w:cs="Times New Roman"/>
                <w:color w:val="000000"/>
                <w:sz w:val="20"/>
                <w:szCs w:val="20"/>
              </w:rPr>
            </w:pPr>
            <w:r w:rsidRPr="00D2332A">
              <w:rPr>
                <w:rFonts w:cs="Times New Roman"/>
                <w:color w:val="000000"/>
                <w:sz w:val="20"/>
                <w:szCs w:val="20"/>
              </w:rPr>
              <w:t>DIP</w:t>
            </w:r>
          </w:p>
        </w:tc>
        <w:tc>
          <w:tcPr>
            <w:tcW w:w="1738" w:type="dxa"/>
            <w:tcBorders>
              <w:top w:val="nil"/>
              <w:left w:val="nil"/>
              <w:bottom w:val="nil"/>
              <w:right w:val="nil"/>
            </w:tcBorders>
            <w:shd w:val="clear" w:color="auto" w:fill="auto"/>
            <w:noWrap/>
            <w:vAlign w:val="bottom"/>
            <w:hideMark/>
          </w:tcPr>
          <w:p w14:paraId="7AA6D70F" w14:textId="77777777" w:rsidR="009919D4" w:rsidRPr="00D2332A" w:rsidRDefault="009919D4" w:rsidP="00D47A52">
            <w:pPr>
              <w:spacing w:before="0" w:after="0"/>
              <w:jc w:val="center"/>
              <w:rPr>
                <w:rFonts w:cs="Times New Roman"/>
                <w:color w:val="000000"/>
                <w:sz w:val="20"/>
                <w:szCs w:val="20"/>
              </w:rPr>
            </w:pPr>
            <w:r w:rsidRPr="00D2332A">
              <w:rPr>
                <w:rFonts w:cs="Times New Roman"/>
                <w:color w:val="000000"/>
                <w:sz w:val="20"/>
                <w:szCs w:val="20"/>
              </w:rPr>
              <w:t>0.006</w:t>
            </w:r>
          </w:p>
        </w:tc>
        <w:tc>
          <w:tcPr>
            <w:tcW w:w="1340" w:type="dxa"/>
            <w:tcBorders>
              <w:top w:val="nil"/>
              <w:left w:val="nil"/>
              <w:bottom w:val="nil"/>
              <w:right w:val="nil"/>
            </w:tcBorders>
            <w:shd w:val="clear" w:color="auto" w:fill="auto"/>
            <w:noWrap/>
            <w:vAlign w:val="bottom"/>
            <w:hideMark/>
          </w:tcPr>
          <w:p w14:paraId="6D955ACD" w14:textId="77777777" w:rsidR="009919D4" w:rsidRPr="00D2332A" w:rsidRDefault="009919D4" w:rsidP="00D47A52">
            <w:pPr>
              <w:spacing w:before="0" w:after="0"/>
              <w:jc w:val="center"/>
              <w:rPr>
                <w:rFonts w:cs="Times New Roman"/>
                <w:color w:val="000000"/>
                <w:sz w:val="20"/>
                <w:szCs w:val="20"/>
              </w:rPr>
            </w:pPr>
            <w:r w:rsidRPr="00D2332A">
              <w:rPr>
                <w:rFonts w:cs="Times New Roman"/>
                <w:color w:val="000000"/>
                <w:sz w:val="20"/>
                <w:szCs w:val="20"/>
              </w:rPr>
              <w:t>0.211</w:t>
            </w:r>
          </w:p>
        </w:tc>
        <w:tc>
          <w:tcPr>
            <w:tcW w:w="2340" w:type="dxa"/>
            <w:tcBorders>
              <w:top w:val="nil"/>
              <w:left w:val="nil"/>
              <w:bottom w:val="nil"/>
              <w:right w:val="nil"/>
            </w:tcBorders>
            <w:shd w:val="clear" w:color="auto" w:fill="auto"/>
            <w:noWrap/>
            <w:vAlign w:val="bottom"/>
            <w:hideMark/>
          </w:tcPr>
          <w:p w14:paraId="15C94A29" w14:textId="77777777" w:rsidR="009919D4" w:rsidRPr="00D2332A" w:rsidRDefault="009919D4" w:rsidP="00D47A52">
            <w:pPr>
              <w:spacing w:before="0" w:after="0"/>
              <w:jc w:val="center"/>
              <w:rPr>
                <w:rFonts w:cs="Times New Roman"/>
                <w:color w:val="000000"/>
                <w:sz w:val="20"/>
                <w:szCs w:val="20"/>
              </w:rPr>
            </w:pPr>
            <w:r w:rsidRPr="00D2332A">
              <w:rPr>
                <w:rFonts w:cs="Times New Roman"/>
                <w:color w:val="000000"/>
                <w:sz w:val="20"/>
                <w:szCs w:val="20"/>
              </w:rPr>
              <w:t>0.474</w:t>
            </w:r>
          </w:p>
        </w:tc>
        <w:tc>
          <w:tcPr>
            <w:tcW w:w="2068" w:type="dxa"/>
            <w:tcBorders>
              <w:top w:val="nil"/>
              <w:left w:val="nil"/>
              <w:bottom w:val="nil"/>
              <w:right w:val="nil"/>
            </w:tcBorders>
            <w:shd w:val="clear" w:color="auto" w:fill="auto"/>
            <w:noWrap/>
            <w:vAlign w:val="bottom"/>
            <w:hideMark/>
          </w:tcPr>
          <w:p w14:paraId="662EB8B8" w14:textId="77777777" w:rsidR="009919D4" w:rsidRPr="00D2332A" w:rsidRDefault="009919D4" w:rsidP="00D47A52">
            <w:pPr>
              <w:spacing w:before="0" w:after="0"/>
              <w:jc w:val="center"/>
              <w:rPr>
                <w:rFonts w:cs="Times New Roman"/>
                <w:color w:val="000000"/>
                <w:sz w:val="20"/>
                <w:szCs w:val="20"/>
              </w:rPr>
            </w:pPr>
            <w:r w:rsidRPr="00D2332A">
              <w:rPr>
                <w:rFonts w:cs="Times New Roman"/>
                <w:color w:val="000000"/>
                <w:sz w:val="20"/>
                <w:szCs w:val="20"/>
              </w:rPr>
              <w:t>-0.045</w:t>
            </w:r>
          </w:p>
        </w:tc>
      </w:tr>
      <w:tr w:rsidR="009919D4" w:rsidRPr="00D2332A" w14:paraId="21088C4C" w14:textId="77777777" w:rsidTr="00BF10D1">
        <w:trPr>
          <w:trHeight w:val="300"/>
        </w:trPr>
        <w:tc>
          <w:tcPr>
            <w:tcW w:w="1247" w:type="dxa"/>
            <w:tcBorders>
              <w:top w:val="nil"/>
              <w:left w:val="nil"/>
              <w:bottom w:val="nil"/>
              <w:right w:val="nil"/>
            </w:tcBorders>
            <w:shd w:val="clear" w:color="auto" w:fill="auto"/>
            <w:noWrap/>
            <w:vAlign w:val="bottom"/>
            <w:hideMark/>
          </w:tcPr>
          <w:p w14:paraId="7DF0EADE" w14:textId="77777777" w:rsidR="009919D4" w:rsidRPr="00D2332A" w:rsidRDefault="009919D4" w:rsidP="00D47A52">
            <w:pPr>
              <w:spacing w:before="0" w:after="0"/>
              <w:jc w:val="left"/>
              <w:rPr>
                <w:rFonts w:cs="Times New Roman"/>
                <w:color w:val="000000"/>
                <w:sz w:val="20"/>
                <w:szCs w:val="20"/>
              </w:rPr>
            </w:pPr>
            <w:r w:rsidRPr="00D2332A">
              <w:rPr>
                <w:rFonts w:cs="Times New Roman"/>
                <w:color w:val="000000"/>
                <w:sz w:val="20"/>
                <w:szCs w:val="20"/>
              </w:rPr>
              <w:t>PN</w:t>
            </w:r>
          </w:p>
        </w:tc>
        <w:tc>
          <w:tcPr>
            <w:tcW w:w="1738" w:type="dxa"/>
            <w:tcBorders>
              <w:top w:val="nil"/>
              <w:left w:val="nil"/>
              <w:bottom w:val="nil"/>
              <w:right w:val="nil"/>
            </w:tcBorders>
            <w:shd w:val="clear" w:color="auto" w:fill="auto"/>
            <w:noWrap/>
            <w:vAlign w:val="bottom"/>
            <w:hideMark/>
          </w:tcPr>
          <w:p w14:paraId="1E6F32FF" w14:textId="77777777" w:rsidR="009919D4" w:rsidRPr="00D2332A" w:rsidRDefault="009919D4" w:rsidP="00D47A52">
            <w:pPr>
              <w:spacing w:before="0" w:after="0"/>
              <w:jc w:val="center"/>
              <w:rPr>
                <w:rFonts w:cs="Times New Roman"/>
                <w:color w:val="000000"/>
                <w:sz w:val="20"/>
                <w:szCs w:val="20"/>
              </w:rPr>
            </w:pPr>
            <w:r w:rsidRPr="00D2332A">
              <w:rPr>
                <w:rFonts w:cs="Times New Roman"/>
                <w:color w:val="000000"/>
                <w:sz w:val="20"/>
                <w:szCs w:val="20"/>
              </w:rPr>
              <w:t>0.039</w:t>
            </w:r>
          </w:p>
        </w:tc>
        <w:tc>
          <w:tcPr>
            <w:tcW w:w="1340" w:type="dxa"/>
            <w:tcBorders>
              <w:top w:val="nil"/>
              <w:left w:val="nil"/>
              <w:bottom w:val="nil"/>
              <w:right w:val="nil"/>
            </w:tcBorders>
            <w:shd w:val="clear" w:color="auto" w:fill="auto"/>
            <w:noWrap/>
            <w:vAlign w:val="bottom"/>
            <w:hideMark/>
          </w:tcPr>
          <w:p w14:paraId="2B042D4A" w14:textId="77777777" w:rsidR="009919D4" w:rsidRPr="00D2332A" w:rsidRDefault="009919D4" w:rsidP="00D47A52">
            <w:pPr>
              <w:spacing w:before="0" w:after="0"/>
              <w:jc w:val="center"/>
              <w:rPr>
                <w:rFonts w:cs="Times New Roman"/>
                <w:color w:val="000000"/>
                <w:sz w:val="20"/>
                <w:szCs w:val="20"/>
              </w:rPr>
            </w:pPr>
            <w:r w:rsidRPr="00D2332A">
              <w:rPr>
                <w:rFonts w:cs="Times New Roman"/>
                <w:color w:val="000000"/>
                <w:sz w:val="20"/>
                <w:szCs w:val="20"/>
              </w:rPr>
              <w:t>0.012</w:t>
            </w:r>
          </w:p>
        </w:tc>
        <w:tc>
          <w:tcPr>
            <w:tcW w:w="2340" w:type="dxa"/>
            <w:tcBorders>
              <w:top w:val="nil"/>
              <w:left w:val="nil"/>
              <w:bottom w:val="nil"/>
              <w:right w:val="nil"/>
            </w:tcBorders>
            <w:shd w:val="clear" w:color="auto" w:fill="auto"/>
            <w:noWrap/>
            <w:vAlign w:val="bottom"/>
            <w:hideMark/>
          </w:tcPr>
          <w:p w14:paraId="5A4A42C1" w14:textId="77777777" w:rsidR="009919D4" w:rsidRPr="00D2332A" w:rsidRDefault="009919D4" w:rsidP="00D47A52">
            <w:pPr>
              <w:spacing w:before="0" w:after="0"/>
              <w:jc w:val="center"/>
              <w:rPr>
                <w:rFonts w:cs="Times New Roman"/>
                <w:color w:val="000000"/>
                <w:sz w:val="20"/>
                <w:szCs w:val="20"/>
              </w:rPr>
            </w:pPr>
            <w:r w:rsidRPr="00D2332A">
              <w:rPr>
                <w:rFonts w:cs="Times New Roman"/>
                <w:color w:val="000000"/>
                <w:sz w:val="20"/>
                <w:szCs w:val="20"/>
              </w:rPr>
              <w:t>0.188</w:t>
            </w:r>
          </w:p>
        </w:tc>
        <w:tc>
          <w:tcPr>
            <w:tcW w:w="2068" w:type="dxa"/>
            <w:tcBorders>
              <w:top w:val="nil"/>
              <w:left w:val="nil"/>
              <w:bottom w:val="nil"/>
              <w:right w:val="nil"/>
            </w:tcBorders>
            <w:shd w:val="clear" w:color="auto" w:fill="auto"/>
            <w:noWrap/>
            <w:vAlign w:val="bottom"/>
            <w:hideMark/>
          </w:tcPr>
          <w:p w14:paraId="6DEFBBE7" w14:textId="77777777" w:rsidR="009919D4" w:rsidRPr="00D2332A" w:rsidRDefault="009919D4" w:rsidP="00D47A52">
            <w:pPr>
              <w:spacing w:before="0" w:after="0"/>
              <w:jc w:val="center"/>
              <w:rPr>
                <w:rFonts w:cs="Times New Roman"/>
                <w:color w:val="000000"/>
                <w:sz w:val="20"/>
                <w:szCs w:val="20"/>
              </w:rPr>
            </w:pPr>
            <w:r w:rsidRPr="00D2332A">
              <w:rPr>
                <w:rFonts w:cs="Times New Roman"/>
                <w:color w:val="000000"/>
                <w:sz w:val="20"/>
                <w:szCs w:val="20"/>
              </w:rPr>
              <w:t>0.406</w:t>
            </w:r>
          </w:p>
        </w:tc>
      </w:tr>
      <w:tr w:rsidR="009919D4" w:rsidRPr="00D2332A" w14:paraId="1388BE94" w14:textId="77777777" w:rsidTr="00BF10D1">
        <w:trPr>
          <w:trHeight w:val="300"/>
        </w:trPr>
        <w:tc>
          <w:tcPr>
            <w:tcW w:w="1247" w:type="dxa"/>
            <w:tcBorders>
              <w:top w:val="nil"/>
              <w:left w:val="nil"/>
              <w:bottom w:val="single" w:sz="4" w:space="0" w:color="auto"/>
              <w:right w:val="nil"/>
            </w:tcBorders>
            <w:shd w:val="clear" w:color="auto" w:fill="auto"/>
            <w:noWrap/>
            <w:vAlign w:val="bottom"/>
            <w:hideMark/>
          </w:tcPr>
          <w:p w14:paraId="5FFB115B" w14:textId="77777777" w:rsidR="009919D4" w:rsidRPr="00D2332A" w:rsidRDefault="009919D4" w:rsidP="00D47A52">
            <w:pPr>
              <w:spacing w:before="0" w:after="0"/>
              <w:jc w:val="left"/>
              <w:rPr>
                <w:rFonts w:cs="Times New Roman"/>
                <w:color w:val="000000"/>
                <w:sz w:val="20"/>
                <w:szCs w:val="20"/>
              </w:rPr>
            </w:pPr>
            <w:r w:rsidRPr="00D2332A">
              <w:rPr>
                <w:rFonts w:cs="Times New Roman"/>
                <w:color w:val="000000"/>
                <w:sz w:val="20"/>
                <w:szCs w:val="20"/>
              </w:rPr>
              <w:t>PP</w:t>
            </w:r>
          </w:p>
        </w:tc>
        <w:tc>
          <w:tcPr>
            <w:tcW w:w="1738" w:type="dxa"/>
            <w:tcBorders>
              <w:top w:val="nil"/>
              <w:left w:val="nil"/>
              <w:bottom w:val="single" w:sz="4" w:space="0" w:color="auto"/>
              <w:right w:val="nil"/>
            </w:tcBorders>
            <w:shd w:val="clear" w:color="auto" w:fill="auto"/>
            <w:noWrap/>
            <w:vAlign w:val="bottom"/>
            <w:hideMark/>
          </w:tcPr>
          <w:p w14:paraId="3DD5B06B" w14:textId="77777777" w:rsidR="009919D4" w:rsidRPr="00D2332A" w:rsidRDefault="009919D4" w:rsidP="00D47A52">
            <w:pPr>
              <w:spacing w:before="0" w:after="0"/>
              <w:jc w:val="center"/>
              <w:rPr>
                <w:rFonts w:cs="Times New Roman"/>
                <w:color w:val="000000"/>
                <w:sz w:val="20"/>
                <w:szCs w:val="20"/>
              </w:rPr>
            </w:pPr>
            <w:r w:rsidRPr="00D2332A">
              <w:rPr>
                <w:rFonts w:cs="Times New Roman"/>
                <w:color w:val="000000"/>
                <w:sz w:val="20"/>
                <w:szCs w:val="20"/>
              </w:rPr>
              <w:t>0.109</w:t>
            </w:r>
          </w:p>
        </w:tc>
        <w:tc>
          <w:tcPr>
            <w:tcW w:w="1340" w:type="dxa"/>
            <w:tcBorders>
              <w:top w:val="nil"/>
              <w:left w:val="nil"/>
              <w:bottom w:val="single" w:sz="4" w:space="0" w:color="auto"/>
              <w:right w:val="nil"/>
            </w:tcBorders>
            <w:shd w:val="clear" w:color="auto" w:fill="auto"/>
            <w:noWrap/>
            <w:vAlign w:val="bottom"/>
            <w:hideMark/>
          </w:tcPr>
          <w:p w14:paraId="49DDC2FA" w14:textId="77777777" w:rsidR="009919D4" w:rsidRPr="00D2332A" w:rsidRDefault="009919D4" w:rsidP="00D47A52">
            <w:pPr>
              <w:spacing w:before="0" w:after="0"/>
              <w:jc w:val="center"/>
              <w:rPr>
                <w:rFonts w:cs="Times New Roman"/>
                <w:color w:val="000000"/>
                <w:sz w:val="20"/>
                <w:szCs w:val="20"/>
              </w:rPr>
            </w:pPr>
            <w:r w:rsidRPr="00D2332A">
              <w:rPr>
                <w:rFonts w:cs="Times New Roman"/>
                <w:color w:val="000000"/>
                <w:sz w:val="20"/>
                <w:szCs w:val="20"/>
              </w:rPr>
              <w:t>0.385</w:t>
            </w:r>
          </w:p>
        </w:tc>
        <w:tc>
          <w:tcPr>
            <w:tcW w:w="2340" w:type="dxa"/>
            <w:tcBorders>
              <w:top w:val="nil"/>
              <w:left w:val="nil"/>
              <w:bottom w:val="single" w:sz="4" w:space="0" w:color="auto"/>
              <w:right w:val="nil"/>
            </w:tcBorders>
            <w:shd w:val="clear" w:color="000000" w:fill="FFFF00"/>
            <w:noWrap/>
            <w:vAlign w:val="bottom"/>
            <w:hideMark/>
          </w:tcPr>
          <w:p w14:paraId="5B8DBCF2" w14:textId="77777777" w:rsidR="009919D4" w:rsidRPr="00D2332A" w:rsidRDefault="009919D4" w:rsidP="00D47A52">
            <w:pPr>
              <w:spacing w:before="0" w:after="0"/>
              <w:jc w:val="center"/>
              <w:rPr>
                <w:rFonts w:cs="Times New Roman"/>
                <w:color w:val="000000"/>
                <w:sz w:val="20"/>
                <w:szCs w:val="20"/>
              </w:rPr>
            </w:pPr>
            <w:r w:rsidRPr="00D2332A">
              <w:rPr>
                <w:rFonts w:cs="Times New Roman"/>
                <w:color w:val="000000"/>
                <w:sz w:val="20"/>
                <w:szCs w:val="20"/>
              </w:rPr>
              <w:t>0.632</w:t>
            </w:r>
          </w:p>
        </w:tc>
        <w:tc>
          <w:tcPr>
            <w:tcW w:w="2068" w:type="dxa"/>
            <w:tcBorders>
              <w:top w:val="nil"/>
              <w:left w:val="nil"/>
              <w:bottom w:val="single" w:sz="4" w:space="0" w:color="auto"/>
              <w:right w:val="nil"/>
            </w:tcBorders>
            <w:shd w:val="clear" w:color="auto" w:fill="auto"/>
            <w:noWrap/>
            <w:vAlign w:val="bottom"/>
            <w:hideMark/>
          </w:tcPr>
          <w:p w14:paraId="67967EBB" w14:textId="77777777" w:rsidR="009919D4" w:rsidRPr="00D2332A" w:rsidRDefault="009919D4" w:rsidP="00D47A52">
            <w:pPr>
              <w:spacing w:before="0" w:after="0"/>
              <w:jc w:val="center"/>
              <w:rPr>
                <w:rFonts w:cs="Times New Roman"/>
                <w:color w:val="000000"/>
                <w:sz w:val="20"/>
                <w:szCs w:val="20"/>
              </w:rPr>
            </w:pPr>
            <w:r w:rsidRPr="00D2332A">
              <w:rPr>
                <w:rFonts w:cs="Times New Roman"/>
                <w:color w:val="000000"/>
                <w:sz w:val="20"/>
                <w:szCs w:val="20"/>
              </w:rPr>
              <w:t>0.285</w:t>
            </w:r>
          </w:p>
        </w:tc>
      </w:tr>
    </w:tbl>
    <w:p w14:paraId="0003E3CD" w14:textId="77777777" w:rsidR="00C83AAE" w:rsidRDefault="00C83AAE" w:rsidP="00BF10D1">
      <w:pPr>
        <w:pStyle w:val="Caption"/>
      </w:pPr>
    </w:p>
    <w:p w14:paraId="3046CD25" w14:textId="492BCFE7" w:rsidR="00BF10D1" w:rsidRPr="00A64178" w:rsidRDefault="00BF10D1" w:rsidP="00BF10D1">
      <w:pPr>
        <w:pStyle w:val="Caption"/>
        <w:rPr>
          <w:rFonts w:cs="Courier New"/>
          <w:sz w:val="24"/>
        </w:rPr>
      </w:pPr>
      <w:bookmarkStart w:id="164" w:name="_Toc454304613"/>
      <w:r>
        <w:t xml:space="preserve">Table </w:t>
      </w:r>
      <w:r w:rsidR="00445BD2">
        <w:fldChar w:fldCharType="begin"/>
      </w:r>
      <w:r w:rsidR="00445BD2">
        <w:instrText xml:space="preserve"> STYLEREF 1 \s </w:instrText>
      </w:r>
      <w:r w:rsidR="00445BD2">
        <w:fldChar w:fldCharType="separate"/>
      </w:r>
      <w:r w:rsidR="000E22F3">
        <w:rPr>
          <w:noProof/>
        </w:rPr>
        <w:t>4</w:t>
      </w:r>
      <w:r w:rsidR="00445BD2">
        <w:fldChar w:fldCharType="end"/>
      </w:r>
      <w:r w:rsidR="00445BD2">
        <w:noBreakHyphen/>
      </w:r>
      <w:r w:rsidR="00445BD2">
        <w:fldChar w:fldCharType="begin"/>
      </w:r>
      <w:r w:rsidR="00445BD2">
        <w:instrText xml:space="preserve"> SEQ Table \* ARABIC \s 1 </w:instrText>
      </w:r>
      <w:r w:rsidR="00445BD2">
        <w:fldChar w:fldCharType="separate"/>
      </w:r>
      <w:r w:rsidR="000E22F3">
        <w:rPr>
          <w:noProof/>
        </w:rPr>
        <w:t>8</w:t>
      </w:r>
      <w:r w:rsidR="00445BD2">
        <w:fldChar w:fldCharType="end"/>
      </w:r>
      <w:r>
        <w:t xml:space="preserve">: </w:t>
      </w:r>
      <w:r w:rsidRPr="001D6FE0">
        <w:rPr>
          <w:lang w:val="en-US"/>
        </w:rPr>
        <w:t>Spearman’s rank correlation coefficients f</w:t>
      </w:r>
      <w:r>
        <w:rPr>
          <w:lang w:val="en-US"/>
        </w:rPr>
        <w:t>rom</w:t>
      </w:r>
      <w:r w:rsidRPr="001D6FE0">
        <w:rPr>
          <w:lang w:val="en-US"/>
        </w:rPr>
        <w:t xml:space="preserve"> the four most frequent sampled transects over the </w:t>
      </w:r>
      <w:r w:rsidR="00D2332A">
        <w:rPr>
          <w:lang w:val="en-US"/>
        </w:rPr>
        <w:t>GBR</w:t>
      </w:r>
      <w:r w:rsidRPr="001D6FE0">
        <w:rPr>
          <w:lang w:val="en-US"/>
        </w:rPr>
        <w:t xml:space="preserve"> wide in the last 9 wet seasons. Values stand for correlation coefficient between </w:t>
      </w:r>
      <w:r>
        <w:rPr>
          <w:lang w:val="en-US"/>
        </w:rPr>
        <w:t>salinity</w:t>
      </w:r>
      <w:r w:rsidRPr="001D6FE0">
        <w:rPr>
          <w:lang w:val="en-US"/>
        </w:rPr>
        <w:t xml:space="preserve"> and the WQ parameters: TSS</w:t>
      </w:r>
      <w:r>
        <w:rPr>
          <w:lang w:val="en-US"/>
        </w:rPr>
        <w:t xml:space="preserve">, </w:t>
      </w:r>
      <w:r w:rsidR="00D2332A">
        <w:rPr>
          <w:lang w:val="en-US"/>
        </w:rPr>
        <w:t>C</w:t>
      </w:r>
      <w:r w:rsidRPr="001D6FE0">
        <w:rPr>
          <w:lang w:val="en-US"/>
        </w:rPr>
        <w:t xml:space="preserve">hl-a), </w:t>
      </w:r>
      <w:r>
        <w:rPr>
          <w:lang w:val="en-US"/>
        </w:rPr>
        <w:t>TN</w:t>
      </w:r>
      <w:r w:rsidRPr="001D6FE0">
        <w:rPr>
          <w:lang w:val="en-US"/>
        </w:rPr>
        <w:t xml:space="preserve">, TDN, </w:t>
      </w:r>
      <w:r>
        <w:rPr>
          <w:lang w:val="en-US"/>
        </w:rPr>
        <w:t>DIN</w:t>
      </w:r>
      <w:r w:rsidRPr="001D6FE0">
        <w:rPr>
          <w:lang w:val="en-US"/>
        </w:rPr>
        <w:t xml:space="preserve">, </w:t>
      </w:r>
      <w:r>
        <w:rPr>
          <w:lang w:val="en-US"/>
        </w:rPr>
        <w:t>TP</w:t>
      </w:r>
      <w:r w:rsidRPr="001D6FE0">
        <w:rPr>
          <w:lang w:val="en-US"/>
        </w:rPr>
        <w:t xml:space="preserve">, </w:t>
      </w:r>
      <w:r>
        <w:rPr>
          <w:lang w:val="en-US"/>
        </w:rPr>
        <w:t>TDP</w:t>
      </w:r>
      <w:r w:rsidRPr="001D6FE0">
        <w:rPr>
          <w:lang w:val="en-US"/>
        </w:rPr>
        <w:t xml:space="preserve">, </w:t>
      </w:r>
      <w:r>
        <w:rPr>
          <w:lang w:val="en-US"/>
        </w:rPr>
        <w:t>DIP,</w:t>
      </w:r>
      <w:r w:rsidRPr="001D6FE0">
        <w:rPr>
          <w:lang w:val="en-US"/>
        </w:rPr>
        <w:t xml:space="preserve"> </w:t>
      </w:r>
      <w:r>
        <w:rPr>
          <w:lang w:val="en-US"/>
        </w:rPr>
        <w:t>PN</w:t>
      </w:r>
      <w:r w:rsidRPr="001D6FE0">
        <w:rPr>
          <w:lang w:val="en-US"/>
        </w:rPr>
        <w:t xml:space="preserve">, </w:t>
      </w:r>
      <w:r>
        <w:rPr>
          <w:lang w:val="en-US"/>
        </w:rPr>
        <w:t xml:space="preserve">PP. </w:t>
      </w:r>
      <w:r w:rsidRPr="001D6FE0">
        <w:rPr>
          <w:lang w:val="en-US"/>
        </w:rPr>
        <w:t xml:space="preserve"> Highlighted values</w:t>
      </w:r>
      <w:r>
        <w:rPr>
          <w:lang w:val="en-US"/>
        </w:rPr>
        <w:t xml:space="preserve"> have correlation &gt; 0.6 or &lt;-0.6 and</w:t>
      </w:r>
      <w:r w:rsidR="00F73D82">
        <w:rPr>
          <w:lang w:val="en-US"/>
        </w:rPr>
        <w:t xml:space="preserve"> are significant</w:t>
      </w:r>
      <w:r w:rsidRPr="001D6FE0">
        <w:rPr>
          <w:lang w:val="en-US"/>
        </w:rPr>
        <w:t xml:space="preserve"> at p &lt; 0.01.</w:t>
      </w:r>
      <w:bookmarkEnd w:id="164"/>
    </w:p>
    <w:tbl>
      <w:tblPr>
        <w:tblW w:w="8696" w:type="dxa"/>
        <w:tblInd w:w="93" w:type="dxa"/>
        <w:tblLook w:val="04A0" w:firstRow="1" w:lastRow="0" w:firstColumn="1" w:lastColumn="0" w:noHBand="0" w:noVBand="1"/>
        <w:tblCaption w:val="Table of Spearman’s rank correlation coefficient"/>
        <w:tblDescription w:val="Spearman’s rank correlation coefficients from the four most frequent sampled transects over the GRB wide in the last 9 wet seasons. Values stand for correlation coefficient between salinity and the WQ parameters: TSS , chl-a), TN, TDN, DIN, TP, TDP, DIP, PN, PP.  Highlighted values have correlation &gt; 0.6 or &lt;-0.6 and are significate at p &lt; 0.01."/>
      </w:tblPr>
      <w:tblGrid>
        <w:gridCol w:w="1247"/>
        <w:gridCol w:w="1637"/>
        <w:gridCol w:w="1418"/>
        <w:gridCol w:w="2409"/>
        <w:gridCol w:w="1985"/>
      </w:tblGrid>
      <w:tr w:rsidR="00BF10D1" w:rsidRPr="00D2332A" w14:paraId="2E9537AA" w14:textId="77777777" w:rsidTr="00D74ABC">
        <w:trPr>
          <w:trHeight w:val="288"/>
        </w:trPr>
        <w:tc>
          <w:tcPr>
            <w:tcW w:w="1247" w:type="dxa"/>
            <w:tcBorders>
              <w:top w:val="single" w:sz="4" w:space="0" w:color="auto"/>
              <w:left w:val="nil"/>
              <w:bottom w:val="single" w:sz="4" w:space="0" w:color="auto"/>
              <w:right w:val="nil"/>
            </w:tcBorders>
            <w:shd w:val="clear" w:color="auto" w:fill="auto"/>
            <w:noWrap/>
            <w:vAlign w:val="bottom"/>
            <w:hideMark/>
          </w:tcPr>
          <w:p w14:paraId="2738DB96" w14:textId="77777777" w:rsidR="00BF10D1" w:rsidRPr="00D2332A" w:rsidRDefault="00BF10D1" w:rsidP="00BF10D1">
            <w:pPr>
              <w:spacing w:before="0" w:after="0"/>
              <w:jc w:val="left"/>
              <w:rPr>
                <w:rFonts w:cs="Times New Roman"/>
                <w:color w:val="000000"/>
                <w:sz w:val="20"/>
                <w:szCs w:val="20"/>
                <w:lang w:val="en-US" w:eastAsia="en-US"/>
              </w:rPr>
            </w:pPr>
            <w:r w:rsidRPr="00D2332A">
              <w:rPr>
                <w:rFonts w:cs="Times New Roman"/>
                <w:color w:val="000000"/>
                <w:sz w:val="20"/>
                <w:szCs w:val="20"/>
                <w:lang w:val="en-US" w:eastAsia="en-US"/>
              </w:rPr>
              <w:t>Sal</w:t>
            </w:r>
          </w:p>
        </w:tc>
        <w:tc>
          <w:tcPr>
            <w:tcW w:w="1637" w:type="dxa"/>
            <w:tcBorders>
              <w:top w:val="single" w:sz="4" w:space="0" w:color="auto"/>
              <w:left w:val="nil"/>
              <w:bottom w:val="single" w:sz="4" w:space="0" w:color="auto"/>
              <w:right w:val="nil"/>
            </w:tcBorders>
            <w:shd w:val="clear" w:color="auto" w:fill="auto"/>
            <w:noWrap/>
            <w:vAlign w:val="bottom"/>
            <w:hideMark/>
          </w:tcPr>
          <w:p w14:paraId="4B4CD44F" w14:textId="77777777" w:rsidR="00BF10D1" w:rsidRPr="00D2332A" w:rsidRDefault="00BF10D1" w:rsidP="00BF10D1">
            <w:pPr>
              <w:spacing w:before="0" w:after="0"/>
              <w:jc w:val="left"/>
              <w:rPr>
                <w:rFonts w:cs="Times New Roman"/>
                <w:color w:val="000000"/>
                <w:sz w:val="20"/>
                <w:szCs w:val="20"/>
                <w:lang w:val="en-US" w:eastAsia="en-US"/>
              </w:rPr>
            </w:pPr>
            <w:r w:rsidRPr="00D2332A">
              <w:rPr>
                <w:rFonts w:cs="Times New Roman"/>
                <w:color w:val="000000"/>
                <w:sz w:val="20"/>
                <w:szCs w:val="20"/>
                <w:lang w:val="en-US" w:eastAsia="en-US"/>
              </w:rPr>
              <w:t>Tully to Sisters</w:t>
            </w:r>
          </w:p>
        </w:tc>
        <w:tc>
          <w:tcPr>
            <w:tcW w:w="1418" w:type="dxa"/>
            <w:tcBorders>
              <w:top w:val="single" w:sz="4" w:space="0" w:color="auto"/>
              <w:left w:val="nil"/>
              <w:bottom w:val="single" w:sz="4" w:space="0" w:color="auto"/>
              <w:right w:val="nil"/>
            </w:tcBorders>
            <w:shd w:val="clear" w:color="auto" w:fill="auto"/>
            <w:noWrap/>
            <w:vAlign w:val="bottom"/>
            <w:hideMark/>
          </w:tcPr>
          <w:p w14:paraId="5D79AF7B" w14:textId="77777777" w:rsidR="00BF10D1" w:rsidRPr="00D2332A" w:rsidRDefault="00496D76" w:rsidP="00146710">
            <w:pPr>
              <w:spacing w:before="0" w:after="0"/>
              <w:jc w:val="center"/>
              <w:rPr>
                <w:rFonts w:cs="Times New Roman"/>
                <w:color w:val="000000"/>
                <w:sz w:val="20"/>
                <w:szCs w:val="20"/>
                <w:lang w:val="en-US" w:eastAsia="en-US"/>
              </w:rPr>
            </w:pPr>
            <w:r w:rsidRPr="00D2332A">
              <w:rPr>
                <w:rFonts w:cs="Times New Roman"/>
                <w:color w:val="000000"/>
                <w:sz w:val="20"/>
                <w:szCs w:val="20"/>
              </w:rPr>
              <w:t>Frankl</w:t>
            </w:r>
            <w:r w:rsidR="00146710">
              <w:rPr>
                <w:rFonts w:cs="Times New Roman"/>
                <w:color w:val="000000"/>
                <w:sz w:val="20"/>
                <w:szCs w:val="20"/>
              </w:rPr>
              <w:t>and Group</w:t>
            </w:r>
          </w:p>
        </w:tc>
        <w:tc>
          <w:tcPr>
            <w:tcW w:w="2409" w:type="dxa"/>
            <w:tcBorders>
              <w:top w:val="single" w:sz="4" w:space="0" w:color="auto"/>
              <w:left w:val="nil"/>
              <w:bottom w:val="single" w:sz="4" w:space="0" w:color="auto"/>
              <w:right w:val="nil"/>
            </w:tcBorders>
            <w:shd w:val="clear" w:color="auto" w:fill="auto"/>
            <w:noWrap/>
            <w:vAlign w:val="bottom"/>
            <w:hideMark/>
          </w:tcPr>
          <w:p w14:paraId="204DDC80" w14:textId="77777777" w:rsidR="00BF10D1" w:rsidRPr="00D2332A" w:rsidRDefault="00BF10D1" w:rsidP="00BF10D1">
            <w:pPr>
              <w:spacing w:before="0" w:after="0"/>
              <w:jc w:val="left"/>
              <w:rPr>
                <w:rFonts w:cs="Times New Roman"/>
                <w:color w:val="000000"/>
                <w:sz w:val="20"/>
                <w:szCs w:val="20"/>
                <w:lang w:val="en-US" w:eastAsia="en-US"/>
              </w:rPr>
            </w:pPr>
            <w:r w:rsidRPr="00D2332A">
              <w:rPr>
                <w:rFonts w:cs="Times New Roman"/>
                <w:color w:val="000000"/>
                <w:sz w:val="20"/>
                <w:szCs w:val="20"/>
                <w:lang w:val="en-US" w:eastAsia="en-US"/>
              </w:rPr>
              <w:t>Burdekin to Palm Island</w:t>
            </w:r>
          </w:p>
        </w:tc>
        <w:tc>
          <w:tcPr>
            <w:tcW w:w="1985" w:type="dxa"/>
            <w:tcBorders>
              <w:top w:val="single" w:sz="4" w:space="0" w:color="auto"/>
              <w:left w:val="nil"/>
              <w:bottom w:val="single" w:sz="4" w:space="0" w:color="auto"/>
              <w:right w:val="nil"/>
            </w:tcBorders>
            <w:shd w:val="clear" w:color="auto" w:fill="auto"/>
            <w:noWrap/>
            <w:vAlign w:val="bottom"/>
            <w:hideMark/>
          </w:tcPr>
          <w:p w14:paraId="6610D3AB" w14:textId="77777777" w:rsidR="00BF10D1" w:rsidRPr="00D2332A" w:rsidRDefault="00BF10D1" w:rsidP="00BF10D1">
            <w:pPr>
              <w:spacing w:before="0" w:after="0"/>
              <w:jc w:val="left"/>
              <w:rPr>
                <w:rFonts w:cs="Times New Roman"/>
                <w:color w:val="000000"/>
                <w:sz w:val="20"/>
                <w:szCs w:val="20"/>
                <w:lang w:val="en-US" w:eastAsia="en-US"/>
              </w:rPr>
            </w:pPr>
            <w:r w:rsidRPr="00D2332A">
              <w:rPr>
                <w:rFonts w:cs="Times New Roman"/>
                <w:color w:val="000000"/>
                <w:sz w:val="20"/>
                <w:szCs w:val="20"/>
                <w:lang w:val="en-US" w:eastAsia="en-US"/>
              </w:rPr>
              <w:t>Fitzroy to Keppels</w:t>
            </w:r>
          </w:p>
        </w:tc>
      </w:tr>
      <w:tr w:rsidR="00F73D82" w:rsidRPr="00D2332A" w14:paraId="26CEF8F6" w14:textId="77777777" w:rsidTr="00D74ABC">
        <w:trPr>
          <w:trHeight w:val="288"/>
        </w:trPr>
        <w:tc>
          <w:tcPr>
            <w:tcW w:w="1247" w:type="dxa"/>
            <w:tcBorders>
              <w:top w:val="nil"/>
              <w:left w:val="nil"/>
              <w:bottom w:val="nil"/>
              <w:right w:val="nil"/>
            </w:tcBorders>
            <w:shd w:val="clear" w:color="auto" w:fill="auto"/>
            <w:noWrap/>
            <w:vAlign w:val="bottom"/>
            <w:hideMark/>
          </w:tcPr>
          <w:p w14:paraId="2D8547DB" w14:textId="77777777" w:rsidR="00F73D82" w:rsidRPr="00D2332A" w:rsidRDefault="00F73D82" w:rsidP="00F73D82">
            <w:pPr>
              <w:spacing w:before="0" w:after="0"/>
              <w:jc w:val="left"/>
              <w:rPr>
                <w:rFonts w:cs="Times New Roman"/>
                <w:color w:val="000000"/>
                <w:sz w:val="20"/>
                <w:szCs w:val="20"/>
                <w:lang w:val="en-US" w:eastAsia="en-US"/>
              </w:rPr>
            </w:pPr>
            <w:r w:rsidRPr="00D2332A">
              <w:rPr>
                <w:rFonts w:cs="Times New Roman"/>
                <w:color w:val="000000"/>
                <w:sz w:val="20"/>
                <w:szCs w:val="20"/>
              </w:rPr>
              <w:t>CDOM</w:t>
            </w:r>
          </w:p>
        </w:tc>
        <w:tc>
          <w:tcPr>
            <w:tcW w:w="1637" w:type="dxa"/>
            <w:tcBorders>
              <w:top w:val="nil"/>
              <w:left w:val="nil"/>
              <w:bottom w:val="nil"/>
              <w:right w:val="nil"/>
            </w:tcBorders>
            <w:shd w:val="clear" w:color="auto" w:fill="FFFF00"/>
            <w:noWrap/>
            <w:vAlign w:val="bottom"/>
          </w:tcPr>
          <w:p w14:paraId="6D2260E4" w14:textId="47DBDC31" w:rsidR="00F73D82" w:rsidRPr="00F73D82" w:rsidRDefault="00F73D82" w:rsidP="00F73D82">
            <w:pPr>
              <w:spacing w:before="0" w:after="0"/>
              <w:jc w:val="center"/>
              <w:rPr>
                <w:rFonts w:cs="Times New Roman"/>
                <w:color w:val="000000"/>
                <w:sz w:val="20"/>
                <w:szCs w:val="20"/>
                <w:lang w:val="en-US" w:eastAsia="en-US"/>
              </w:rPr>
            </w:pPr>
            <w:r w:rsidRPr="00F73D82">
              <w:rPr>
                <w:rFonts w:ascii="Calibri" w:hAnsi="Calibri"/>
                <w:color w:val="000000"/>
                <w:sz w:val="20"/>
                <w:szCs w:val="20"/>
              </w:rPr>
              <w:t>-0.672</w:t>
            </w:r>
          </w:p>
        </w:tc>
        <w:tc>
          <w:tcPr>
            <w:tcW w:w="1418" w:type="dxa"/>
            <w:tcBorders>
              <w:top w:val="nil"/>
              <w:left w:val="nil"/>
              <w:bottom w:val="nil"/>
              <w:right w:val="nil"/>
            </w:tcBorders>
            <w:shd w:val="clear" w:color="auto" w:fill="FFFF00"/>
            <w:noWrap/>
            <w:vAlign w:val="bottom"/>
          </w:tcPr>
          <w:p w14:paraId="5AEBFDD7" w14:textId="589B27AE" w:rsidR="00F73D82" w:rsidRPr="00F73D82" w:rsidRDefault="00F73D82" w:rsidP="00F73D82">
            <w:pPr>
              <w:spacing w:before="0" w:after="0"/>
              <w:jc w:val="center"/>
              <w:rPr>
                <w:rFonts w:cs="Times New Roman"/>
                <w:color w:val="000000"/>
                <w:sz w:val="20"/>
                <w:szCs w:val="20"/>
                <w:lang w:val="en-US" w:eastAsia="en-US"/>
              </w:rPr>
            </w:pPr>
            <w:r w:rsidRPr="00F73D82">
              <w:rPr>
                <w:rFonts w:ascii="Calibri" w:hAnsi="Calibri"/>
                <w:color w:val="000000"/>
                <w:sz w:val="20"/>
                <w:szCs w:val="20"/>
              </w:rPr>
              <w:t>-0.710</w:t>
            </w:r>
          </w:p>
        </w:tc>
        <w:tc>
          <w:tcPr>
            <w:tcW w:w="2409" w:type="dxa"/>
            <w:tcBorders>
              <w:top w:val="nil"/>
              <w:left w:val="nil"/>
              <w:bottom w:val="nil"/>
              <w:right w:val="nil"/>
            </w:tcBorders>
            <w:shd w:val="clear" w:color="auto" w:fill="FFFF00"/>
            <w:noWrap/>
            <w:vAlign w:val="bottom"/>
          </w:tcPr>
          <w:p w14:paraId="2A761A6A" w14:textId="534E1CEB" w:rsidR="00F73D82" w:rsidRPr="00F73D82" w:rsidRDefault="00F73D82" w:rsidP="00F73D82">
            <w:pPr>
              <w:spacing w:before="0" w:after="0"/>
              <w:jc w:val="center"/>
              <w:rPr>
                <w:rFonts w:cs="Times New Roman"/>
                <w:color w:val="000000"/>
                <w:sz w:val="20"/>
                <w:szCs w:val="20"/>
                <w:lang w:val="en-US" w:eastAsia="en-US"/>
              </w:rPr>
            </w:pPr>
            <w:r w:rsidRPr="00F73D82">
              <w:rPr>
                <w:rFonts w:ascii="Calibri" w:hAnsi="Calibri"/>
                <w:color w:val="000000"/>
                <w:sz w:val="20"/>
                <w:szCs w:val="20"/>
              </w:rPr>
              <w:t>-0.768</w:t>
            </w:r>
          </w:p>
        </w:tc>
        <w:tc>
          <w:tcPr>
            <w:tcW w:w="1985" w:type="dxa"/>
            <w:tcBorders>
              <w:top w:val="nil"/>
              <w:left w:val="nil"/>
              <w:bottom w:val="nil"/>
              <w:right w:val="nil"/>
            </w:tcBorders>
            <w:shd w:val="clear" w:color="auto" w:fill="FFFF00"/>
            <w:noWrap/>
            <w:vAlign w:val="bottom"/>
          </w:tcPr>
          <w:p w14:paraId="0FE03146" w14:textId="76B853FC" w:rsidR="00F73D82" w:rsidRPr="00F73D82" w:rsidRDefault="00F73D82" w:rsidP="00F73D82">
            <w:pPr>
              <w:spacing w:before="0" w:after="0"/>
              <w:jc w:val="center"/>
              <w:rPr>
                <w:rFonts w:cs="Times New Roman"/>
                <w:color w:val="000000"/>
                <w:sz w:val="20"/>
                <w:szCs w:val="20"/>
                <w:lang w:val="en-US" w:eastAsia="en-US"/>
              </w:rPr>
            </w:pPr>
            <w:r w:rsidRPr="00F73D82">
              <w:rPr>
                <w:rFonts w:ascii="Calibri" w:hAnsi="Calibri"/>
                <w:color w:val="000000"/>
                <w:sz w:val="20"/>
                <w:szCs w:val="20"/>
              </w:rPr>
              <w:t>-0.903</w:t>
            </w:r>
          </w:p>
        </w:tc>
      </w:tr>
      <w:tr w:rsidR="00F73D82" w:rsidRPr="00D2332A" w14:paraId="35D119E9" w14:textId="77777777" w:rsidTr="00D74ABC">
        <w:trPr>
          <w:trHeight w:val="288"/>
        </w:trPr>
        <w:tc>
          <w:tcPr>
            <w:tcW w:w="1247" w:type="dxa"/>
            <w:tcBorders>
              <w:top w:val="nil"/>
              <w:left w:val="nil"/>
              <w:bottom w:val="nil"/>
              <w:right w:val="nil"/>
            </w:tcBorders>
            <w:shd w:val="clear" w:color="auto" w:fill="auto"/>
            <w:noWrap/>
            <w:vAlign w:val="bottom"/>
            <w:hideMark/>
          </w:tcPr>
          <w:p w14:paraId="6D31C77C" w14:textId="77777777" w:rsidR="00F73D82" w:rsidRPr="00D2332A" w:rsidRDefault="00F73D82" w:rsidP="00F73D82">
            <w:pPr>
              <w:spacing w:before="0" w:after="0"/>
              <w:jc w:val="left"/>
              <w:rPr>
                <w:rFonts w:cs="Times New Roman"/>
                <w:color w:val="000000"/>
                <w:sz w:val="20"/>
                <w:szCs w:val="20"/>
                <w:lang w:val="en-US" w:eastAsia="en-US"/>
              </w:rPr>
            </w:pPr>
            <w:r w:rsidRPr="00D2332A">
              <w:rPr>
                <w:rFonts w:cs="Times New Roman"/>
                <w:color w:val="000000"/>
                <w:sz w:val="20"/>
                <w:szCs w:val="20"/>
              </w:rPr>
              <w:t>Chl-a</w:t>
            </w:r>
          </w:p>
        </w:tc>
        <w:tc>
          <w:tcPr>
            <w:tcW w:w="1637" w:type="dxa"/>
            <w:tcBorders>
              <w:top w:val="nil"/>
              <w:left w:val="nil"/>
              <w:bottom w:val="nil"/>
              <w:right w:val="nil"/>
            </w:tcBorders>
            <w:shd w:val="clear" w:color="auto" w:fill="auto"/>
            <w:noWrap/>
            <w:vAlign w:val="bottom"/>
          </w:tcPr>
          <w:p w14:paraId="29BEE33F" w14:textId="187AEAFA" w:rsidR="00F73D82" w:rsidRPr="00F73D82" w:rsidRDefault="00F73D82" w:rsidP="00F73D82">
            <w:pPr>
              <w:spacing w:before="0" w:after="0"/>
              <w:jc w:val="center"/>
              <w:rPr>
                <w:rFonts w:cs="Times New Roman"/>
                <w:color w:val="000000"/>
                <w:sz w:val="20"/>
                <w:szCs w:val="20"/>
                <w:lang w:val="en-US" w:eastAsia="en-US"/>
              </w:rPr>
            </w:pPr>
            <w:r w:rsidRPr="00F73D82">
              <w:rPr>
                <w:rFonts w:ascii="Calibri" w:hAnsi="Calibri"/>
                <w:color w:val="000000"/>
                <w:sz w:val="20"/>
                <w:szCs w:val="20"/>
              </w:rPr>
              <w:t>-0.278</w:t>
            </w:r>
          </w:p>
        </w:tc>
        <w:tc>
          <w:tcPr>
            <w:tcW w:w="1418" w:type="dxa"/>
            <w:tcBorders>
              <w:top w:val="nil"/>
              <w:left w:val="nil"/>
              <w:bottom w:val="nil"/>
              <w:right w:val="nil"/>
            </w:tcBorders>
            <w:shd w:val="clear" w:color="auto" w:fill="auto"/>
            <w:noWrap/>
            <w:vAlign w:val="bottom"/>
          </w:tcPr>
          <w:p w14:paraId="1B20C3D4" w14:textId="3E95392F" w:rsidR="00F73D82" w:rsidRPr="00F73D82" w:rsidRDefault="00F73D82" w:rsidP="00F73D82">
            <w:pPr>
              <w:spacing w:before="0" w:after="0"/>
              <w:jc w:val="center"/>
              <w:rPr>
                <w:rFonts w:cs="Times New Roman"/>
                <w:color w:val="000000"/>
                <w:sz w:val="20"/>
                <w:szCs w:val="20"/>
                <w:lang w:val="en-US" w:eastAsia="en-US"/>
              </w:rPr>
            </w:pPr>
            <w:r w:rsidRPr="00F73D82">
              <w:rPr>
                <w:rFonts w:ascii="Calibri" w:hAnsi="Calibri"/>
                <w:color w:val="000000"/>
                <w:sz w:val="20"/>
                <w:szCs w:val="20"/>
              </w:rPr>
              <w:t>-0.295</w:t>
            </w:r>
          </w:p>
        </w:tc>
        <w:tc>
          <w:tcPr>
            <w:tcW w:w="2409" w:type="dxa"/>
            <w:tcBorders>
              <w:top w:val="nil"/>
              <w:left w:val="nil"/>
              <w:bottom w:val="nil"/>
              <w:right w:val="nil"/>
            </w:tcBorders>
            <w:shd w:val="clear" w:color="auto" w:fill="auto"/>
            <w:noWrap/>
            <w:vAlign w:val="bottom"/>
          </w:tcPr>
          <w:p w14:paraId="53054A9F" w14:textId="7DBF9B09" w:rsidR="00F73D82" w:rsidRPr="00F73D82" w:rsidRDefault="00F73D82" w:rsidP="00F73D82">
            <w:pPr>
              <w:spacing w:before="0" w:after="0"/>
              <w:jc w:val="center"/>
              <w:rPr>
                <w:rFonts w:cs="Times New Roman"/>
                <w:color w:val="000000"/>
                <w:sz w:val="20"/>
                <w:szCs w:val="20"/>
                <w:lang w:val="en-US" w:eastAsia="en-US"/>
              </w:rPr>
            </w:pPr>
            <w:r w:rsidRPr="00F73D82">
              <w:rPr>
                <w:rFonts w:ascii="Calibri" w:hAnsi="Calibri"/>
                <w:color w:val="000000"/>
                <w:sz w:val="20"/>
                <w:szCs w:val="20"/>
              </w:rPr>
              <w:t>-0.062</w:t>
            </w:r>
          </w:p>
        </w:tc>
        <w:tc>
          <w:tcPr>
            <w:tcW w:w="1985" w:type="dxa"/>
            <w:tcBorders>
              <w:top w:val="nil"/>
              <w:left w:val="nil"/>
              <w:bottom w:val="nil"/>
              <w:right w:val="nil"/>
            </w:tcBorders>
            <w:shd w:val="clear" w:color="auto" w:fill="auto"/>
            <w:noWrap/>
            <w:vAlign w:val="bottom"/>
          </w:tcPr>
          <w:p w14:paraId="0D0C8EDB" w14:textId="3AAB95BE" w:rsidR="00F73D82" w:rsidRPr="00F73D82" w:rsidRDefault="00F73D82" w:rsidP="00F73D82">
            <w:pPr>
              <w:spacing w:before="0" w:after="0"/>
              <w:jc w:val="center"/>
              <w:rPr>
                <w:rFonts w:cs="Times New Roman"/>
                <w:color w:val="000000"/>
                <w:sz w:val="20"/>
                <w:szCs w:val="20"/>
                <w:lang w:val="en-US" w:eastAsia="en-US"/>
              </w:rPr>
            </w:pPr>
            <w:r w:rsidRPr="00F73D82">
              <w:rPr>
                <w:rFonts w:ascii="Calibri" w:hAnsi="Calibri"/>
                <w:color w:val="000000"/>
                <w:sz w:val="20"/>
                <w:szCs w:val="20"/>
              </w:rPr>
              <w:t>-0.447</w:t>
            </w:r>
          </w:p>
        </w:tc>
      </w:tr>
      <w:tr w:rsidR="00F73D82" w:rsidRPr="00D2332A" w14:paraId="54ABB9CF" w14:textId="77777777" w:rsidTr="00D74ABC">
        <w:trPr>
          <w:trHeight w:val="288"/>
        </w:trPr>
        <w:tc>
          <w:tcPr>
            <w:tcW w:w="1247" w:type="dxa"/>
            <w:tcBorders>
              <w:top w:val="nil"/>
              <w:left w:val="nil"/>
              <w:bottom w:val="nil"/>
              <w:right w:val="nil"/>
            </w:tcBorders>
            <w:shd w:val="clear" w:color="auto" w:fill="auto"/>
            <w:noWrap/>
            <w:vAlign w:val="bottom"/>
            <w:hideMark/>
          </w:tcPr>
          <w:p w14:paraId="31DBDBE2" w14:textId="77777777" w:rsidR="00F73D82" w:rsidRPr="00D2332A" w:rsidRDefault="00F73D82" w:rsidP="00F73D82">
            <w:pPr>
              <w:spacing w:before="0" w:after="0"/>
              <w:jc w:val="left"/>
              <w:rPr>
                <w:rFonts w:cs="Times New Roman"/>
                <w:color w:val="000000"/>
                <w:sz w:val="20"/>
                <w:szCs w:val="20"/>
                <w:lang w:val="en-US" w:eastAsia="en-US"/>
              </w:rPr>
            </w:pPr>
            <w:r w:rsidRPr="00D2332A">
              <w:rPr>
                <w:rFonts w:cs="Times New Roman"/>
                <w:color w:val="000000"/>
                <w:sz w:val="20"/>
                <w:szCs w:val="20"/>
              </w:rPr>
              <w:t>Kd</w:t>
            </w:r>
          </w:p>
        </w:tc>
        <w:tc>
          <w:tcPr>
            <w:tcW w:w="1637" w:type="dxa"/>
            <w:tcBorders>
              <w:top w:val="nil"/>
              <w:left w:val="nil"/>
              <w:bottom w:val="nil"/>
              <w:right w:val="nil"/>
            </w:tcBorders>
            <w:shd w:val="clear" w:color="auto" w:fill="auto"/>
            <w:noWrap/>
            <w:vAlign w:val="bottom"/>
          </w:tcPr>
          <w:p w14:paraId="5A8F3794" w14:textId="639C5C09" w:rsidR="00F73D82" w:rsidRPr="00F73D82" w:rsidRDefault="00F73D82" w:rsidP="00F73D82">
            <w:pPr>
              <w:spacing w:before="0" w:after="0"/>
              <w:jc w:val="center"/>
              <w:rPr>
                <w:rFonts w:cs="Times New Roman"/>
                <w:color w:val="000000"/>
                <w:sz w:val="20"/>
                <w:szCs w:val="20"/>
                <w:lang w:val="en-US" w:eastAsia="en-US"/>
              </w:rPr>
            </w:pPr>
            <w:r w:rsidRPr="00F73D82">
              <w:rPr>
                <w:rFonts w:ascii="Calibri" w:hAnsi="Calibri"/>
                <w:color w:val="000000"/>
                <w:sz w:val="20"/>
                <w:szCs w:val="20"/>
              </w:rPr>
              <w:t>-0.388</w:t>
            </w:r>
          </w:p>
        </w:tc>
        <w:tc>
          <w:tcPr>
            <w:tcW w:w="1418" w:type="dxa"/>
            <w:tcBorders>
              <w:top w:val="nil"/>
              <w:left w:val="nil"/>
              <w:bottom w:val="nil"/>
              <w:right w:val="nil"/>
            </w:tcBorders>
            <w:shd w:val="clear" w:color="auto" w:fill="auto"/>
            <w:noWrap/>
            <w:vAlign w:val="bottom"/>
          </w:tcPr>
          <w:p w14:paraId="435417BC" w14:textId="0083A016" w:rsidR="00F73D82" w:rsidRPr="00F73D82" w:rsidRDefault="00F73D82" w:rsidP="00F73D82">
            <w:pPr>
              <w:spacing w:before="0" w:after="0"/>
              <w:jc w:val="center"/>
              <w:rPr>
                <w:rFonts w:cs="Times New Roman"/>
                <w:color w:val="000000"/>
                <w:sz w:val="20"/>
                <w:szCs w:val="20"/>
                <w:lang w:val="en-US" w:eastAsia="en-US"/>
              </w:rPr>
            </w:pPr>
            <w:r w:rsidRPr="00F73D82">
              <w:rPr>
                <w:rFonts w:ascii="Calibri" w:hAnsi="Calibri"/>
                <w:color w:val="000000"/>
                <w:sz w:val="20"/>
                <w:szCs w:val="20"/>
              </w:rPr>
              <w:t>-0.579</w:t>
            </w:r>
          </w:p>
        </w:tc>
        <w:tc>
          <w:tcPr>
            <w:tcW w:w="2409" w:type="dxa"/>
            <w:tcBorders>
              <w:top w:val="nil"/>
              <w:left w:val="nil"/>
              <w:bottom w:val="nil"/>
              <w:right w:val="nil"/>
            </w:tcBorders>
            <w:shd w:val="clear" w:color="auto" w:fill="auto"/>
            <w:noWrap/>
            <w:vAlign w:val="bottom"/>
          </w:tcPr>
          <w:p w14:paraId="0C1F6184" w14:textId="54A12529" w:rsidR="00F73D82" w:rsidRPr="00F73D82" w:rsidRDefault="00F73D82" w:rsidP="00F73D82">
            <w:pPr>
              <w:spacing w:before="0" w:after="0"/>
              <w:jc w:val="center"/>
              <w:rPr>
                <w:rFonts w:cs="Times New Roman"/>
                <w:color w:val="000000"/>
                <w:sz w:val="20"/>
                <w:szCs w:val="20"/>
                <w:lang w:val="en-US" w:eastAsia="en-US"/>
              </w:rPr>
            </w:pPr>
            <w:r w:rsidRPr="00F73D82">
              <w:rPr>
                <w:rFonts w:ascii="Calibri" w:hAnsi="Calibri"/>
                <w:color w:val="000000"/>
                <w:sz w:val="20"/>
                <w:szCs w:val="20"/>
              </w:rPr>
              <w:t>-0.372</w:t>
            </w:r>
          </w:p>
        </w:tc>
        <w:tc>
          <w:tcPr>
            <w:tcW w:w="1985" w:type="dxa"/>
            <w:tcBorders>
              <w:top w:val="nil"/>
              <w:left w:val="nil"/>
              <w:bottom w:val="nil"/>
              <w:right w:val="nil"/>
            </w:tcBorders>
            <w:shd w:val="clear" w:color="auto" w:fill="FFFF00"/>
            <w:noWrap/>
            <w:vAlign w:val="bottom"/>
          </w:tcPr>
          <w:p w14:paraId="2AECACBE" w14:textId="451B8670" w:rsidR="00F73D82" w:rsidRPr="00F73D82" w:rsidRDefault="00F73D82" w:rsidP="00F73D82">
            <w:pPr>
              <w:spacing w:before="0" w:after="0"/>
              <w:jc w:val="center"/>
              <w:rPr>
                <w:rFonts w:cs="Times New Roman"/>
                <w:color w:val="000000"/>
                <w:sz w:val="20"/>
                <w:szCs w:val="20"/>
                <w:lang w:val="en-US" w:eastAsia="en-US"/>
              </w:rPr>
            </w:pPr>
            <w:r w:rsidRPr="00F73D82">
              <w:rPr>
                <w:rFonts w:ascii="Calibri" w:hAnsi="Calibri"/>
                <w:color w:val="000000"/>
                <w:sz w:val="20"/>
                <w:szCs w:val="20"/>
              </w:rPr>
              <w:t>1.000</w:t>
            </w:r>
          </w:p>
        </w:tc>
      </w:tr>
      <w:tr w:rsidR="00F73D82" w:rsidRPr="00D2332A" w14:paraId="03BDA02C" w14:textId="77777777" w:rsidTr="00D74ABC">
        <w:trPr>
          <w:trHeight w:val="288"/>
        </w:trPr>
        <w:tc>
          <w:tcPr>
            <w:tcW w:w="1247" w:type="dxa"/>
            <w:tcBorders>
              <w:top w:val="nil"/>
              <w:left w:val="nil"/>
              <w:bottom w:val="nil"/>
              <w:right w:val="nil"/>
            </w:tcBorders>
            <w:shd w:val="clear" w:color="auto" w:fill="auto"/>
            <w:noWrap/>
            <w:vAlign w:val="bottom"/>
            <w:hideMark/>
          </w:tcPr>
          <w:p w14:paraId="5B040A4C" w14:textId="77777777" w:rsidR="00F73D82" w:rsidRPr="00D2332A" w:rsidRDefault="00F73D82" w:rsidP="00F73D82">
            <w:pPr>
              <w:spacing w:before="0" w:after="0"/>
              <w:jc w:val="left"/>
              <w:rPr>
                <w:rFonts w:cs="Times New Roman"/>
                <w:color w:val="000000"/>
                <w:sz w:val="20"/>
                <w:szCs w:val="20"/>
                <w:lang w:val="en-US" w:eastAsia="en-US"/>
              </w:rPr>
            </w:pPr>
            <w:r w:rsidRPr="00D2332A">
              <w:rPr>
                <w:rFonts w:cs="Times New Roman"/>
                <w:color w:val="000000"/>
                <w:sz w:val="20"/>
                <w:szCs w:val="20"/>
              </w:rPr>
              <w:t>TSS</w:t>
            </w:r>
          </w:p>
        </w:tc>
        <w:tc>
          <w:tcPr>
            <w:tcW w:w="1637" w:type="dxa"/>
            <w:tcBorders>
              <w:top w:val="nil"/>
              <w:left w:val="nil"/>
              <w:bottom w:val="nil"/>
              <w:right w:val="nil"/>
            </w:tcBorders>
            <w:shd w:val="clear" w:color="auto" w:fill="auto"/>
            <w:noWrap/>
            <w:vAlign w:val="bottom"/>
          </w:tcPr>
          <w:p w14:paraId="450BE61E" w14:textId="4C01553F" w:rsidR="00F73D82" w:rsidRPr="00F73D82" w:rsidRDefault="00F73D82" w:rsidP="00F73D82">
            <w:pPr>
              <w:spacing w:before="0" w:after="0"/>
              <w:jc w:val="center"/>
              <w:rPr>
                <w:rFonts w:cs="Times New Roman"/>
                <w:color w:val="000000"/>
                <w:sz w:val="20"/>
                <w:szCs w:val="20"/>
                <w:lang w:val="en-US" w:eastAsia="en-US"/>
              </w:rPr>
            </w:pPr>
            <w:r w:rsidRPr="00F73D82">
              <w:rPr>
                <w:rFonts w:ascii="Calibri" w:hAnsi="Calibri"/>
                <w:color w:val="000000"/>
                <w:sz w:val="20"/>
                <w:szCs w:val="20"/>
              </w:rPr>
              <w:t>-0.036</w:t>
            </w:r>
          </w:p>
        </w:tc>
        <w:tc>
          <w:tcPr>
            <w:tcW w:w="1418" w:type="dxa"/>
            <w:tcBorders>
              <w:top w:val="nil"/>
              <w:left w:val="nil"/>
              <w:bottom w:val="nil"/>
              <w:right w:val="nil"/>
            </w:tcBorders>
            <w:shd w:val="clear" w:color="auto" w:fill="auto"/>
            <w:noWrap/>
            <w:vAlign w:val="bottom"/>
          </w:tcPr>
          <w:p w14:paraId="7487E4F0" w14:textId="6A303491" w:rsidR="00F73D82" w:rsidRPr="00F73D82" w:rsidRDefault="00F73D82" w:rsidP="00F73D82">
            <w:pPr>
              <w:spacing w:before="0" w:after="0"/>
              <w:jc w:val="center"/>
              <w:rPr>
                <w:rFonts w:cs="Times New Roman"/>
                <w:color w:val="000000"/>
                <w:sz w:val="20"/>
                <w:szCs w:val="20"/>
                <w:lang w:val="en-US" w:eastAsia="en-US"/>
              </w:rPr>
            </w:pPr>
            <w:r w:rsidRPr="00F73D82">
              <w:rPr>
                <w:rFonts w:ascii="Calibri" w:hAnsi="Calibri"/>
                <w:color w:val="000000"/>
                <w:sz w:val="20"/>
                <w:szCs w:val="20"/>
              </w:rPr>
              <w:t>-0.289</w:t>
            </w:r>
          </w:p>
        </w:tc>
        <w:tc>
          <w:tcPr>
            <w:tcW w:w="2409" w:type="dxa"/>
            <w:tcBorders>
              <w:top w:val="nil"/>
              <w:left w:val="nil"/>
              <w:bottom w:val="nil"/>
              <w:right w:val="nil"/>
            </w:tcBorders>
            <w:shd w:val="clear" w:color="auto" w:fill="auto"/>
            <w:noWrap/>
            <w:vAlign w:val="bottom"/>
          </w:tcPr>
          <w:p w14:paraId="1C66B570" w14:textId="565D80FB" w:rsidR="00F73D82" w:rsidRPr="00F73D82" w:rsidRDefault="00F73D82" w:rsidP="00F73D82">
            <w:pPr>
              <w:spacing w:before="0" w:after="0"/>
              <w:jc w:val="center"/>
              <w:rPr>
                <w:rFonts w:cs="Times New Roman"/>
                <w:color w:val="000000"/>
                <w:sz w:val="20"/>
                <w:szCs w:val="20"/>
                <w:lang w:val="en-US" w:eastAsia="en-US"/>
              </w:rPr>
            </w:pPr>
            <w:r w:rsidRPr="00F73D82">
              <w:rPr>
                <w:rFonts w:ascii="Calibri" w:hAnsi="Calibri"/>
                <w:color w:val="000000"/>
                <w:sz w:val="20"/>
                <w:szCs w:val="20"/>
              </w:rPr>
              <w:t>-0.413</w:t>
            </w:r>
          </w:p>
        </w:tc>
        <w:tc>
          <w:tcPr>
            <w:tcW w:w="1985" w:type="dxa"/>
            <w:tcBorders>
              <w:top w:val="nil"/>
              <w:left w:val="nil"/>
              <w:bottom w:val="nil"/>
              <w:right w:val="nil"/>
            </w:tcBorders>
            <w:shd w:val="clear" w:color="auto" w:fill="auto"/>
            <w:noWrap/>
            <w:vAlign w:val="bottom"/>
          </w:tcPr>
          <w:p w14:paraId="2B4B530B" w14:textId="5C2A0302" w:rsidR="00F73D82" w:rsidRPr="00F73D82" w:rsidRDefault="00F73D82" w:rsidP="00F73D82">
            <w:pPr>
              <w:spacing w:before="0" w:after="0"/>
              <w:jc w:val="center"/>
              <w:rPr>
                <w:rFonts w:cs="Times New Roman"/>
                <w:color w:val="000000"/>
                <w:sz w:val="20"/>
                <w:szCs w:val="20"/>
                <w:lang w:val="en-US" w:eastAsia="en-US"/>
              </w:rPr>
            </w:pPr>
            <w:r w:rsidRPr="00F73D82">
              <w:rPr>
                <w:rFonts w:ascii="Calibri" w:hAnsi="Calibri"/>
                <w:color w:val="000000"/>
                <w:sz w:val="20"/>
                <w:szCs w:val="20"/>
              </w:rPr>
              <w:t>0.366</w:t>
            </w:r>
          </w:p>
        </w:tc>
      </w:tr>
      <w:tr w:rsidR="00F73D82" w:rsidRPr="00D2332A" w14:paraId="0BE32524" w14:textId="77777777" w:rsidTr="00D74ABC">
        <w:trPr>
          <w:trHeight w:val="288"/>
        </w:trPr>
        <w:tc>
          <w:tcPr>
            <w:tcW w:w="1247" w:type="dxa"/>
            <w:tcBorders>
              <w:top w:val="nil"/>
              <w:left w:val="nil"/>
              <w:bottom w:val="nil"/>
              <w:right w:val="nil"/>
            </w:tcBorders>
            <w:shd w:val="clear" w:color="auto" w:fill="auto"/>
            <w:noWrap/>
            <w:vAlign w:val="bottom"/>
            <w:hideMark/>
          </w:tcPr>
          <w:p w14:paraId="1CB65CED" w14:textId="77777777" w:rsidR="00F73D82" w:rsidRPr="00D2332A" w:rsidRDefault="00F73D82" w:rsidP="00F73D82">
            <w:pPr>
              <w:spacing w:before="0" w:after="0"/>
              <w:jc w:val="left"/>
              <w:rPr>
                <w:rFonts w:cs="Times New Roman"/>
                <w:color w:val="000000"/>
                <w:sz w:val="20"/>
                <w:szCs w:val="20"/>
                <w:lang w:val="en-US" w:eastAsia="en-US"/>
              </w:rPr>
            </w:pPr>
            <w:r w:rsidRPr="00D2332A">
              <w:rPr>
                <w:rFonts w:cs="Times New Roman"/>
                <w:color w:val="000000"/>
                <w:sz w:val="20"/>
                <w:szCs w:val="20"/>
              </w:rPr>
              <w:t>Si</w:t>
            </w:r>
          </w:p>
        </w:tc>
        <w:tc>
          <w:tcPr>
            <w:tcW w:w="1637" w:type="dxa"/>
            <w:tcBorders>
              <w:top w:val="nil"/>
              <w:left w:val="nil"/>
              <w:bottom w:val="nil"/>
              <w:right w:val="nil"/>
            </w:tcBorders>
            <w:shd w:val="clear" w:color="auto" w:fill="FFFF00"/>
            <w:noWrap/>
            <w:vAlign w:val="bottom"/>
          </w:tcPr>
          <w:p w14:paraId="1B17B8A1" w14:textId="52C25E29" w:rsidR="00F73D82" w:rsidRPr="00F73D82" w:rsidRDefault="00F73D82" w:rsidP="00F73D82">
            <w:pPr>
              <w:spacing w:before="0" w:after="0"/>
              <w:jc w:val="center"/>
              <w:rPr>
                <w:rFonts w:cs="Times New Roman"/>
                <w:color w:val="000000"/>
                <w:sz w:val="20"/>
                <w:szCs w:val="20"/>
                <w:lang w:val="en-US" w:eastAsia="en-US"/>
              </w:rPr>
            </w:pPr>
            <w:r w:rsidRPr="00F73D82">
              <w:rPr>
                <w:rFonts w:ascii="Calibri" w:hAnsi="Calibri"/>
                <w:color w:val="000000"/>
                <w:sz w:val="20"/>
                <w:szCs w:val="20"/>
              </w:rPr>
              <w:t>-0.899</w:t>
            </w:r>
          </w:p>
        </w:tc>
        <w:tc>
          <w:tcPr>
            <w:tcW w:w="1418" w:type="dxa"/>
            <w:tcBorders>
              <w:top w:val="nil"/>
              <w:left w:val="nil"/>
              <w:bottom w:val="nil"/>
              <w:right w:val="nil"/>
            </w:tcBorders>
            <w:shd w:val="clear" w:color="auto" w:fill="FFFF00"/>
            <w:noWrap/>
            <w:vAlign w:val="bottom"/>
          </w:tcPr>
          <w:p w14:paraId="7812CBBB" w14:textId="05A31D18" w:rsidR="00F73D82" w:rsidRPr="00F73D82" w:rsidRDefault="00F73D82" w:rsidP="00F73D82">
            <w:pPr>
              <w:spacing w:before="0" w:after="0"/>
              <w:jc w:val="center"/>
              <w:rPr>
                <w:rFonts w:cs="Times New Roman"/>
                <w:color w:val="000000"/>
                <w:sz w:val="20"/>
                <w:szCs w:val="20"/>
                <w:lang w:val="en-US" w:eastAsia="en-US"/>
              </w:rPr>
            </w:pPr>
            <w:r w:rsidRPr="00F73D82">
              <w:rPr>
                <w:rFonts w:ascii="Calibri" w:hAnsi="Calibri"/>
                <w:color w:val="000000"/>
                <w:sz w:val="20"/>
                <w:szCs w:val="20"/>
              </w:rPr>
              <w:t>-0.946</w:t>
            </w:r>
          </w:p>
        </w:tc>
        <w:tc>
          <w:tcPr>
            <w:tcW w:w="2409" w:type="dxa"/>
            <w:tcBorders>
              <w:top w:val="nil"/>
              <w:left w:val="nil"/>
              <w:bottom w:val="nil"/>
              <w:right w:val="nil"/>
            </w:tcBorders>
            <w:shd w:val="clear" w:color="auto" w:fill="auto"/>
            <w:noWrap/>
            <w:vAlign w:val="bottom"/>
          </w:tcPr>
          <w:p w14:paraId="041EBD92" w14:textId="5D9FDF29" w:rsidR="00F73D82" w:rsidRPr="00F73D82" w:rsidRDefault="00F73D82" w:rsidP="00F73D82">
            <w:pPr>
              <w:spacing w:before="0" w:after="0"/>
              <w:jc w:val="center"/>
              <w:rPr>
                <w:rFonts w:cs="Times New Roman"/>
                <w:color w:val="000000"/>
                <w:sz w:val="20"/>
                <w:szCs w:val="20"/>
                <w:lang w:val="en-US" w:eastAsia="en-US"/>
              </w:rPr>
            </w:pPr>
            <w:r w:rsidRPr="00F73D82">
              <w:rPr>
                <w:rFonts w:ascii="Calibri" w:hAnsi="Calibri"/>
                <w:color w:val="000000"/>
                <w:sz w:val="20"/>
                <w:szCs w:val="20"/>
              </w:rPr>
              <w:t>-0.584</w:t>
            </w:r>
          </w:p>
        </w:tc>
        <w:tc>
          <w:tcPr>
            <w:tcW w:w="1985" w:type="dxa"/>
            <w:tcBorders>
              <w:top w:val="nil"/>
              <w:left w:val="nil"/>
              <w:bottom w:val="nil"/>
              <w:right w:val="nil"/>
            </w:tcBorders>
            <w:shd w:val="clear" w:color="auto" w:fill="FFFF00"/>
            <w:noWrap/>
            <w:vAlign w:val="bottom"/>
          </w:tcPr>
          <w:p w14:paraId="2A5B4E9A" w14:textId="5940FFA2" w:rsidR="00F73D82" w:rsidRPr="00F73D82" w:rsidRDefault="00F73D82" w:rsidP="00F73D82">
            <w:pPr>
              <w:spacing w:before="0" w:after="0"/>
              <w:jc w:val="center"/>
              <w:rPr>
                <w:rFonts w:cs="Times New Roman"/>
                <w:color w:val="000000"/>
                <w:sz w:val="20"/>
                <w:szCs w:val="20"/>
                <w:lang w:val="en-US" w:eastAsia="en-US"/>
              </w:rPr>
            </w:pPr>
            <w:r w:rsidRPr="00F73D82">
              <w:rPr>
                <w:rFonts w:ascii="Calibri" w:hAnsi="Calibri"/>
                <w:color w:val="000000"/>
                <w:sz w:val="20"/>
                <w:szCs w:val="20"/>
              </w:rPr>
              <w:t>-0.915</w:t>
            </w:r>
          </w:p>
        </w:tc>
      </w:tr>
      <w:tr w:rsidR="00F73D82" w:rsidRPr="00D2332A" w14:paraId="3B5DF7B4" w14:textId="77777777" w:rsidTr="00D74ABC">
        <w:trPr>
          <w:trHeight w:val="288"/>
        </w:trPr>
        <w:tc>
          <w:tcPr>
            <w:tcW w:w="1247" w:type="dxa"/>
            <w:tcBorders>
              <w:top w:val="nil"/>
              <w:left w:val="nil"/>
              <w:bottom w:val="nil"/>
              <w:right w:val="nil"/>
            </w:tcBorders>
            <w:shd w:val="clear" w:color="auto" w:fill="auto"/>
            <w:noWrap/>
            <w:vAlign w:val="bottom"/>
            <w:hideMark/>
          </w:tcPr>
          <w:p w14:paraId="24149C96" w14:textId="77777777" w:rsidR="00F73D82" w:rsidRPr="00D2332A" w:rsidRDefault="00F73D82" w:rsidP="00F73D82">
            <w:pPr>
              <w:spacing w:before="0" w:after="0"/>
              <w:jc w:val="left"/>
              <w:rPr>
                <w:rFonts w:cs="Times New Roman"/>
                <w:color w:val="000000"/>
                <w:sz w:val="20"/>
                <w:szCs w:val="20"/>
                <w:lang w:val="en-US" w:eastAsia="en-US"/>
              </w:rPr>
            </w:pPr>
            <w:r w:rsidRPr="00D2332A">
              <w:rPr>
                <w:rFonts w:cs="Times New Roman"/>
                <w:color w:val="000000"/>
                <w:sz w:val="20"/>
                <w:szCs w:val="20"/>
              </w:rPr>
              <w:t>TN</w:t>
            </w:r>
          </w:p>
        </w:tc>
        <w:tc>
          <w:tcPr>
            <w:tcW w:w="1637" w:type="dxa"/>
            <w:tcBorders>
              <w:top w:val="nil"/>
              <w:left w:val="nil"/>
              <w:bottom w:val="nil"/>
              <w:right w:val="nil"/>
            </w:tcBorders>
            <w:shd w:val="clear" w:color="auto" w:fill="auto"/>
            <w:noWrap/>
            <w:vAlign w:val="bottom"/>
          </w:tcPr>
          <w:p w14:paraId="45C7FD69" w14:textId="2D9BDE97" w:rsidR="00F73D82" w:rsidRPr="00F73D82" w:rsidRDefault="00F73D82" w:rsidP="00F73D82">
            <w:pPr>
              <w:spacing w:before="0" w:after="0"/>
              <w:jc w:val="center"/>
              <w:rPr>
                <w:rFonts w:cs="Times New Roman"/>
                <w:color w:val="000000"/>
                <w:sz w:val="20"/>
                <w:szCs w:val="20"/>
                <w:lang w:val="en-US" w:eastAsia="en-US"/>
              </w:rPr>
            </w:pPr>
            <w:r w:rsidRPr="00F73D82">
              <w:rPr>
                <w:rFonts w:ascii="Calibri" w:hAnsi="Calibri"/>
                <w:color w:val="000000"/>
                <w:sz w:val="20"/>
                <w:szCs w:val="20"/>
              </w:rPr>
              <w:t>-0.240</w:t>
            </w:r>
          </w:p>
        </w:tc>
        <w:tc>
          <w:tcPr>
            <w:tcW w:w="1418" w:type="dxa"/>
            <w:tcBorders>
              <w:top w:val="nil"/>
              <w:left w:val="nil"/>
              <w:bottom w:val="nil"/>
              <w:right w:val="nil"/>
            </w:tcBorders>
            <w:shd w:val="clear" w:color="auto" w:fill="auto"/>
            <w:noWrap/>
            <w:vAlign w:val="bottom"/>
          </w:tcPr>
          <w:p w14:paraId="24517399" w14:textId="4FB7208B" w:rsidR="00F73D82" w:rsidRPr="00F73D82" w:rsidRDefault="00F73D82" w:rsidP="00F73D82">
            <w:pPr>
              <w:spacing w:before="0" w:after="0"/>
              <w:jc w:val="center"/>
              <w:rPr>
                <w:rFonts w:cs="Times New Roman"/>
                <w:color w:val="000000"/>
                <w:sz w:val="20"/>
                <w:szCs w:val="20"/>
                <w:lang w:val="en-US" w:eastAsia="en-US"/>
              </w:rPr>
            </w:pPr>
            <w:r w:rsidRPr="00F73D82">
              <w:rPr>
                <w:rFonts w:ascii="Calibri" w:hAnsi="Calibri"/>
                <w:color w:val="000000"/>
                <w:sz w:val="20"/>
                <w:szCs w:val="20"/>
              </w:rPr>
              <w:t>-0.168</w:t>
            </w:r>
          </w:p>
        </w:tc>
        <w:tc>
          <w:tcPr>
            <w:tcW w:w="2409" w:type="dxa"/>
            <w:tcBorders>
              <w:top w:val="nil"/>
              <w:left w:val="nil"/>
              <w:bottom w:val="nil"/>
              <w:right w:val="nil"/>
            </w:tcBorders>
            <w:shd w:val="clear" w:color="auto" w:fill="FFFF00"/>
            <w:noWrap/>
            <w:vAlign w:val="bottom"/>
          </w:tcPr>
          <w:p w14:paraId="63CC6EE0" w14:textId="3F685E98" w:rsidR="00F73D82" w:rsidRPr="00F73D82" w:rsidRDefault="00F73D82" w:rsidP="00F73D82">
            <w:pPr>
              <w:spacing w:before="0" w:after="0"/>
              <w:jc w:val="center"/>
              <w:rPr>
                <w:rFonts w:cs="Times New Roman"/>
                <w:color w:val="000000"/>
                <w:sz w:val="20"/>
                <w:szCs w:val="20"/>
                <w:lang w:val="en-US" w:eastAsia="en-US"/>
              </w:rPr>
            </w:pPr>
            <w:r w:rsidRPr="00F73D82">
              <w:rPr>
                <w:rFonts w:ascii="Calibri" w:hAnsi="Calibri"/>
                <w:color w:val="000000"/>
                <w:sz w:val="20"/>
                <w:szCs w:val="20"/>
              </w:rPr>
              <w:t>-0.754</w:t>
            </w:r>
          </w:p>
        </w:tc>
        <w:tc>
          <w:tcPr>
            <w:tcW w:w="1985" w:type="dxa"/>
            <w:tcBorders>
              <w:top w:val="nil"/>
              <w:left w:val="nil"/>
              <w:bottom w:val="nil"/>
              <w:right w:val="nil"/>
            </w:tcBorders>
            <w:shd w:val="clear" w:color="auto" w:fill="FFFF00"/>
            <w:noWrap/>
            <w:vAlign w:val="bottom"/>
          </w:tcPr>
          <w:p w14:paraId="34C66D5A" w14:textId="2201CEDA" w:rsidR="00F73D82" w:rsidRPr="00F73D82" w:rsidRDefault="00F73D82" w:rsidP="00F73D82">
            <w:pPr>
              <w:spacing w:before="0" w:after="0"/>
              <w:jc w:val="center"/>
              <w:rPr>
                <w:rFonts w:cs="Times New Roman"/>
                <w:color w:val="000000"/>
                <w:sz w:val="20"/>
                <w:szCs w:val="20"/>
                <w:lang w:val="en-US" w:eastAsia="en-US"/>
              </w:rPr>
            </w:pPr>
            <w:r w:rsidRPr="00F73D82">
              <w:rPr>
                <w:rFonts w:ascii="Calibri" w:hAnsi="Calibri"/>
                <w:color w:val="000000"/>
                <w:sz w:val="20"/>
                <w:szCs w:val="20"/>
              </w:rPr>
              <w:t>-0.714</w:t>
            </w:r>
          </w:p>
        </w:tc>
      </w:tr>
      <w:tr w:rsidR="00F73D82" w:rsidRPr="00D2332A" w14:paraId="50A18D76" w14:textId="77777777" w:rsidTr="00D74ABC">
        <w:trPr>
          <w:trHeight w:val="288"/>
        </w:trPr>
        <w:tc>
          <w:tcPr>
            <w:tcW w:w="1247" w:type="dxa"/>
            <w:tcBorders>
              <w:top w:val="nil"/>
              <w:left w:val="nil"/>
              <w:bottom w:val="nil"/>
              <w:right w:val="nil"/>
            </w:tcBorders>
            <w:shd w:val="clear" w:color="auto" w:fill="auto"/>
            <w:noWrap/>
            <w:vAlign w:val="bottom"/>
            <w:hideMark/>
          </w:tcPr>
          <w:p w14:paraId="1EF47E59" w14:textId="77777777" w:rsidR="00F73D82" w:rsidRPr="00D2332A" w:rsidRDefault="00F73D82" w:rsidP="00F73D82">
            <w:pPr>
              <w:spacing w:before="0" w:after="0"/>
              <w:jc w:val="left"/>
              <w:rPr>
                <w:rFonts w:cs="Times New Roman"/>
                <w:color w:val="000000"/>
                <w:sz w:val="20"/>
                <w:szCs w:val="20"/>
                <w:lang w:val="en-US" w:eastAsia="en-US"/>
              </w:rPr>
            </w:pPr>
            <w:r w:rsidRPr="00D2332A">
              <w:rPr>
                <w:rFonts w:cs="Times New Roman"/>
                <w:color w:val="000000"/>
                <w:sz w:val="20"/>
                <w:szCs w:val="20"/>
              </w:rPr>
              <w:t>DIN</w:t>
            </w:r>
          </w:p>
        </w:tc>
        <w:tc>
          <w:tcPr>
            <w:tcW w:w="1637" w:type="dxa"/>
            <w:tcBorders>
              <w:top w:val="nil"/>
              <w:left w:val="nil"/>
              <w:bottom w:val="nil"/>
              <w:right w:val="nil"/>
            </w:tcBorders>
            <w:shd w:val="clear" w:color="auto" w:fill="auto"/>
            <w:noWrap/>
            <w:vAlign w:val="bottom"/>
          </w:tcPr>
          <w:p w14:paraId="249FDA86" w14:textId="3A694EAC" w:rsidR="00F73D82" w:rsidRPr="00F73D82" w:rsidRDefault="00F73D82" w:rsidP="00F73D82">
            <w:pPr>
              <w:spacing w:before="0" w:after="0"/>
              <w:jc w:val="center"/>
              <w:rPr>
                <w:rFonts w:cs="Times New Roman"/>
                <w:color w:val="000000"/>
                <w:sz w:val="20"/>
                <w:szCs w:val="20"/>
                <w:lang w:val="en-US" w:eastAsia="en-US"/>
              </w:rPr>
            </w:pPr>
            <w:r w:rsidRPr="00F73D82">
              <w:rPr>
                <w:rFonts w:ascii="Calibri" w:hAnsi="Calibri"/>
                <w:color w:val="000000"/>
                <w:sz w:val="20"/>
                <w:szCs w:val="20"/>
              </w:rPr>
              <w:t>-0.492</w:t>
            </w:r>
          </w:p>
        </w:tc>
        <w:tc>
          <w:tcPr>
            <w:tcW w:w="1418" w:type="dxa"/>
            <w:tcBorders>
              <w:top w:val="nil"/>
              <w:left w:val="nil"/>
              <w:bottom w:val="nil"/>
              <w:right w:val="nil"/>
            </w:tcBorders>
            <w:shd w:val="clear" w:color="auto" w:fill="FFFF00"/>
            <w:noWrap/>
            <w:vAlign w:val="bottom"/>
          </w:tcPr>
          <w:p w14:paraId="238F1761" w14:textId="74FBEF47" w:rsidR="00F73D82" w:rsidRPr="00F73D82" w:rsidRDefault="00F73D82" w:rsidP="00F73D82">
            <w:pPr>
              <w:spacing w:before="0" w:after="0"/>
              <w:jc w:val="center"/>
              <w:rPr>
                <w:rFonts w:cs="Times New Roman"/>
                <w:color w:val="000000"/>
                <w:sz w:val="20"/>
                <w:szCs w:val="20"/>
                <w:lang w:val="en-US" w:eastAsia="en-US"/>
              </w:rPr>
            </w:pPr>
            <w:r w:rsidRPr="00F73D82">
              <w:rPr>
                <w:rFonts w:ascii="Calibri" w:hAnsi="Calibri"/>
                <w:color w:val="000000"/>
                <w:sz w:val="20"/>
                <w:szCs w:val="20"/>
              </w:rPr>
              <w:t>-0.614</w:t>
            </w:r>
          </w:p>
        </w:tc>
        <w:tc>
          <w:tcPr>
            <w:tcW w:w="2409" w:type="dxa"/>
            <w:tcBorders>
              <w:top w:val="nil"/>
              <w:left w:val="nil"/>
              <w:bottom w:val="nil"/>
              <w:right w:val="nil"/>
            </w:tcBorders>
            <w:shd w:val="clear" w:color="auto" w:fill="FFFF00"/>
            <w:noWrap/>
            <w:vAlign w:val="bottom"/>
          </w:tcPr>
          <w:p w14:paraId="4380AFC4" w14:textId="00176BFC" w:rsidR="00F73D82" w:rsidRPr="00F73D82" w:rsidRDefault="00F73D82" w:rsidP="00F73D82">
            <w:pPr>
              <w:spacing w:before="0" w:after="0"/>
              <w:jc w:val="center"/>
              <w:rPr>
                <w:rFonts w:cs="Times New Roman"/>
                <w:color w:val="000000"/>
                <w:sz w:val="20"/>
                <w:szCs w:val="20"/>
                <w:lang w:val="en-US" w:eastAsia="en-US"/>
              </w:rPr>
            </w:pPr>
            <w:r w:rsidRPr="00F73D82">
              <w:rPr>
                <w:rFonts w:ascii="Calibri" w:hAnsi="Calibri"/>
                <w:color w:val="000000"/>
                <w:sz w:val="20"/>
                <w:szCs w:val="20"/>
              </w:rPr>
              <w:t>-0.711</w:t>
            </w:r>
          </w:p>
        </w:tc>
        <w:tc>
          <w:tcPr>
            <w:tcW w:w="1985" w:type="dxa"/>
            <w:tcBorders>
              <w:top w:val="nil"/>
              <w:left w:val="nil"/>
              <w:bottom w:val="nil"/>
              <w:right w:val="nil"/>
            </w:tcBorders>
            <w:shd w:val="clear" w:color="auto" w:fill="auto"/>
            <w:noWrap/>
            <w:vAlign w:val="bottom"/>
          </w:tcPr>
          <w:p w14:paraId="3AE3CFA4" w14:textId="1D965952" w:rsidR="00F73D82" w:rsidRPr="00F73D82" w:rsidRDefault="00F73D82" w:rsidP="00F73D82">
            <w:pPr>
              <w:spacing w:before="0" w:after="0"/>
              <w:jc w:val="center"/>
              <w:rPr>
                <w:rFonts w:cs="Times New Roman"/>
                <w:color w:val="000000"/>
                <w:sz w:val="20"/>
                <w:szCs w:val="20"/>
                <w:lang w:val="en-US" w:eastAsia="en-US"/>
              </w:rPr>
            </w:pPr>
            <w:r w:rsidRPr="00F73D82">
              <w:rPr>
                <w:rFonts w:ascii="Calibri" w:hAnsi="Calibri"/>
                <w:color w:val="000000"/>
                <w:sz w:val="20"/>
                <w:szCs w:val="20"/>
              </w:rPr>
              <w:t>-0.599</w:t>
            </w:r>
          </w:p>
        </w:tc>
      </w:tr>
      <w:tr w:rsidR="00F73D82" w:rsidRPr="00D2332A" w14:paraId="5607BB9E" w14:textId="77777777" w:rsidTr="00D74ABC">
        <w:trPr>
          <w:trHeight w:val="288"/>
        </w:trPr>
        <w:tc>
          <w:tcPr>
            <w:tcW w:w="1247" w:type="dxa"/>
            <w:tcBorders>
              <w:top w:val="nil"/>
              <w:left w:val="nil"/>
              <w:bottom w:val="nil"/>
              <w:right w:val="nil"/>
            </w:tcBorders>
            <w:shd w:val="clear" w:color="auto" w:fill="auto"/>
            <w:noWrap/>
            <w:vAlign w:val="bottom"/>
            <w:hideMark/>
          </w:tcPr>
          <w:p w14:paraId="60BCBB43" w14:textId="77777777" w:rsidR="00F73D82" w:rsidRPr="00D2332A" w:rsidRDefault="00F73D82" w:rsidP="00F73D82">
            <w:pPr>
              <w:spacing w:before="0" w:after="0"/>
              <w:jc w:val="left"/>
              <w:rPr>
                <w:rFonts w:cs="Times New Roman"/>
                <w:color w:val="000000"/>
                <w:sz w:val="20"/>
                <w:szCs w:val="20"/>
                <w:lang w:val="en-US" w:eastAsia="en-US"/>
              </w:rPr>
            </w:pPr>
            <w:r w:rsidRPr="00D2332A">
              <w:rPr>
                <w:rFonts w:cs="Times New Roman"/>
                <w:color w:val="000000"/>
                <w:sz w:val="20"/>
                <w:szCs w:val="20"/>
              </w:rPr>
              <w:t>TP</w:t>
            </w:r>
          </w:p>
        </w:tc>
        <w:tc>
          <w:tcPr>
            <w:tcW w:w="1637" w:type="dxa"/>
            <w:tcBorders>
              <w:top w:val="nil"/>
              <w:left w:val="nil"/>
              <w:bottom w:val="nil"/>
              <w:right w:val="nil"/>
            </w:tcBorders>
            <w:shd w:val="clear" w:color="auto" w:fill="auto"/>
            <w:noWrap/>
            <w:vAlign w:val="bottom"/>
          </w:tcPr>
          <w:p w14:paraId="4368D98C" w14:textId="2BED702A" w:rsidR="00F73D82" w:rsidRPr="00F73D82" w:rsidRDefault="00F73D82" w:rsidP="00F73D82">
            <w:pPr>
              <w:spacing w:before="0" w:after="0"/>
              <w:jc w:val="center"/>
              <w:rPr>
                <w:rFonts w:cs="Times New Roman"/>
                <w:color w:val="000000"/>
                <w:sz w:val="20"/>
                <w:szCs w:val="20"/>
                <w:lang w:val="en-US" w:eastAsia="en-US"/>
              </w:rPr>
            </w:pPr>
            <w:r w:rsidRPr="00F73D82">
              <w:rPr>
                <w:rFonts w:ascii="Calibri" w:hAnsi="Calibri"/>
                <w:color w:val="000000"/>
                <w:sz w:val="20"/>
                <w:szCs w:val="20"/>
              </w:rPr>
              <w:t>-0.330</w:t>
            </w:r>
          </w:p>
        </w:tc>
        <w:tc>
          <w:tcPr>
            <w:tcW w:w="1418" w:type="dxa"/>
            <w:tcBorders>
              <w:top w:val="nil"/>
              <w:left w:val="nil"/>
              <w:bottom w:val="nil"/>
              <w:right w:val="nil"/>
            </w:tcBorders>
            <w:shd w:val="clear" w:color="auto" w:fill="auto"/>
            <w:noWrap/>
            <w:vAlign w:val="bottom"/>
          </w:tcPr>
          <w:p w14:paraId="286EB264" w14:textId="4EF4C669" w:rsidR="00F73D82" w:rsidRPr="00F73D82" w:rsidRDefault="00F73D82" w:rsidP="00F73D82">
            <w:pPr>
              <w:spacing w:before="0" w:after="0"/>
              <w:jc w:val="center"/>
              <w:rPr>
                <w:rFonts w:cs="Times New Roman"/>
                <w:color w:val="000000"/>
                <w:sz w:val="20"/>
                <w:szCs w:val="20"/>
                <w:lang w:val="en-US" w:eastAsia="en-US"/>
              </w:rPr>
            </w:pPr>
            <w:r w:rsidRPr="00F73D82">
              <w:rPr>
                <w:rFonts w:ascii="Calibri" w:hAnsi="Calibri"/>
                <w:color w:val="000000"/>
                <w:sz w:val="20"/>
                <w:szCs w:val="20"/>
              </w:rPr>
              <w:t>-0.562</w:t>
            </w:r>
          </w:p>
        </w:tc>
        <w:tc>
          <w:tcPr>
            <w:tcW w:w="2409" w:type="dxa"/>
            <w:tcBorders>
              <w:top w:val="nil"/>
              <w:left w:val="nil"/>
              <w:bottom w:val="nil"/>
              <w:right w:val="nil"/>
            </w:tcBorders>
            <w:shd w:val="clear" w:color="auto" w:fill="FFFF00"/>
            <w:noWrap/>
            <w:vAlign w:val="bottom"/>
          </w:tcPr>
          <w:p w14:paraId="39BE7AB3" w14:textId="1F6C8B1B" w:rsidR="00F73D82" w:rsidRPr="00F73D82" w:rsidRDefault="00F73D82" w:rsidP="00F73D82">
            <w:pPr>
              <w:spacing w:before="0" w:after="0"/>
              <w:jc w:val="center"/>
              <w:rPr>
                <w:rFonts w:cs="Times New Roman"/>
                <w:color w:val="000000"/>
                <w:sz w:val="20"/>
                <w:szCs w:val="20"/>
                <w:lang w:val="en-US" w:eastAsia="en-US"/>
              </w:rPr>
            </w:pPr>
            <w:r w:rsidRPr="00F73D82">
              <w:rPr>
                <w:rFonts w:ascii="Calibri" w:hAnsi="Calibri"/>
                <w:color w:val="000000"/>
                <w:sz w:val="20"/>
                <w:szCs w:val="20"/>
              </w:rPr>
              <w:t>-0.836</w:t>
            </w:r>
          </w:p>
        </w:tc>
        <w:tc>
          <w:tcPr>
            <w:tcW w:w="1985" w:type="dxa"/>
            <w:tcBorders>
              <w:top w:val="nil"/>
              <w:left w:val="nil"/>
              <w:bottom w:val="nil"/>
              <w:right w:val="nil"/>
            </w:tcBorders>
            <w:shd w:val="clear" w:color="auto" w:fill="auto"/>
            <w:noWrap/>
            <w:vAlign w:val="bottom"/>
          </w:tcPr>
          <w:p w14:paraId="5B75ECBB" w14:textId="22213FEF" w:rsidR="00F73D82" w:rsidRPr="00F73D82" w:rsidRDefault="00F73D82" w:rsidP="00F73D82">
            <w:pPr>
              <w:spacing w:before="0" w:after="0"/>
              <w:jc w:val="center"/>
              <w:rPr>
                <w:rFonts w:cs="Times New Roman"/>
                <w:color w:val="000000"/>
                <w:sz w:val="20"/>
                <w:szCs w:val="20"/>
                <w:lang w:val="en-US" w:eastAsia="en-US"/>
              </w:rPr>
            </w:pPr>
            <w:r w:rsidRPr="00F73D82">
              <w:rPr>
                <w:rFonts w:ascii="Calibri" w:hAnsi="Calibri"/>
                <w:color w:val="000000"/>
                <w:sz w:val="20"/>
                <w:szCs w:val="20"/>
              </w:rPr>
              <w:t>-0.524</w:t>
            </w:r>
          </w:p>
        </w:tc>
      </w:tr>
      <w:tr w:rsidR="00F73D82" w:rsidRPr="00D2332A" w14:paraId="0AE41CAA" w14:textId="77777777" w:rsidTr="00D74ABC">
        <w:trPr>
          <w:trHeight w:val="288"/>
        </w:trPr>
        <w:tc>
          <w:tcPr>
            <w:tcW w:w="1247" w:type="dxa"/>
            <w:tcBorders>
              <w:top w:val="nil"/>
              <w:left w:val="nil"/>
              <w:bottom w:val="nil"/>
              <w:right w:val="nil"/>
            </w:tcBorders>
            <w:shd w:val="clear" w:color="auto" w:fill="auto"/>
            <w:noWrap/>
            <w:vAlign w:val="bottom"/>
            <w:hideMark/>
          </w:tcPr>
          <w:p w14:paraId="01B575A4" w14:textId="77777777" w:rsidR="00F73D82" w:rsidRPr="00D2332A" w:rsidRDefault="00F73D82" w:rsidP="00F73D82">
            <w:pPr>
              <w:spacing w:before="0" w:after="0"/>
              <w:jc w:val="left"/>
              <w:rPr>
                <w:rFonts w:cs="Times New Roman"/>
                <w:color w:val="000000"/>
                <w:sz w:val="20"/>
                <w:szCs w:val="20"/>
                <w:lang w:val="en-US" w:eastAsia="en-US"/>
              </w:rPr>
            </w:pPr>
            <w:r w:rsidRPr="00D2332A">
              <w:rPr>
                <w:rFonts w:cs="Times New Roman"/>
                <w:color w:val="000000"/>
                <w:sz w:val="20"/>
                <w:szCs w:val="20"/>
              </w:rPr>
              <w:t>DIP</w:t>
            </w:r>
          </w:p>
        </w:tc>
        <w:tc>
          <w:tcPr>
            <w:tcW w:w="1637" w:type="dxa"/>
            <w:tcBorders>
              <w:top w:val="nil"/>
              <w:left w:val="nil"/>
              <w:bottom w:val="nil"/>
              <w:right w:val="nil"/>
            </w:tcBorders>
            <w:shd w:val="clear" w:color="auto" w:fill="auto"/>
            <w:noWrap/>
            <w:vAlign w:val="bottom"/>
          </w:tcPr>
          <w:p w14:paraId="296ED4DE" w14:textId="709E8558" w:rsidR="00F73D82" w:rsidRPr="00F73D82" w:rsidRDefault="00F73D82" w:rsidP="00F73D82">
            <w:pPr>
              <w:spacing w:before="0" w:after="0"/>
              <w:jc w:val="center"/>
              <w:rPr>
                <w:rFonts w:cs="Times New Roman"/>
                <w:color w:val="000000"/>
                <w:sz w:val="20"/>
                <w:szCs w:val="20"/>
                <w:lang w:val="en-US" w:eastAsia="en-US"/>
              </w:rPr>
            </w:pPr>
            <w:r w:rsidRPr="00F73D82">
              <w:rPr>
                <w:rFonts w:ascii="Calibri" w:hAnsi="Calibri"/>
                <w:color w:val="000000"/>
                <w:sz w:val="20"/>
                <w:szCs w:val="20"/>
              </w:rPr>
              <w:t>-0.155</w:t>
            </w:r>
          </w:p>
        </w:tc>
        <w:tc>
          <w:tcPr>
            <w:tcW w:w="1418" w:type="dxa"/>
            <w:tcBorders>
              <w:top w:val="nil"/>
              <w:left w:val="nil"/>
              <w:bottom w:val="nil"/>
              <w:right w:val="nil"/>
            </w:tcBorders>
            <w:shd w:val="clear" w:color="auto" w:fill="auto"/>
            <w:noWrap/>
            <w:vAlign w:val="bottom"/>
          </w:tcPr>
          <w:p w14:paraId="1BE91CA6" w14:textId="0C6E72CA" w:rsidR="00F73D82" w:rsidRPr="00F73D82" w:rsidRDefault="00F73D82" w:rsidP="00F73D82">
            <w:pPr>
              <w:spacing w:before="0" w:after="0"/>
              <w:jc w:val="center"/>
              <w:rPr>
                <w:rFonts w:cs="Times New Roman"/>
                <w:color w:val="000000"/>
                <w:sz w:val="20"/>
                <w:szCs w:val="20"/>
                <w:lang w:val="en-US" w:eastAsia="en-US"/>
              </w:rPr>
            </w:pPr>
            <w:r w:rsidRPr="00F73D82">
              <w:rPr>
                <w:rFonts w:ascii="Calibri" w:hAnsi="Calibri"/>
                <w:color w:val="000000"/>
                <w:sz w:val="20"/>
                <w:szCs w:val="20"/>
              </w:rPr>
              <w:t>-0.141</w:t>
            </w:r>
          </w:p>
        </w:tc>
        <w:tc>
          <w:tcPr>
            <w:tcW w:w="2409" w:type="dxa"/>
            <w:tcBorders>
              <w:top w:val="nil"/>
              <w:left w:val="nil"/>
              <w:bottom w:val="nil"/>
              <w:right w:val="nil"/>
            </w:tcBorders>
            <w:shd w:val="clear" w:color="auto" w:fill="FFFF00"/>
            <w:noWrap/>
            <w:vAlign w:val="bottom"/>
          </w:tcPr>
          <w:p w14:paraId="58FCC82C" w14:textId="04365F91" w:rsidR="00F73D82" w:rsidRPr="00F73D82" w:rsidRDefault="00F73D82" w:rsidP="00F73D82">
            <w:pPr>
              <w:spacing w:before="0" w:after="0"/>
              <w:jc w:val="center"/>
              <w:rPr>
                <w:rFonts w:cs="Times New Roman"/>
                <w:color w:val="000000"/>
                <w:sz w:val="20"/>
                <w:szCs w:val="20"/>
                <w:lang w:val="en-US" w:eastAsia="en-US"/>
              </w:rPr>
            </w:pPr>
            <w:r w:rsidRPr="00F73D82">
              <w:rPr>
                <w:rFonts w:ascii="Calibri" w:hAnsi="Calibri"/>
                <w:color w:val="000000"/>
                <w:sz w:val="20"/>
                <w:szCs w:val="20"/>
              </w:rPr>
              <w:t>-0.640</w:t>
            </w:r>
          </w:p>
        </w:tc>
        <w:tc>
          <w:tcPr>
            <w:tcW w:w="1985" w:type="dxa"/>
            <w:tcBorders>
              <w:top w:val="nil"/>
              <w:left w:val="nil"/>
              <w:bottom w:val="nil"/>
              <w:right w:val="nil"/>
            </w:tcBorders>
            <w:shd w:val="clear" w:color="auto" w:fill="auto"/>
            <w:noWrap/>
            <w:vAlign w:val="bottom"/>
          </w:tcPr>
          <w:p w14:paraId="74981ED7" w14:textId="34FCE949" w:rsidR="00F73D82" w:rsidRPr="00F73D82" w:rsidRDefault="00F73D82" w:rsidP="00F73D82">
            <w:pPr>
              <w:spacing w:before="0" w:after="0"/>
              <w:jc w:val="center"/>
              <w:rPr>
                <w:rFonts w:cs="Times New Roman"/>
                <w:color w:val="000000"/>
                <w:sz w:val="20"/>
                <w:szCs w:val="20"/>
                <w:lang w:val="en-US" w:eastAsia="en-US"/>
              </w:rPr>
            </w:pPr>
            <w:r w:rsidRPr="00F73D82">
              <w:rPr>
                <w:rFonts w:ascii="Calibri" w:hAnsi="Calibri"/>
                <w:color w:val="000000"/>
                <w:sz w:val="20"/>
                <w:szCs w:val="20"/>
              </w:rPr>
              <w:t>0.186</w:t>
            </w:r>
          </w:p>
        </w:tc>
      </w:tr>
      <w:tr w:rsidR="00F73D82" w:rsidRPr="00D2332A" w14:paraId="6AA9575B" w14:textId="77777777" w:rsidTr="00D74ABC">
        <w:trPr>
          <w:trHeight w:val="288"/>
        </w:trPr>
        <w:tc>
          <w:tcPr>
            <w:tcW w:w="1247" w:type="dxa"/>
            <w:tcBorders>
              <w:top w:val="nil"/>
              <w:left w:val="nil"/>
              <w:bottom w:val="nil"/>
              <w:right w:val="nil"/>
            </w:tcBorders>
            <w:shd w:val="clear" w:color="auto" w:fill="auto"/>
            <w:noWrap/>
            <w:vAlign w:val="bottom"/>
            <w:hideMark/>
          </w:tcPr>
          <w:p w14:paraId="6C2C514A" w14:textId="77777777" w:rsidR="00F73D82" w:rsidRPr="00D2332A" w:rsidRDefault="00F73D82" w:rsidP="00F73D82">
            <w:pPr>
              <w:spacing w:before="0" w:after="0"/>
              <w:jc w:val="left"/>
              <w:rPr>
                <w:rFonts w:cs="Times New Roman"/>
                <w:color w:val="000000"/>
                <w:sz w:val="20"/>
                <w:szCs w:val="20"/>
                <w:lang w:val="en-US" w:eastAsia="en-US"/>
              </w:rPr>
            </w:pPr>
            <w:r w:rsidRPr="00D2332A">
              <w:rPr>
                <w:rFonts w:cs="Times New Roman"/>
                <w:color w:val="000000"/>
                <w:sz w:val="20"/>
                <w:szCs w:val="20"/>
              </w:rPr>
              <w:t>PN</w:t>
            </w:r>
          </w:p>
        </w:tc>
        <w:tc>
          <w:tcPr>
            <w:tcW w:w="1637" w:type="dxa"/>
            <w:tcBorders>
              <w:top w:val="nil"/>
              <w:left w:val="nil"/>
              <w:bottom w:val="nil"/>
              <w:right w:val="nil"/>
            </w:tcBorders>
            <w:shd w:val="clear" w:color="auto" w:fill="auto"/>
            <w:noWrap/>
            <w:vAlign w:val="bottom"/>
          </w:tcPr>
          <w:p w14:paraId="7B37722D" w14:textId="658E646B" w:rsidR="00F73D82" w:rsidRPr="00F73D82" w:rsidRDefault="00F73D82" w:rsidP="00F73D82">
            <w:pPr>
              <w:spacing w:before="0" w:after="0"/>
              <w:jc w:val="center"/>
              <w:rPr>
                <w:rFonts w:cs="Times New Roman"/>
                <w:color w:val="000000"/>
                <w:sz w:val="20"/>
                <w:szCs w:val="20"/>
                <w:lang w:val="en-US" w:eastAsia="en-US"/>
              </w:rPr>
            </w:pPr>
            <w:r w:rsidRPr="00F73D82">
              <w:rPr>
                <w:rFonts w:ascii="Calibri" w:hAnsi="Calibri"/>
                <w:color w:val="000000"/>
                <w:sz w:val="20"/>
                <w:szCs w:val="20"/>
              </w:rPr>
              <w:t>0.015</w:t>
            </w:r>
          </w:p>
        </w:tc>
        <w:tc>
          <w:tcPr>
            <w:tcW w:w="1418" w:type="dxa"/>
            <w:tcBorders>
              <w:top w:val="nil"/>
              <w:left w:val="nil"/>
              <w:bottom w:val="nil"/>
              <w:right w:val="nil"/>
            </w:tcBorders>
            <w:shd w:val="clear" w:color="auto" w:fill="auto"/>
            <w:noWrap/>
            <w:vAlign w:val="bottom"/>
          </w:tcPr>
          <w:p w14:paraId="19241093" w14:textId="22AF40FA" w:rsidR="00F73D82" w:rsidRPr="00F73D82" w:rsidRDefault="00F73D82" w:rsidP="00F73D82">
            <w:pPr>
              <w:spacing w:before="0" w:after="0"/>
              <w:jc w:val="center"/>
              <w:rPr>
                <w:rFonts w:cs="Times New Roman"/>
                <w:color w:val="000000"/>
                <w:sz w:val="20"/>
                <w:szCs w:val="20"/>
                <w:lang w:val="en-US" w:eastAsia="en-US"/>
              </w:rPr>
            </w:pPr>
            <w:r w:rsidRPr="00F73D82">
              <w:rPr>
                <w:rFonts w:ascii="Calibri" w:hAnsi="Calibri"/>
                <w:color w:val="000000"/>
                <w:sz w:val="20"/>
                <w:szCs w:val="20"/>
              </w:rPr>
              <w:t>0.001</w:t>
            </w:r>
          </w:p>
        </w:tc>
        <w:tc>
          <w:tcPr>
            <w:tcW w:w="2409" w:type="dxa"/>
            <w:tcBorders>
              <w:top w:val="nil"/>
              <w:left w:val="nil"/>
              <w:bottom w:val="nil"/>
              <w:right w:val="nil"/>
            </w:tcBorders>
            <w:shd w:val="clear" w:color="auto" w:fill="auto"/>
            <w:noWrap/>
            <w:vAlign w:val="bottom"/>
          </w:tcPr>
          <w:p w14:paraId="179CA45B" w14:textId="385C8412" w:rsidR="00F73D82" w:rsidRPr="00F73D82" w:rsidRDefault="00F73D82" w:rsidP="00F73D82">
            <w:pPr>
              <w:spacing w:before="0" w:after="0"/>
              <w:jc w:val="center"/>
              <w:rPr>
                <w:rFonts w:cs="Times New Roman"/>
                <w:color w:val="000000"/>
                <w:sz w:val="20"/>
                <w:szCs w:val="20"/>
                <w:lang w:val="en-US" w:eastAsia="en-US"/>
              </w:rPr>
            </w:pPr>
            <w:r w:rsidRPr="00F73D82">
              <w:rPr>
                <w:rFonts w:ascii="Calibri" w:hAnsi="Calibri"/>
                <w:color w:val="000000"/>
                <w:sz w:val="20"/>
                <w:szCs w:val="20"/>
              </w:rPr>
              <w:t>-0.365</w:t>
            </w:r>
          </w:p>
        </w:tc>
        <w:tc>
          <w:tcPr>
            <w:tcW w:w="1985" w:type="dxa"/>
            <w:tcBorders>
              <w:top w:val="nil"/>
              <w:left w:val="nil"/>
              <w:bottom w:val="nil"/>
              <w:right w:val="nil"/>
            </w:tcBorders>
            <w:shd w:val="clear" w:color="auto" w:fill="auto"/>
            <w:noWrap/>
            <w:vAlign w:val="bottom"/>
          </w:tcPr>
          <w:p w14:paraId="6F59FF70" w14:textId="50438ACB" w:rsidR="00F73D82" w:rsidRPr="00F73D82" w:rsidRDefault="00F73D82" w:rsidP="00F73D82">
            <w:pPr>
              <w:spacing w:before="0" w:after="0"/>
              <w:jc w:val="center"/>
              <w:rPr>
                <w:rFonts w:cs="Times New Roman"/>
                <w:color w:val="000000"/>
                <w:sz w:val="20"/>
                <w:szCs w:val="20"/>
                <w:lang w:val="en-US" w:eastAsia="en-US"/>
              </w:rPr>
            </w:pPr>
            <w:r w:rsidRPr="00F73D82">
              <w:rPr>
                <w:rFonts w:ascii="Calibri" w:hAnsi="Calibri"/>
                <w:color w:val="000000"/>
                <w:sz w:val="20"/>
                <w:szCs w:val="20"/>
              </w:rPr>
              <w:t>-0.455</w:t>
            </w:r>
          </w:p>
        </w:tc>
      </w:tr>
      <w:tr w:rsidR="00F73D82" w:rsidRPr="00D2332A" w14:paraId="563EBB50" w14:textId="77777777" w:rsidTr="00DC49FE">
        <w:trPr>
          <w:trHeight w:val="87"/>
        </w:trPr>
        <w:tc>
          <w:tcPr>
            <w:tcW w:w="1247" w:type="dxa"/>
            <w:tcBorders>
              <w:top w:val="nil"/>
              <w:left w:val="nil"/>
              <w:bottom w:val="single" w:sz="4" w:space="0" w:color="auto"/>
              <w:right w:val="nil"/>
            </w:tcBorders>
            <w:shd w:val="clear" w:color="auto" w:fill="auto"/>
            <w:noWrap/>
            <w:vAlign w:val="bottom"/>
          </w:tcPr>
          <w:p w14:paraId="5B803635" w14:textId="1D2E002D" w:rsidR="00F73D82" w:rsidRPr="00D2332A" w:rsidRDefault="00F73D82" w:rsidP="00F73D82">
            <w:pPr>
              <w:spacing w:before="0" w:after="0"/>
              <w:jc w:val="left"/>
              <w:rPr>
                <w:rFonts w:cs="Times New Roman"/>
                <w:color w:val="000000"/>
                <w:sz w:val="20"/>
                <w:szCs w:val="20"/>
              </w:rPr>
            </w:pPr>
            <w:r>
              <w:rPr>
                <w:rFonts w:cs="Times New Roman"/>
                <w:color w:val="000000"/>
                <w:sz w:val="20"/>
                <w:szCs w:val="20"/>
              </w:rPr>
              <w:t>PP</w:t>
            </w:r>
          </w:p>
        </w:tc>
        <w:tc>
          <w:tcPr>
            <w:tcW w:w="1637" w:type="dxa"/>
            <w:tcBorders>
              <w:top w:val="nil"/>
              <w:left w:val="nil"/>
              <w:bottom w:val="single" w:sz="4" w:space="0" w:color="auto"/>
              <w:right w:val="nil"/>
            </w:tcBorders>
            <w:shd w:val="clear" w:color="auto" w:fill="auto"/>
            <w:noWrap/>
            <w:vAlign w:val="bottom"/>
          </w:tcPr>
          <w:p w14:paraId="60AC6BF0" w14:textId="4A3068EF" w:rsidR="00F73D82" w:rsidRPr="00F73D82" w:rsidRDefault="00F73D82" w:rsidP="00F73D82">
            <w:pPr>
              <w:spacing w:before="0" w:after="0"/>
              <w:jc w:val="center"/>
              <w:rPr>
                <w:rFonts w:cs="Times New Roman"/>
                <w:color w:val="000000"/>
                <w:sz w:val="20"/>
                <w:szCs w:val="20"/>
                <w:lang w:val="en-US" w:eastAsia="en-US"/>
              </w:rPr>
            </w:pPr>
            <w:r w:rsidRPr="00F73D82">
              <w:rPr>
                <w:rFonts w:ascii="Calibri" w:hAnsi="Calibri"/>
                <w:color w:val="000000"/>
                <w:sz w:val="20"/>
                <w:szCs w:val="20"/>
              </w:rPr>
              <w:t>-0.063</w:t>
            </w:r>
          </w:p>
        </w:tc>
        <w:tc>
          <w:tcPr>
            <w:tcW w:w="1418" w:type="dxa"/>
            <w:tcBorders>
              <w:top w:val="nil"/>
              <w:left w:val="nil"/>
              <w:bottom w:val="single" w:sz="4" w:space="0" w:color="auto"/>
              <w:right w:val="nil"/>
            </w:tcBorders>
            <w:shd w:val="clear" w:color="auto" w:fill="auto"/>
            <w:noWrap/>
            <w:vAlign w:val="bottom"/>
          </w:tcPr>
          <w:p w14:paraId="51B5CA7A" w14:textId="3E3674D6" w:rsidR="00F73D82" w:rsidRPr="00F73D82" w:rsidRDefault="00F73D82" w:rsidP="00F73D82">
            <w:pPr>
              <w:spacing w:before="0" w:after="0"/>
              <w:jc w:val="center"/>
              <w:rPr>
                <w:rFonts w:cs="Times New Roman"/>
                <w:color w:val="000000"/>
                <w:sz w:val="20"/>
                <w:szCs w:val="20"/>
                <w:lang w:val="en-US" w:eastAsia="en-US"/>
              </w:rPr>
            </w:pPr>
            <w:r w:rsidRPr="00F73D82">
              <w:rPr>
                <w:rFonts w:ascii="Calibri" w:hAnsi="Calibri"/>
                <w:color w:val="000000"/>
                <w:sz w:val="20"/>
                <w:szCs w:val="20"/>
              </w:rPr>
              <w:t>-0.555</w:t>
            </w:r>
          </w:p>
        </w:tc>
        <w:tc>
          <w:tcPr>
            <w:tcW w:w="2409" w:type="dxa"/>
            <w:tcBorders>
              <w:top w:val="nil"/>
              <w:left w:val="nil"/>
              <w:bottom w:val="single" w:sz="4" w:space="0" w:color="auto"/>
              <w:right w:val="nil"/>
            </w:tcBorders>
            <w:shd w:val="clear" w:color="auto" w:fill="FFFF00"/>
            <w:noWrap/>
            <w:vAlign w:val="bottom"/>
          </w:tcPr>
          <w:p w14:paraId="46258090" w14:textId="4A2D11AE" w:rsidR="00F73D82" w:rsidRPr="00F73D82" w:rsidRDefault="00F73D82" w:rsidP="00F73D82">
            <w:pPr>
              <w:spacing w:before="0" w:after="0"/>
              <w:jc w:val="center"/>
              <w:rPr>
                <w:rFonts w:cs="Times New Roman"/>
                <w:color w:val="000000"/>
                <w:sz w:val="20"/>
                <w:szCs w:val="20"/>
                <w:lang w:val="en-US" w:eastAsia="en-US"/>
              </w:rPr>
            </w:pPr>
            <w:r w:rsidRPr="00F73D82">
              <w:rPr>
                <w:rFonts w:ascii="Calibri" w:hAnsi="Calibri"/>
                <w:color w:val="000000"/>
                <w:sz w:val="20"/>
                <w:szCs w:val="20"/>
              </w:rPr>
              <w:t>-0.706</w:t>
            </w:r>
          </w:p>
        </w:tc>
        <w:tc>
          <w:tcPr>
            <w:tcW w:w="1985" w:type="dxa"/>
            <w:tcBorders>
              <w:top w:val="nil"/>
              <w:left w:val="nil"/>
              <w:bottom w:val="single" w:sz="4" w:space="0" w:color="auto"/>
              <w:right w:val="nil"/>
            </w:tcBorders>
            <w:shd w:val="clear" w:color="auto" w:fill="auto"/>
            <w:noWrap/>
            <w:vAlign w:val="bottom"/>
          </w:tcPr>
          <w:p w14:paraId="27C1F0C7" w14:textId="3E0C152E" w:rsidR="00F73D82" w:rsidRPr="00F73D82" w:rsidRDefault="00F73D82" w:rsidP="00F73D82">
            <w:pPr>
              <w:spacing w:before="0" w:after="0"/>
              <w:jc w:val="center"/>
              <w:rPr>
                <w:rFonts w:cs="Times New Roman"/>
                <w:color w:val="000000"/>
                <w:sz w:val="20"/>
                <w:szCs w:val="20"/>
                <w:lang w:val="en-US" w:eastAsia="en-US"/>
              </w:rPr>
            </w:pPr>
            <w:r w:rsidRPr="00F73D82">
              <w:rPr>
                <w:rFonts w:ascii="Calibri" w:hAnsi="Calibri"/>
                <w:color w:val="000000"/>
                <w:sz w:val="20"/>
                <w:szCs w:val="20"/>
              </w:rPr>
              <w:t>-0.345</w:t>
            </w:r>
          </w:p>
        </w:tc>
      </w:tr>
    </w:tbl>
    <w:p w14:paraId="7D893F02" w14:textId="77777777" w:rsidR="001D6FE0" w:rsidRDefault="001D6FE0" w:rsidP="0065493C">
      <w:pPr>
        <w:rPr>
          <w:lang w:val="en-US"/>
        </w:rPr>
      </w:pPr>
    </w:p>
    <w:p w14:paraId="154320B9" w14:textId="31C5545F" w:rsidR="00560C5A" w:rsidRPr="008029CF" w:rsidRDefault="00560C5A" w:rsidP="0065493C">
      <w:pPr>
        <w:rPr>
          <w:lang w:val="en-US"/>
        </w:rPr>
      </w:pPr>
      <w:r w:rsidRPr="008029CF">
        <w:rPr>
          <w:lang w:val="en-US"/>
        </w:rPr>
        <w:t>The result of th</w:t>
      </w:r>
      <w:r w:rsidR="00DE47B8">
        <w:rPr>
          <w:lang w:val="en-US"/>
        </w:rPr>
        <w:t>e temporal GAMM</w:t>
      </w:r>
      <w:r w:rsidR="00C83AAE">
        <w:rPr>
          <w:lang w:val="en-US"/>
        </w:rPr>
        <w:t xml:space="preserve"> </w:t>
      </w:r>
      <w:r w:rsidRPr="008029CF">
        <w:rPr>
          <w:lang w:val="en-US"/>
        </w:rPr>
        <w:t>analysis for each WQ component is presented as a set of 4 plots, vertically distributed (</w:t>
      </w:r>
      <w:r w:rsidR="009B1FE8" w:rsidRPr="008029CF">
        <w:rPr>
          <w:lang w:val="en-US"/>
        </w:rPr>
        <w:t xml:space="preserve">Figure </w:t>
      </w:r>
      <w:r w:rsidR="00D47A52">
        <w:rPr>
          <w:lang w:val="en-US"/>
        </w:rPr>
        <w:t>4-</w:t>
      </w:r>
      <w:r w:rsidR="00E277FB">
        <w:rPr>
          <w:lang w:val="en-US"/>
        </w:rPr>
        <w:t>6</w:t>
      </w:r>
      <w:r w:rsidR="009B1FE8" w:rsidRPr="008029CF">
        <w:rPr>
          <w:lang w:val="en-US"/>
        </w:rPr>
        <w:t xml:space="preserve"> to Figure </w:t>
      </w:r>
      <w:r w:rsidR="00D47A52">
        <w:rPr>
          <w:lang w:val="en-US"/>
        </w:rPr>
        <w:t>4-</w:t>
      </w:r>
      <w:r w:rsidR="00E277FB">
        <w:rPr>
          <w:lang w:val="en-US"/>
        </w:rPr>
        <w:t>8</w:t>
      </w:r>
      <w:r w:rsidRPr="008029CF">
        <w:rPr>
          <w:lang w:val="en-US"/>
        </w:rPr>
        <w:t xml:space="preserve">). The first three plots in each column are the partial effect plots from the multiple regression analysis. These plots show the </w:t>
      </w:r>
      <w:r w:rsidR="001D6FE0" w:rsidRPr="008029CF">
        <w:rPr>
          <w:lang w:val="en-US"/>
        </w:rPr>
        <w:t>behavior</w:t>
      </w:r>
      <w:r w:rsidRPr="008029CF">
        <w:rPr>
          <w:lang w:val="en-US"/>
        </w:rPr>
        <w:t xml:space="preserve"> of the WQ component against each predictor individually (i.e., either</w:t>
      </w:r>
      <w:r w:rsidR="00AF1274">
        <w:rPr>
          <w:lang w:val="en-US"/>
        </w:rPr>
        <w:t xml:space="preserve"> (i) </w:t>
      </w:r>
      <w:r w:rsidRPr="008029CF">
        <w:rPr>
          <w:lang w:val="en-US"/>
        </w:rPr>
        <w:t>surface salinity or</w:t>
      </w:r>
      <w:r w:rsidR="00AF1274">
        <w:rPr>
          <w:lang w:val="en-US"/>
        </w:rPr>
        <w:t xml:space="preserve"> (ii)</w:t>
      </w:r>
      <w:r w:rsidRPr="008029CF">
        <w:rPr>
          <w:lang w:val="en-US"/>
        </w:rPr>
        <w:t xml:space="preserve"> distance or </w:t>
      </w:r>
      <w:r w:rsidR="00AF1274">
        <w:rPr>
          <w:lang w:val="en-US"/>
        </w:rPr>
        <w:t xml:space="preserve"> (iii) </w:t>
      </w:r>
      <w:r w:rsidRPr="008029CF">
        <w:rPr>
          <w:lang w:val="en-US"/>
        </w:rPr>
        <w:t xml:space="preserve">river discharge) when the other two predictors are kept constant. The last plot represents the temporal variation of each WQ component when the selected predictors (i.e., those that </w:t>
      </w:r>
      <w:r w:rsidRPr="00AF1274">
        <w:rPr>
          <w:i/>
          <w:lang w:val="en-US"/>
        </w:rPr>
        <w:t>did not</w:t>
      </w:r>
      <w:r w:rsidRPr="008029CF">
        <w:rPr>
          <w:lang w:val="en-US"/>
        </w:rPr>
        <w:t xml:space="preserve"> present as a straight line in the partial plots) were used as random effects in the GAMM analysis</w:t>
      </w:r>
      <w:r w:rsidR="00146710">
        <w:rPr>
          <w:lang w:val="en-US"/>
        </w:rPr>
        <w:t>.</w:t>
      </w:r>
    </w:p>
    <w:p w14:paraId="4B4B0963" w14:textId="6B5060AF" w:rsidR="00D47A52" w:rsidRPr="008029CF" w:rsidRDefault="00D47A52" w:rsidP="00D47A52">
      <w:pPr>
        <w:rPr>
          <w:lang w:val="en-US"/>
        </w:rPr>
      </w:pPr>
      <w:r w:rsidRPr="008029CF">
        <w:rPr>
          <w:lang w:val="en-US"/>
        </w:rPr>
        <w:t xml:space="preserve">The temporal variation </w:t>
      </w:r>
      <w:r>
        <w:rPr>
          <w:lang w:val="en-US"/>
        </w:rPr>
        <w:t>for most</w:t>
      </w:r>
      <w:r w:rsidRPr="008029CF">
        <w:rPr>
          <w:lang w:val="en-US"/>
        </w:rPr>
        <w:t xml:space="preserve"> WQ components (data set 2006-2014) was best modelled by using all predictors (i.e., salinity, river discharge and distance) as random effects. Exceptions occurred for </w:t>
      </w:r>
      <w:r w:rsidRPr="008029CF">
        <w:rPr>
          <w:lang w:val="en-US"/>
        </w:rPr>
        <w:lastRenderedPageBreak/>
        <w:t>chlorophyll-a and PN that were modelled with the exclusion of the predictor “distance”, which presented as a straight line parallel to x-axis in the partial effect plots (Figure 4</w:t>
      </w:r>
      <w:r>
        <w:rPr>
          <w:lang w:val="en-US"/>
        </w:rPr>
        <w:t>-</w:t>
      </w:r>
      <w:r w:rsidR="00E277FB">
        <w:rPr>
          <w:lang w:val="en-US"/>
        </w:rPr>
        <w:t>7</w:t>
      </w:r>
      <w:r w:rsidRPr="008029CF">
        <w:rPr>
          <w:lang w:val="en-US"/>
        </w:rPr>
        <w:t>, first two plots in the second row). Discharge was also excluded from chlorophyll-a (Figure 4</w:t>
      </w:r>
      <w:r>
        <w:rPr>
          <w:lang w:val="en-US"/>
        </w:rPr>
        <w:t>-</w:t>
      </w:r>
      <w:r w:rsidR="00E277FB">
        <w:rPr>
          <w:lang w:val="en-US"/>
        </w:rPr>
        <w:t>7</w:t>
      </w:r>
      <w:r w:rsidRPr="008029CF">
        <w:rPr>
          <w:lang w:val="en-US"/>
        </w:rPr>
        <w:t>, first plot in the third row). Moreover, no temporal variation was identified for CDOM (Figure 4</w:t>
      </w:r>
      <w:r>
        <w:rPr>
          <w:lang w:val="en-US"/>
        </w:rPr>
        <w:t>-</w:t>
      </w:r>
      <w:r w:rsidR="00E277FB">
        <w:rPr>
          <w:lang w:val="en-US"/>
        </w:rPr>
        <w:t>6</w:t>
      </w:r>
      <w:r w:rsidRPr="008029CF">
        <w:rPr>
          <w:lang w:val="en-US"/>
        </w:rPr>
        <w:t>, bottom-mid plot), which presented an r-squared &lt; 0, suggesting that a straight line parallel to the x-axis explain the behavior of CDOM better than the fitted models. All the other WQ components exhibited significant temporal trends although the fitted models explain &lt; 10% of the data variability with the exception of DIP (r-sq = 0.37, Figure 4</w:t>
      </w:r>
      <w:r>
        <w:rPr>
          <w:lang w:val="en-US"/>
        </w:rPr>
        <w:t>-</w:t>
      </w:r>
      <w:r w:rsidR="00E277FB">
        <w:rPr>
          <w:lang w:val="en-US"/>
        </w:rPr>
        <w:t>8</w:t>
      </w:r>
      <w:r w:rsidRPr="008029CF">
        <w:rPr>
          <w:lang w:val="en-US"/>
        </w:rPr>
        <w:t>, bottom-mid plot). For DIN and DIP, there is a clear reduction in concentration values after 2012, which was preceded by an increase in concentrations in 2010-2011 wet season, related to an extreme wet season and the passage of the Ex-</w:t>
      </w:r>
      <w:r>
        <w:rPr>
          <w:lang w:val="en-US"/>
        </w:rPr>
        <w:t>t</w:t>
      </w:r>
      <w:r w:rsidRPr="008029CF">
        <w:rPr>
          <w:lang w:val="en-US"/>
        </w:rPr>
        <w:t xml:space="preserve">ropical </w:t>
      </w:r>
      <w:r>
        <w:rPr>
          <w:lang w:val="en-US"/>
        </w:rPr>
        <w:t>c</w:t>
      </w:r>
      <w:r w:rsidRPr="008029CF">
        <w:rPr>
          <w:lang w:val="en-US"/>
        </w:rPr>
        <w:t>yclone Yasi in January-February 2011. The same trend was observed for light attenuation, suggesting turbid waters related to the extreme wet season influenced light attenuation in and beyond the 2011-</w:t>
      </w:r>
      <w:r w:rsidR="00E277FB">
        <w:rPr>
          <w:lang w:val="en-US"/>
        </w:rPr>
        <w:t>20</w:t>
      </w:r>
      <w:r w:rsidRPr="008029CF">
        <w:rPr>
          <w:lang w:val="en-US"/>
        </w:rPr>
        <w:t>12 wet season. Patterns in the chlorophyll-a data show a similar pattern with peak in 2010-</w:t>
      </w:r>
      <w:r w:rsidR="00E277FB">
        <w:rPr>
          <w:lang w:val="en-US"/>
        </w:rPr>
        <w:t>20</w:t>
      </w:r>
      <w:r w:rsidRPr="008029CF">
        <w:rPr>
          <w:lang w:val="en-US"/>
        </w:rPr>
        <w:t xml:space="preserve">11, but the wider error bars make it difficult to draw any longer term conclusions about the temporal trends. The WQ components TSS, PN and PP all show a general trend with reducing values throughout the analysed period. However, these overall temporal trends, particularly with PN and PP will be influenced by the opposing drivers with decreasing PN related to salinity and increasing PN related to distance. For example, the increase in PN over distance is related to the uptake of DIN into biological systems, increasing the PN concentrations. Thus, temporal patterns in PN and PP will be quite difficult to resolve and require increased scrutiny of the data through the wet and dry season. </w:t>
      </w:r>
    </w:p>
    <w:p w14:paraId="18B3ECF0" w14:textId="01630C0C" w:rsidR="00D47A52" w:rsidRPr="008029CF" w:rsidRDefault="00D47A52" w:rsidP="00D47A52">
      <w:pPr>
        <w:rPr>
          <w:lang w:val="en-US"/>
        </w:rPr>
      </w:pPr>
      <w:r w:rsidRPr="008029CF">
        <w:rPr>
          <w:lang w:val="en-US"/>
        </w:rPr>
        <w:t>The partial effect plots (Figure 4</w:t>
      </w:r>
      <w:r>
        <w:rPr>
          <w:lang w:val="en-US"/>
        </w:rPr>
        <w:t>-</w:t>
      </w:r>
      <w:r w:rsidRPr="008029CF">
        <w:rPr>
          <w:lang w:val="en-US"/>
        </w:rPr>
        <w:t>10 to Figure 4</w:t>
      </w:r>
      <w:r>
        <w:rPr>
          <w:lang w:val="en-US"/>
        </w:rPr>
        <w:t>-</w:t>
      </w:r>
      <w:r w:rsidR="00E277FB">
        <w:rPr>
          <w:lang w:val="en-US"/>
        </w:rPr>
        <w:t>8</w:t>
      </w:r>
      <w:r w:rsidRPr="008029CF">
        <w:rPr>
          <w:lang w:val="en-US"/>
        </w:rPr>
        <w:t>, first 3 plots in each column) provide useful insights on the behavio</w:t>
      </w:r>
      <w:r w:rsidR="00146710">
        <w:rPr>
          <w:lang w:val="en-US"/>
        </w:rPr>
        <w:t>u</w:t>
      </w:r>
      <w:r w:rsidRPr="008029CF">
        <w:rPr>
          <w:lang w:val="en-US"/>
        </w:rPr>
        <w:t>r of each WQ component against the predictors. Surface salinity was a significant predictor for all the WQ components (Table 4</w:t>
      </w:r>
      <w:r>
        <w:rPr>
          <w:lang w:val="en-US"/>
        </w:rPr>
        <w:t>-9</w:t>
      </w:r>
      <w:r w:rsidRPr="008029CF">
        <w:rPr>
          <w:lang w:val="en-US"/>
        </w:rPr>
        <w:t>). As a general trend all the WQ components drop off quickly as salinity increases and stabili</w:t>
      </w:r>
      <w:r w:rsidR="00146710">
        <w:rPr>
          <w:lang w:val="en-US"/>
        </w:rPr>
        <w:t>s</w:t>
      </w:r>
      <w:r w:rsidRPr="008029CF">
        <w:rPr>
          <w:lang w:val="en-US"/>
        </w:rPr>
        <w:t>ed through the mid salinity ranges, although the range depends on the WQ component (Figure 4</w:t>
      </w:r>
      <w:r>
        <w:rPr>
          <w:lang w:val="en-US"/>
        </w:rPr>
        <w:t>-</w:t>
      </w:r>
      <w:r w:rsidR="00E277FB">
        <w:rPr>
          <w:lang w:val="en-US"/>
        </w:rPr>
        <w:t>6</w:t>
      </w:r>
      <w:r w:rsidRPr="008029CF">
        <w:rPr>
          <w:lang w:val="en-US"/>
        </w:rPr>
        <w:t xml:space="preserve"> to Figure 4</w:t>
      </w:r>
      <w:r>
        <w:rPr>
          <w:lang w:val="en-US"/>
        </w:rPr>
        <w:t>-</w:t>
      </w:r>
      <w:r w:rsidR="00E277FB">
        <w:rPr>
          <w:lang w:val="en-US"/>
        </w:rPr>
        <w:t>8</w:t>
      </w:r>
      <w:r w:rsidRPr="008029CF">
        <w:rPr>
          <w:lang w:val="en-US"/>
        </w:rPr>
        <w:t xml:space="preserve">, plots in the top row). Different patterns are observed for chlorophyll-a and DIP. Chlorophyll-a exhibits a peak of concentration around salinity 15 </w:t>
      </w:r>
      <w:r w:rsidR="00146710">
        <w:rPr>
          <w:lang w:val="en-US"/>
        </w:rPr>
        <w:t xml:space="preserve">ppt </w:t>
      </w:r>
      <w:r w:rsidRPr="008029CF">
        <w:rPr>
          <w:lang w:val="en-US"/>
        </w:rPr>
        <w:t>(Figure 4</w:t>
      </w:r>
      <w:r>
        <w:rPr>
          <w:lang w:val="en-US"/>
        </w:rPr>
        <w:t>-</w:t>
      </w:r>
      <w:r w:rsidR="00E277FB">
        <w:rPr>
          <w:lang w:val="en-US"/>
        </w:rPr>
        <w:t>7</w:t>
      </w:r>
      <w:r w:rsidRPr="008029CF">
        <w:rPr>
          <w:lang w:val="en-US"/>
        </w:rPr>
        <w:t>), and PN increases centration in salinity &gt; 30</w:t>
      </w:r>
      <w:r w:rsidR="00146710">
        <w:rPr>
          <w:lang w:val="en-US"/>
        </w:rPr>
        <w:t xml:space="preserve"> ppt</w:t>
      </w:r>
      <w:r w:rsidRPr="008029CF">
        <w:rPr>
          <w:lang w:val="en-US"/>
        </w:rPr>
        <w:t xml:space="preserve"> (Figure 4</w:t>
      </w:r>
      <w:r>
        <w:rPr>
          <w:lang w:val="en-US"/>
        </w:rPr>
        <w:t>-</w:t>
      </w:r>
      <w:r w:rsidR="00E277FB">
        <w:rPr>
          <w:lang w:val="en-US"/>
        </w:rPr>
        <w:t>7</w:t>
      </w:r>
      <w:r w:rsidRPr="008029CF">
        <w:rPr>
          <w:lang w:val="en-US"/>
        </w:rPr>
        <w:t>).</w:t>
      </w:r>
    </w:p>
    <w:p w14:paraId="49958216" w14:textId="543A31A0" w:rsidR="00D47A52" w:rsidRPr="008029CF" w:rsidRDefault="00D47A52" w:rsidP="00D47A52">
      <w:pPr>
        <w:rPr>
          <w:lang w:val="en-US"/>
        </w:rPr>
      </w:pPr>
      <w:r w:rsidRPr="008029CF">
        <w:rPr>
          <w:lang w:val="en-US"/>
        </w:rPr>
        <w:t>In relation to d</w:t>
      </w:r>
      <w:r w:rsidR="00E277FB">
        <w:rPr>
          <w:lang w:val="en-US"/>
        </w:rPr>
        <w:t xml:space="preserve">istance, as would be expected, </w:t>
      </w:r>
      <w:r w:rsidRPr="008029CF">
        <w:rPr>
          <w:lang w:val="en-US"/>
        </w:rPr>
        <w:t>most of the WQ components reduce as the plume water moves away from the river mouth (Figure 4</w:t>
      </w:r>
      <w:r>
        <w:rPr>
          <w:lang w:val="en-US"/>
        </w:rPr>
        <w:t>-</w:t>
      </w:r>
      <w:r w:rsidR="00E277FB">
        <w:rPr>
          <w:lang w:val="en-US"/>
        </w:rPr>
        <w:t>6</w:t>
      </w:r>
      <w:r w:rsidRPr="008029CF">
        <w:rPr>
          <w:lang w:val="en-US"/>
        </w:rPr>
        <w:t xml:space="preserve"> to Figure 4</w:t>
      </w:r>
      <w:r>
        <w:rPr>
          <w:lang w:val="en-US"/>
        </w:rPr>
        <w:t>-</w:t>
      </w:r>
      <w:r w:rsidR="00E277FB">
        <w:rPr>
          <w:lang w:val="en-US"/>
        </w:rPr>
        <w:t>8</w:t>
      </w:r>
      <w:r w:rsidRPr="008029CF">
        <w:rPr>
          <w:lang w:val="en-US"/>
        </w:rPr>
        <w:t>, plots in the second row). The point of the lowest concentration is also variable depending on the WQ component, ranging from as close as 20 km from the river mouth (e.g., Kd, Figure 4</w:t>
      </w:r>
      <w:r>
        <w:rPr>
          <w:lang w:val="en-US"/>
        </w:rPr>
        <w:t>-</w:t>
      </w:r>
      <w:r w:rsidRPr="008029CF">
        <w:rPr>
          <w:lang w:val="en-US"/>
        </w:rPr>
        <w:t>10) up to 100 km or more such as for DIN (Figure 4</w:t>
      </w:r>
      <w:r>
        <w:rPr>
          <w:lang w:val="en-US"/>
        </w:rPr>
        <w:t>-</w:t>
      </w:r>
      <w:r w:rsidR="00CE397A">
        <w:rPr>
          <w:lang w:val="en-US"/>
        </w:rPr>
        <w:t>6</w:t>
      </w:r>
      <w:r w:rsidRPr="008029CF">
        <w:rPr>
          <w:lang w:val="en-US"/>
        </w:rPr>
        <w:t>). However, caution must be taken when looking at data &gt; 100 km far from the coast due to the reduced number of data points, which results in wider error bars. For example, distance does not present a significant pattern for PP, PN and Chl-a (Table 4</w:t>
      </w:r>
      <w:r>
        <w:rPr>
          <w:lang w:val="en-US"/>
        </w:rPr>
        <w:t>-9</w:t>
      </w:r>
      <w:r w:rsidRPr="008029CF">
        <w:rPr>
          <w:lang w:val="en-US"/>
        </w:rPr>
        <w:t>), although only chlorophyll-a and PN were not included as predictor in the GAMM analysis as they were excluded in the predictor selection in the GAM analysis (Figure 4</w:t>
      </w:r>
      <w:r>
        <w:rPr>
          <w:lang w:val="en-US"/>
        </w:rPr>
        <w:t>-</w:t>
      </w:r>
      <w:r w:rsidR="00CE397A">
        <w:rPr>
          <w:lang w:val="en-US"/>
        </w:rPr>
        <w:t>7</w:t>
      </w:r>
      <w:r w:rsidRPr="008029CF">
        <w:rPr>
          <w:lang w:val="en-US"/>
        </w:rPr>
        <w:t>, fitted model is parallel to x-axis). DIP exhibits an inverted pattern, increasing its concentration as water moves far from the river mouth (Figure 4</w:t>
      </w:r>
      <w:r>
        <w:rPr>
          <w:lang w:val="en-US"/>
        </w:rPr>
        <w:t>-</w:t>
      </w:r>
      <w:r w:rsidR="00CE397A">
        <w:rPr>
          <w:lang w:val="en-US"/>
        </w:rPr>
        <w:t>8</w:t>
      </w:r>
      <w:r w:rsidRPr="008029CF">
        <w:rPr>
          <w:lang w:val="en-US"/>
        </w:rPr>
        <w:t>).</w:t>
      </w:r>
    </w:p>
    <w:p w14:paraId="07AC6A1A" w14:textId="15AFB608" w:rsidR="00D47A52" w:rsidRPr="008029CF" w:rsidRDefault="00D47A52" w:rsidP="00D47A52">
      <w:pPr>
        <w:rPr>
          <w:lang w:val="en-US"/>
        </w:rPr>
      </w:pPr>
      <w:r w:rsidRPr="008029CF">
        <w:rPr>
          <w:lang w:val="en-US"/>
        </w:rPr>
        <w:t>Most of the WQ components respond to river discharge, where the highest discharge corresponds to the highest concentration (Figure 4</w:t>
      </w:r>
      <w:r>
        <w:rPr>
          <w:lang w:val="en-US"/>
        </w:rPr>
        <w:t>-</w:t>
      </w:r>
      <w:r w:rsidR="00CE397A">
        <w:rPr>
          <w:lang w:val="en-US"/>
        </w:rPr>
        <w:t>6</w:t>
      </w:r>
      <w:r w:rsidRPr="008029CF">
        <w:rPr>
          <w:lang w:val="en-US"/>
        </w:rPr>
        <w:t xml:space="preserve"> to Figure 4</w:t>
      </w:r>
      <w:r>
        <w:rPr>
          <w:lang w:val="en-US"/>
        </w:rPr>
        <w:t>-</w:t>
      </w:r>
      <w:r w:rsidR="00CE397A">
        <w:rPr>
          <w:lang w:val="en-US"/>
        </w:rPr>
        <w:t>8</w:t>
      </w:r>
      <w:r w:rsidRPr="008029CF">
        <w:rPr>
          <w:lang w:val="en-US"/>
        </w:rPr>
        <w:t>, plots in the third row), up to a maximum value where discharge is no longer influential</w:t>
      </w:r>
      <w:r>
        <w:rPr>
          <w:lang w:val="en-US"/>
        </w:rPr>
        <w:t>.</w:t>
      </w:r>
      <w:r w:rsidRPr="008029CF">
        <w:rPr>
          <w:lang w:val="en-US"/>
        </w:rPr>
        <w:t xml:space="preserve"> An exception to this pattern is exhibited by Si (Figure </w:t>
      </w:r>
      <w:r w:rsidR="00CE397A">
        <w:rPr>
          <w:lang w:val="en-US"/>
        </w:rPr>
        <w:t>4-9</w:t>
      </w:r>
      <w:r w:rsidRPr="008029CF">
        <w:rPr>
          <w:lang w:val="en-US"/>
        </w:rPr>
        <w:t>), where, after a maximum peak that occurs at relatively low discharges (&gt; 50,000 ML), the constituent presents decreasing concentrations. Again caution must be taken when looking at data sampled under high river discharge due to the reduced number of data points, which results in wider error bars. For example, river discharge does not present a significant pattern for Kd and Chl-a (Table 4</w:t>
      </w:r>
      <w:r>
        <w:rPr>
          <w:lang w:val="en-US"/>
        </w:rPr>
        <w:t>-9</w:t>
      </w:r>
      <w:r w:rsidRPr="008029CF">
        <w:rPr>
          <w:lang w:val="en-US"/>
        </w:rPr>
        <w:t>), although only chlorophyll-a did not include discharge as a predictor in the GAMM analysis.</w:t>
      </w:r>
    </w:p>
    <w:p w14:paraId="7C6F0E54" w14:textId="77777777" w:rsidR="00560C5A" w:rsidRPr="008029CF" w:rsidRDefault="00560C5A" w:rsidP="0065493C">
      <w:pPr>
        <w:rPr>
          <w:lang w:val="en-US"/>
        </w:rPr>
      </w:pPr>
      <w:r w:rsidRPr="008029CF">
        <w:rPr>
          <w:lang w:val="en-US"/>
        </w:rPr>
        <w:t xml:space="preserve">The WQ components better explained by the selected predictors (i.e., among salinity, river discharge and distance) were Si, CDOM and DIN, </w:t>
      </w:r>
      <w:r w:rsidR="00AE39F5" w:rsidRPr="008029CF">
        <w:rPr>
          <w:lang w:val="en-US"/>
        </w:rPr>
        <w:t>where the</w:t>
      </w:r>
      <w:r w:rsidRPr="008029CF">
        <w:rPr>
          <w:lang w:val="en-US"/>
        </w:rPr>
        <w:t xml:space="preserve"> variability </w:t>
      </w:r>
      <w:r w:rsidR="00AE39F5" w:rsidRPr="008029CF">
        <w:rPr>
          <w:lang w:val="en-US"/>
        </w:rPr>
        <w:t xml:space="preserve">in these water quality </w:t>
      </w:r>
      <w:r w:rsidR="001D6FE0" w:rsidRPr="008029CF">
        <w:rPr>
          <w:lang w:val="en-US"/>
        </w:rPr>
        <w:t>parameters</w:t>
      </w:r>
      <w:r w:rsidR="00AE39F5" w:rsidRPr="008029CF">
        <w:rPr>
          <w:lang w:val="en-US"/>
        </w:rPr>
        <w:t xml:space="preserve"> were </w:t>
      </w:r>
      <w:r w:rsidRPr="008029CF">
        <w:rPr>
          <w:lang w:val="en-US"/>
        </w:rPr>
        <w:t xml:space="preserve">explained in &gt; 59%. Chlorophyll-a </w:t>
      </w:r>
      <w:r w:rsidR="00AE39F5" w:rsidRPr="008029CF">
        <w:rPr>
          <w:lang w:val="en-US"/>
        </w:rPr>
        <w:t xml:space="preserve">has the smallest measure of </w:t>
      </w:r>
      <w:r w:rsidRPr="008029CF">
        <w:rPr>
          <w:lang w:val="en-US"/>
        </w:rPr>
        <w:t xml:space="preserve"> variability explained (</w:t>
      </w:r>
      <w:r w:rsidR="00AE39F5" w:rsidRPr="008029CF">
        <w:rPr>
          <w:lang w:val="en-US"/>
        </w:rPr>
        <w:t>&lt;</w:t>
      </w:r>
      <w:r w:rsidRPr="008029CF">
        <w:rPr>
          <w:lang w:val="en-US"/>
        </w:rPr>
        <w:t xml:space="preserve">5%) by the </w:t>
      </w:r>
      <w:r w:rsidRPr="008029CF">
        <w:rPr>
          <w:lang w:val="en-US"/>
        </w:rPr>
        <w:lastRenderedPageBreak/>
        <w:t>predictors. Among the predictors, salinity has</w:t>
      </w:r>
      <w:r w:rsidR="00AE39F5" w:rsidRPr="008029CF">
        <w:rPr>
          <w:lang w:val="en-US"/>
        </w:rPr>
        <w:t>,</w:t>
      </w:r>
      <w:r w:rsidRPr="008029CF">
        <w:rPr>
          <w:lang w:val="en-US"/>
        </w:rPr>
        <w:t xml:space="preserve"> on average</w:t>
      </w:r>
      <w:r w:rsidR="00AE39F5" w:rsidRPr="008029CF">
        <w:rPr>
          <w:lang w:val="en-US"/>
        </w:rPr>
        <w:t>,</w:t>
      </w:r>
      <w:r w:rsidRPr="008029CF">
        <w:rPr>
          <w:lang w:val="en-US"/>
        </w:rPr>
        <w:t xml:space="preserve"> the highest contribution to the general r-squared, </w:t>
      </w:r>
      <w:r w:rsidR="00AE39F5" w:rsidRPr="008029CF">
        <w:rPr>
          <w:lang w:val="en-US"/>
        </w:rPr>
        <w:t>and is, during the wet season, the</w:t>
      </w:r>
      <w:r w:rsidRPr="008029CF">
        <w:rPr>
          <w:lang w:val="en-US"/>
        </w:rPr>
        <w:t xml:space="preserve"> most influential parameter </w:t>
      </w:r>
      <w:r w:rsidR="007D2ADE" w:rsidRPr="008029CF">
        <w:rPr>
          <w:lang w:val="en-US"/>
        </w:rPr>
        <w:t>in the analysis of variability f</w:t>
      </w:r>
      <w:r w:rsidRPr="008029CF">
        <w:rPr>
          <w:lang w:val="en-US"/>
        </w:rPr>
        <w:t>or the WQ components, followed by discharge and distance.</w:t>
      </w:r>
    </w:p>
    <w:p w14:paraId="4B85B722" w14:textId="7E0881E7" w:rsidR="00560C5A" w:rsidRPr="00146710" w:rsidRDefault="00560C5A" w:rsidP="00146710">
      <w:pPr>
        <w:pStyle w:val="Caption"/>
      </w:pPr>
      <w:bookmarkStart w:id="165" w:name="_Toc454304614"/>
      <w:r w:rsidRPr="00146710">
        <w:t xml:space="preserve">Table </w:t>
      </w:r>
      <w:r w:rsidR="00445BD2">
        <w:fldChar w:fldCharType="begin"/>
      </w:r>
      <w:r w:rsidR="00445BD2">
        <w:instrText xml:space="preserve"> STYLEREF 1 \s </w:instrText>
      </w:r>
      <w:r w:rsidR="00445BD2">
        <w:fldChar w:fldCharType="separate"/>
      </w:r>
      <w:r w:rsidR="000E22F3">
        <w:rPr>
          <w:noProof/>
        </w:rPr>
        <w:t>4</w:t>
      </w:r>
      <w:r w:rsidR="00445BD2">
        <w:fldChar w:fldCharType="end"/>
      </w:r>
      <w:r w:rsidR="00445BD2">
        <w:noBreakHyphen/>
      </w:r>
      <w:r w:rsidR="00445BD2">
        <w:fldChar w:fldCharType="begin"/>
      </w:r>
      <w:r w:rsidR="00445BD2">
        <w:instrText xml:space="preserve"> SEQ Table \* ARABIC \s 1 </w:instrText>
      </w:r>
      <w:r w:rsidR="00445BD2">
        <w:fldChar w:fldCharType="separate"/>
      </w:r>
      <w:r w:rsidR="000E22F3">
        <w:rPr>
          <w:noProof/>
        </w:rPr>
        <w:t>9</w:t>
      </w:r>
      <w:r w:rsidR="00445BD2">
        <w:fldChar w:fldCharType="end"/>
      </w:r>
      <w:r w:rsidR="00B84AB3" w:rsidRPr="00146710">
        <w:t xml:space="preserve">: </w:t>
      </w:r>
      <w:r w:rsidRPr="00146710">
        <w:t>Statistical summary of the multiple regression analysis. Number of data points, the general model r-squared and its p-value for each WQ component are shown in the left site of the table. The p-value and the percentage of contribution to the total r-squared for each predictor from the relative importance (number in brackets) are in the right side of the table. WQ components are sorted by general model r-squared, and numbers in bold stand for predictors not included in the GAMM analysis.</w:t>
      </w:r>
      <w:bookmarkEnd w:id="165"/>
    </w:p>
    <w:tbl>
      <w:tblPr>
        <w:tblW w:w="9320" w:type="dxa"/>
        <w:tblInd w:w="93" w:type="dxa"/>
        <w:tblLook w:val="04A0" w:firstRow="1" w:lastRow="0" w:firstColumn="1" w:lastColumn="0" w:noHBand="0" w:noVBand="1"/>
        <w:tblCaption w:val="Table 4-9 Statistical summary of the multiple regression analysis."/>
        <w:tblDescription w:val="Statistical summary of the multiple regression analysis. Number of data points, the general model r-squared and its p-value for each WQ component are shown in the left site of the table. The p-value and the percentage of contribution to the total r-squared for each predictor from the relative importance (number in brackets) are in the right side of the table. WQ components are sorted by general model r-squared, and numbers in bold stand for predictors not included in the GAMM analysis."/>
      </w:tblPr>
      <w:tblGrid>
        <w:gridCol w:w="1154"/>
        <w:gridCol w:w="1250"/>
        <w:gridCol w:w="648"/>
        <w:gridCol w:w="1042"/>
        <w:gridCol w:w="280"/>
        <w:gridCol w:w="1660"/>
        <w:gridCol w:w="1660"/>
        <w:gridCol w:w="1660"/>
      </w:tblGrid>
      <w:tr w:rsidR="00560C5A" w:rsidRPr="00445BD2" w14:paraId="6CCBFE14" w14:textId="77777777" w:rsidTr="0065493C">
        <w:trPr>
          <w:trHeight w:val="300"/>
        </w:trPr>
        <w:tc>
          <w:tcPr>
            <w:tcW w:w="1120" w:type="dxa"/>
            <w:vMerge w:val="restart"/>
            <w:tcBorders>
              <w:top w:val="single" w:sz="4" w:space="0" w:color="auto"/>
              <w:left w:val="nil"/>
              <w:bottom w:val="single" w:sz="4" w:space="0" w:color="000000"/>
              <w:right w:val="nil"/>
            </w:tcBorders>
            <w:shd w:val="clear" w:color="auto" w:fill="auto"/>
            <w:vAlign w:val="bottom"/>
            <w:hideMark/>
          </w:tcPr>
          <w:p w14:paraId="63CF6EB0"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WQ component</w:t>
            </w:r>
          </w:p>
        </w:tc>
        <w:tc>
          <w:tcPr>
            <w:tcW w:w="2940" w:type="dxa"/>
            <w:gridSpan w:val="3"/>
            <w:tcBorders>
              <w:top w:val="single" w:sz="4" w:space="0" w:color="auto"/>
              <w:left w:val="nil"/>
              <w:bottom w:val="single" w:sz="4" w:space="0" w:color="auto"/>
              <w:right w:val="nil"/>
            </w:tcBorders>
            <w:shd w:val="clear" w:color="auto" w:fill="auto"/>
            <w:noWrap/>
            <w:vAlign w:val="bottom"/>
            <w:hideMark/>
          </w:tcPr>
          <w:p w14:paraId="27D63FE3"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multiple regression model</w:t>
            </w:r>
          </w:p>
        </w:tc>
        <w:tc>
          <w:tcPr>
            <w:tcW w:w="280" w:type="dxa"/>
            <w:tcBorders>
              <w:top w:val="single" w:sz="4" w:space="0" w:color="auto"/>
              <w:left w:val="nil"/>
              <w:bottom w:val="nil"/>
              <w:right w:val="nil"/>
            </w:tcBorders>
            <w:shd w:val="clear" w:color="auto" w:fill="auto"/>
            <w:noWrap/>
            <w:vAlign w:val="bottom"/>
            <w:hideMark/>
          </w:tcPr>
          <w:p w14:paraId="615DBB28"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 </w:t>
            </w:r>
          </w:p>
        </w:tc>
        <w:tc>
          <w:tcPr>
            <w:tcW w:w="4980" w:type="dxa"/>
            <w:gridSpan w:val="3"/>
            <w:tcBorders>
              <w:top w:val="single" w:sz="4" w:space="0" w:color="auto"/>
              <w:left w:val="nil"/>
              <w:bottom w:val="single" w:sz="4" w:space="0" w:color="auto"/>
              <w:right w:val="nil"/>
            </w:tcBorders>
            <w:shd w:val="clear" w:color="auto" w:fill="auto"/>
            <w:noWrap/>
            <w:vAlign w:val="bottom"/>
            <w:hideMark/>
          </w:tcPr>
          <w:p w14:paraId="63E1E99C"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p-value of each predictor (% of r-sq. contribution)</w:t>
            </w:r>
          </w:p>
        </w:tc>
      </w:tr>
      <w:tr w:rsidR="00560C5A" w:rsidRPr="00445BD2" w14:paraId="7EAE7B73" w14:textId="77777777" w:rsidTr="0065493C">
        <w:trPr>
          <w:trHeight w:val="300"/>
        </w:trPr>
        <w:tc>
          <w:tcPr>
            <w:tcW w:w="1120" w:type="dxa"/>
            <w:vMerge/>
            <w:tcBorders>
              <w:top w:val="single" w:sz="4" w:space="0" w:color="auto"/>
              <w:left w:val="nil"/>
              <w:bottom w:val="single" w:sz="4" w:space="0" w:color="000000"/>
              <w:right w:val="nil"/>
            </w:tcBorders>
            <w:vAlign w:val="center"/>
            <w:hideMark/>
          </w:tcPr>
          <w:p w14:paraId="68DF417F" w14:textId="77777777" w:rsidR="00560C5A" w:rsidRPr="00445BD2" w:rsidRDefault="00560C5A" w:rsidP="0065493C">
            <w:pPr>
              <w:spacing w:before="0" w:after="0"/>
              <w:rPr>
                <w:rFonts w:ascii="Calibri" w:hAnsi="Calibri" w:cs="Times New Roman"/>
                <w:color w:val="000000"/>
                <w:sz w:val="20"/>
                <w:szCs w:val="20"/>
              </w:rPr>
            </w:pPr>
          </w:p>
        </w:tc>
        <w:tc>
          <w:tcPr>
            <w:tcW w:w="1250" w:type="dxa"/>
            <w:tcBorders>
              <w:top w:val="nil"/>
              <w:left w:val="nil"/>
              <w:bottom w:val="single" w:sz="4" w:space="0" w:color="auto"/>
              <w:right w:val="nil"/>
            </w:tcBorders>
            <w:shd w:val="clear" w:color="auto" w:fill="auto"/>
            <w:noWrap/>
            <w:vAlign w:val="bottom"/>
            <w:hideMark/>
          </w:tcPr>
          <w:p w14:paraId="57E08545"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Data size</w:t>
            </w:r>
          </w:p>
        </w:tc>
        <w:tc>
          <w:tcPr>
            <w:tcW w:w="648" w:type="dxa"/>
            <w:tcBorders>
              <w:top w:val="nil"/>
              <w:left w:val="nil"/>
              <w:bottom w:val="single" w:sz="4" w:space="0" w:color="auto"/>
              <w:right w:val="nil"/>
            </w:tcBorders>
            <w:shd w:val="clear" w:color="auto" w:fill="auto"/>
            <w:noWrap/>
            <w:vAlign w:val="bottom"/>
            <w:hideMark/>
          </w:tcPr>
          <w:p w14:paraId="5B6583A1"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r-sq.</w:t>
            </w:r>
          </w:p>
        </w:tc>
        <w:tc>
          <w:tcPr>
            <w:tcW w:w="1042" w:type="dxa"/>
            <w:tcBorders>
              <w:top w:val="nil"/>
              <w:left w:val="nil"/>
              <w:bottom w:val="single" w:sz="4" w:space="0" w:color="auto"/>
              <w:right w:val="nil"/>
            </w:tcBorders>
            <w:shd w:val="clear" w:color="auto" w:fill="auto"/>
            <w:noWrap/>
            <w:vAlign w:val="bottom"/>
            <w:hideMark/>
          </w:tcPr>
          <w:p w14:paraId="60778FFA"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p-value</w:t>
            </w:r>
          </w:p>
        </w:tc>
        <w:tc>
          <w:tcPr>
            <w:tcW w:w="280" w:type="dxa"/>
            <w:tcBorders>
              <w:top w:val="nil"/>
              <w:left w:val="nil"/>
              <w:bottom w:val="single" w:sz="4" w:space="0" w:color="auto"/>
              <w:right w:val="nil"/>
            </w:tcBorders>
            <w:shd w:val="clear" w:color="auto" w:fill="auto"/>
            <w:noWrap/>
            <w:vAlign w:val="bottom"/>
            <w:hideMark/>
          </w:tcPr>
          <w:p w14:paraId="65DB5783"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 </w:t>
            </w:r>
          </w:p>
        </w:tc>
        <w:tc>
          <w:tcPr>
            <w:tcW w:w="1660" w:type="dxa"/>
            <w:tcBorders>
              <w:top w:val="nil"/>
              <w:left w:val="nil"/>
              <w:bottom w:val="single" w:sz="4" w:space="0" w:color="auto"/>
              <w:right w:val="nil"/>
            </w:tcBorders>
            <w:shd w:val="clear" w:color="auto" w:fill="auto"/>
            <w:noWrap/>
            <w:vAlign w:val="bottom"/>
            <w:hideMark/>
          </w:tcPr>
          <w:p w14:paraId="2AB939CC"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Salinity</w:t>
            </w:r>
          </w:p>
        </w:tc>
        <w:tc>
          <w:tcPr>
            <w:tcW w:w="1660" w:type="dxa"/>
            <w:tcBorders>
              <w:top w:val="nil"/>
              <w:left w:val="nil"/>
              <w:bottom w:val="single" w:sz="4" w:space="0" w:color="auto"/>
              <w:right w:val="nil"/>
            </w:tcBorders>
            <w:shd w:val="clear" w:color="auto" w:fill="auto"/>
            <w:noWrap/>
            <w:vAlign w:val="bottom"/>
            <w:hideMark/>
          </w:tcPr>
          <w:p w14:paraId="1EEB0E98"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Distance</w:t>
            </w:r>
          </w:p>
        </w:tc>
        <w:tc>
          <w:tcPr>
            <w:tcW w:w="1660" w:type="dxa"/>
            <w:tcBorders>
              <w:top w:val="nil"/>
              <w:left w:val="nil"/>
              <w:bottom w:val="single" w:sz="4" w:space="0" w:color="auto"/>
              <w:right w:val="nil"/>
            </w:tcBorders>
            <w:shd w:val="clear" w:color="auto" w:fill="auto"/>
            <w:noWrap/>
            <w:vAlign w:val="bottom"/>
            <w:hideMark/>
          </w:tcPr>
          <w:p w14:paraId="3A9B9BA2"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Discharge</w:t>
            </w:r>
          </w:p>
        </w:tc>
      </w:tr>
      <w:tr w:rsidR="00560C5A" w:rsidRPr="00445BD2" w14:paraId="62356FDB" w14:textId="77777777" w:rsidTr="0065493C">
        <w:trPr>
          <w:trHeight w:val="300"/>
        </w:trPr>
        <w:tc>
          <w:tcPr>
            <w:tcW w:w="1120" w:type="dxa"/>
            <w:tcBorders>
              <w:top w:val="nil"/>
              <w:left w:val="nil"/>
              <w:right w:val="nil"/>
            </w:tcBorders>
            <w:shd w:val="clear" w:color="auto" w:fill="auto"/>
            <w:noWrap/>
            <w:vAlign w:val="bottom"/>
            <w:hideMark/>
          </w:tcPr>
          <w:p w14:paraId="06C2F6AC"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Si</w:t>
            </w:r>
          </w:p>
        </w:tc>
        <w:tc>
          <w:tcPr>
            <w:tcW w:w="1250" w:type="dxa"/>
            <w:tcBorders>
              <w:top w:val="nil"/>
              <w:left w:val="nil"/>
              <w:right w:val="nil"/>
            </w:tcBorders>
            <w:shd w:val="clear" w:color="auto" w:fill="auto"/>
            <w:noWrap/>
            <w:vAlign w:val="bottom"/>
            <w:hideMark/>
          </w:tcPr>
          <w:p w14:paraId="007DDCC2"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263</w:t>
            </w:r>
          </w:p>
        </w:tc>
        <w:tc>
          <w:tcPr>
            <w:tcW w:w="648" w:type="dxa"/>
            <w:tcBorders>
              <w:top w:val="nil"/>
              <w:left w:val="nil"/>
              <w:right w:val="nil"/>
            </w:tcBorders>
            <w:shd w:val="clear" w:color="auto" w:fill="auto"/>
            <w:noWrap/>
            <w:vAlign w:val="bottom"/>
            <w:hideMark/>
          </w:tcPr>
          <w:p w14:paraId="778AC1C2"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0.78</w:t>
            </w:r>
          </w:p>
        </w:tc>
        <w:tc>
          <w:tcPr>
            <w:tcW w:w="1042" w:type="dxa"/>
            <w:tcBorders>
              <w:top w:val="nil"/>
              <w:left w:val="nil"/>
              <w:right w:val="nil"/>
            </w:tcBorders>
            <w:shd w:val="clear" w:color="auto" w:fill="auto"/>
            <w:noWrap/>
            <w:vAlign w:val="bottom"/>
            <w:hideMark/>
          </w:tcPr>
          <w:p w14:paraId="21383407"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&lt; 0.01</w:t>
            </w:r>
          </w:p>
        </w:tc>
        <w:tc>
          <w:tcPr>
            <w:tcW w:w="280" w:type="dxa"/>
            <w:tcBorders>
              <w:top w:val="nil"/>
              <w:left w:val="nil"/>
              <w:right w:val="nil"/>
            </w:tcBorders>
            <w:shd w:val="clear" w:color="auto" w:fill="auto"/>
            <w:noWrap/>
            <w:vAlign w:val="bottom"/>
            <w:hideMark/>
          </w:tcPr>
          <w:p w14:paraId="0430BC00"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 </w:t>
            </w:r>
          </w:p>
        </w:tc>
        <w:tc>
          <w:tcPr>
            <w:tcW w:w="1660" w:type="dxa"/>
            <w:tcBorders>
              <w:top w:val="nil"/>
              <w:left w:val="nil"/>
              <w:right w:val="nil"/>
            </w:tcBorders>
            <w:shd w:val="clear" w:color="auto" w:fill="auto"/>
            <w:noWrap/>
            <w:vAlign w:val="bottom"/>
            <w:hideMark/>
          </w:tcPr>
          <w:p w14:paraId="5CA8FC1A"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&lt; 0.01 (89.6)</w:t>
            </w:r>
          </w:p>
        </w:tc>
        <w:tc>
          <w:tcPr>
            <w:tcW w:w="1660" w:type="dxa"/>
            <w:tcBorders>
              <w:top w:val="nil"/>
              <w:left w:val="nil"/>
              <w:right w:val="nil"/>
            </w:tcBorders>
            <w:shd w:val="clear" w:color="auto" w:fill="auto"/>
            <w:noWrap/>
            <w:vAlign w:val="bottom"/>
            <w:hideMark/>
          </w:tcPr>
          <w:p w14:paraId="59DC62D0"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&lt; 0.01 (5.6)</w:t>
            </w:r>
          </w:p>
        </w:tc>
        <w:tc>
          <w:tcPr>
            <w:tcW w:w="1660" w:type="dxa"/>
            <w:tcBorders>
              <w:top w:val="nil"/>
              <w:left w:val="nil"/>
              <w:right w:val="nil"/>
            </w:tcBorders>
            <w:shd w:val="clear" w:color="auto" w:fill="auto"/>
            <w:noWrap/>
            <w:vAlign w:val="bottom"/>
            <w:hideMark/>
          </w:tcPr>
          <w:p w14:paraId="76C79894"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&lt; 0.01 (4.8)</w:t>
            </w:r>
          </w:p>
        </w:tc>
      </w:tr>
      <w:tr w:rsidR="00560C5A" w:rsidRPr="00445BD2" w14:paraId="00199332" w14:textId="77777777" w:rsidTr="0065493C">
        <w:trPr>
          <w:trHeight w:val="300"/>
        </w:trPr>
        <w:tc>
          <w:tcPr>
            <w:tcW w:w="1120" w:type="dxa"/>
            <w:tcBorders>
              <w:top w:val="nil"/>
              <w:left w:val="nil"/>
              <w:bottom w:val="nil"/>
              <w:right w:val="nil"/>
            </w:tcBorders>
            <w:shd w:val="clear" w:color="auto" w:fill="auto"/>
            <w:noWrap/>
            <w:vAlign w:val="bottom"/>
            <w:hideMark/>
          </w:tcPr>
          <w:p w14:paraId="37111BC5"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CDOM</w:t>
            </w:r>
          </w:p>
        </w:tc>
        <w:tc>
          <w:tcPr>
            <w:tcW w:w="1250" w:type="dxa"/>
            <w:tcBorders>
              <w:top w:val="nil"/>
              <w:left w:val="nil"/>
              <w:bottom w:val="nil"/>
              <w:right w:val="nil"/>
            </w:tcBorders>
            <w:shd w:val="clear" w:color="auto" w:fill="auto"/>
            <w:noWrap/>
            <w:vAlign w:val="bottom"/>
            <w:hideMark/>
          </w:tcPr>
          <w:p w14:paraId="26632E08"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731</w:t>
            </w:r>
          </w:p>
        </w:tc>
        <w:tc>
          <w:tcPr>
            <w:tcW w:w="648" w:type="dxa"/>
            <w:tcBorders>
              <w:top w:val="nil"/>
              <w:left w:val="nil"/>
              <w:bottom w:val="nil"/>
              <w:right w:val="nil"/>
            </w:tcBorders>
            <w:shd w:val="clear" w:color="auto" w:fill="auto"/>
            <w:noWrap/>
            <w:vAlign w:val="bottom"/>
            <w:hideMark/>
          </w:tcPr>
          <w:p w14:paraId="45E9BE1A"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0.61</w:t>
            </w:r>
          </w:p>
        </w:tc>
        <w:tc>
          <w:tcPr>
            <w:tcW w:w="1042" w:type="dxa"/>
            <w:tcBorders>
              <w:top w:val="nil"/>
              <w:left w:val="nil"/>
              <w:bottom w:val="nil"/>
              <w:right w:val="nil"/>
            </w:tcBorders>
            <w:shd w:val="clear" w:color="auto" w:fill="auto"/>
            <w:noWrap/>
            <w:vAlign w:val="bottom"/>
            <w:hideMark/>
          </w:tcPr>
          <w:p w14:paraId="332EB314"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&lt; 0.01</w:t>
            </w:r>
          </w:p>
        </w:tc>
        <w:tc>
          <w:tcPr>
            <w:tcW w:w="280" w:type="dxa"/>
            <w:tcBorders>
              <w:top w:val="nil"/>
              <w:left w:val="nil"/>
              <w:bottom w:val="nil"/>
              <w:right w:val="nil"/>
            </w:tcBorders>
            <w:shd w:val="clear" w:color="auto" w:fill="auto"/>
            <w:noWrap/>
            <w:vAlign w:val="bottom"/>
            <w:hideMark/>
          </w:tcPr>
          <w:p w14:paraId="2198D29F" w14:textId="77777777" w:rsidR="00560C5A" w:rsidRPr="00445BD2" w:rsidRDefault="00560C5A" w:rsidP="0065493C">
            <w:pPr>
              <w:spacing w:before="0" w:after="0"/>
              <w:rPr>
                <w:rFonts w:ascii="Calibri" w:hAnsi="Calibri" w:cs="Times New Roman"/>
                <w:color w:val="000000"/>
                <w:sz w:val="20"/>
                <w:szCs w:val="20"/>
              </w:rPr>
            </w:pPr>
          </w:p>
        </w:tc>
        <w:tc>
          <w:tcPr>
            <w:tcW w:w="1660" w:type="dxa"/>
            <w:tcBorders>
              <w:top w:val="nil"/>
              <w:left w:val="nil"/>
              <w:bottom w:val="nil"/>
              <w:right w:val="nil"/>
            </w:tcBorders>
            <w:shd w:val="clear" w:color="auto" w:fill="auto"/>
            <w:noWrap/>
            <w:vAlign w:val="bottom"/>
            <w:hideMark/>
          </w:tcPr>
          <w:p w14:paraId="7ED4D4C1"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&lt; 0.01 (61.2)</w:t>
            </w:r>
          </w:p>
        </w:tc>
        <w:tc>
          <w:tcPr>
            <w:tcW w:w="1660" w:type="dxa"/>
            <w:tcBorders>
              <w:top w:val="nil"/>
              <w:left w:val="nil"/>
              <w:bottom w:val="nil"/>
              <w:right w:val="nil"/>
            </w:tcBorders>
            <w:shd w:val="clear" w:color="auto" w:fill="auto"/>
            <w:noWrap/>
            <w:vAlign w:val="bottom"/>
            <w:hideMark/>
          </w:tcPr>
          <w:p w14:paraId="45F2FCC1"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&lt; 0.01 (5.9)</w:t>
            </w:r>
          </w:p>
        </w:tc>
        <w:tc>
          <w:tcPr>
            <w:tcW w:w="1660" w:type="dxa"/>
            <w:tcBorders>
              <w:top w:val="nil"/>
              <w:left w:val="nil"/>
              <w:bottom w:val="nil"/>
              <w:right w:val="nil"/>
            </w:tcBorders>
            <w:shd w:val="clear" w:color="auto" w:fill="auto"/>
            <w:noWrap/>
            <w:vAlign w:val="bottom"/>
            <w:hideMark/>
          </w:tcPr>
          <w:p w14:paraId="15D74FB5"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&lt; 0.01 (33)</w:t>
            </w:r>
          </w:p>
        </w:tc>
      </w:tr>
      <w:tr w:rsidR="00560C5A" w:rsidRPr="00445BD2" w14:paraId="28843227" w14:textId="77777777" w:rsidTr="0065493C">
        <w:trPr>
          <w:trHeight w:val="300"/>
        </w:trPr>
        <w:tc>
          <w:tcPr>
            <w:tcW w:w="1120" w:type="dxa"/>
            <w:tcBorders>
              <w:top w:val="nil"/>
              <w:left w:val="nil"/>
              <w:bottom w:val="nil"/>
              <w:right w:val="nil"/>
            </w:tcBorders>
            <w:shd w:val="clear" w:color="auto" w:fill="auto"/>
            <w:noWrap/>
            <w:vAlign w:val="bottom"/>
            <w:hideMark/>
          </w:tcPr>
          <w:p w14:paraId="7030A0BB"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DIN</w:t>
            </w:r>
          </w:p>
        </w:tc>
        <w:tc>
          <w:tcPr>
            <w:tcW w:w="1250" w:type="dxa"/>
            <w:tcBorders>
              <w:top w:val="nil"/>
              <w:left w:val="nil"/>
              <w:bottom w:val="nil"/>
              <w:right w:val="nil"/>
            </w:tcBorders>
            <w:shd w:val="clear" w:color="auto" w:fill="auto"/>
            <w:noWrap/>
            <w:vAlign w:val="bottom"/>
            <w:hideMark/>
          </w:tcPr>
          <w:p w14:paraId="14930F4A"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812</w:t>
            </w:r>
          </w:p>
        </w:tc>
        <w:tc>
          <w:tcPr>
            <w:tcW w:w="648" w:type="dxa"/>
            <w:tcBorders>
              <w:top w:val="nil"/>
              <w:left w:val="nil"/>
              <w:bottom w:val="nil"/>
              <w:right w:val="nil"/>
            </w:tcBorders>
            <w:shd w:val="clear" w:color="auto" w:fill="auto"/>
            <w:noWrap/>
            <w:vAlign w:val="bottom"/>
            <w:hideMark/>
          </w:tcPr>
          <w:p w14:paraId="68BE339E"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0.59</w:t>
            </w:r>
          </w:p>
        </w:tc>
        <w:tc>
          <w:tcPr>
            <w:tcW w:w="1042" w:type="dxa"/>
            <w:tcBorders>
              <w:top w:val="nil"/>
              <w:left w:val="nil"/>
              <w:bottom w:val="nil"/>
              <w:right w:val="nil"/>
            </w:tcBorders>
            <w:shd w:val="clear" w:color="auto" w:fill="auto"/>
            <w:noWrap/>
            <w:vAlign w:val="bottom"/>
            <w:hideMark/>
          </w:tcPr>
          <w:p w14:paraId="63CF14E7"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&lt; 0.01</w:t>
            </w:r>
          </w:p>
        </w:tc>
        <w:tc>
          <w:tcPr>
            <w:tcW w:w="280" w:type="dxa"/>
            <w:tcBorders>
              <w:top w:val="nil"/>
              <w:left w:val="nil"/>
              <w:bottom w:val="nil"/>
              <w:right w:val="nil"/>
            </w:tcBorders>
            <w:shd w:val="clear" w:color="auto" w:fill="auto"/>
            <w:noWrap/>
            <w:vAlign w:val="bottom"/>
            <w:hideMark/>
          </w:tcPr>
          <w:p w14:paraId="1A61E053" w14:textId="77777777" w:rsidR="00560C5A" w:rsidRPr="00445BD2" w:rsidRDefault="00560C5A" w:rsidP="0065493C">
            <w:pPr>
              <w:spacing w:before="0" w:after="0"/>
              <w:rPr>
                <w:rFonts w:ascii="Calibri" w:hAnsi="Calibri" w:cs="Times New Roman"/>
                <w:color w:val="000000"/>
                <w:sz w:val="20"/>
                <w:szCs w:val="20"/>
              </w:rPr>
            </w:pPr>
          </w:p>
        </w:tc>
        <w:tc>
          <w:tcPr>
            <w:tcW w:w="1660" w:type="dxa"/>
            <w:tcBorders>
              <w:top w:val="nil"/>
              <w:left w:val="nil"/>
              <w:bottom w:val="nil"/>
              <w:right w:val="nil"/>
            </w:tcBorders>
            <w:shd w:val="clear" w:color="auto" w:fill="auto"/>
            <w:noWrap/>
            <w:vAlign w:val="bottom"/>
            <w:hideMark/>
          </w:tcPr>
          <w:p w14:paraId="37E7940A"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&lt; 0.01 (82.4)</w:t>
            </w:r>
          </w:p>
        </w:tc>
        <w:tc>
          <w:tcPr>
            <w:tcW w:w="1660" w:type="dxa"/>
            <w:tcBorders>
              <w:top w:val="nil"/>
              <w:left w:val="nil"/>
              <w:bottom w:val="nil"/>
              <w:right w:val="nil"/>
            </w:tcBorders>
            <w:shd w:val="clear" w:color="auto" w:fill="auto"/>
            <w:noWrap/>
            <w:vAlign w:val="bottom"/>
            <w:hideMark/>
          </w:tcPr>
          <w:p w14:paraId="4A270CD6"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&lt; 0.01 (1.4)</w:t>
            </w:r>
          </w:p>
        </w:tc>
        <w:tc>
          <w:tcPr>
            <w:tcW w:w="1660" w:type="dxa"/>
            <w:tcBorders>
              <w:top w:val="nil"/>
              <w:left w:val="nil"/>
              <w:bottom w:val="nil"/>
              <w:right w:val="nil"/>
            </w:tcBorders>
            <w:shd w:val="clear" w:color="auto" w:fill="auto"/>
            <w:noWrap/>
            <w:vAlign w:val="bottom"/>
            <w:hideMark/>
          </w:tcPr>
          <w:p w14:paraId="57245957"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&lt; 0.01 (16.2)</w:t>
            </w:r>
          </w:p>
        </w:tc>
      </w:tr>
      <w:tr w:rsidR="00560C5A" w:rsidRPr="00445BD2" w14:paraId="0A39E95C" w14:textId="77777777" w:rsidTr="0065493C">
        <w:trPr>
          <w:trHeight w:val="300"/>
        </w:trPr>
        <w:tc>
          <w:tcPr>
            <w:tcW w:w="1120" w:type="dxa"/>
            <w:tcBorders>
              <w:top w:val="nil"/>
              <w:left w:val="nil"/>
              <w:bottom w:val="nil"/>
              <w:right w:val="nil"/>
            </w:tcBorders>
            <w:shd w:val="clear" w:color="auto" w:fill="auto"/>
            <w:noWrap/>
            <w:vAlign w:val="bottom"/>
            <w:hideMark/>
          </w:tcPr>
          <w:p w14:paraId="7284C9F2"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Kd</w:t>
            </w:r>
          </w:p>
        </w:tc>
        <w:tc>
          <w:tcPr>
            <w:tcW w:w="1250" w:type="dxa"/>
            <w:tcBorders>
              <w:top w:val="nil"/>
              <w:left w:val="nil"/>
              <w:bottom w:val="nil"/>
              <w:right w:val="nil"/>
            </w:tcBorders>
            <w:shd w:val="clear" w:color="auto" w:fill="auto"/>
            <w:noWrap/>
            <w:vAlign w:val="bottom"/>
            <w:hideMark/>
          </w:tcPr>
          <w:p w14:paraId="6B444990"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478</w:t>
            </w:r>
          </w:p>
        </w:tc>
        <w:tc>
          <w:tcPr>
            <w:tcW w:w="648" w:type="dxa"/>
            <w:tcBorders>
              <w:top w:val="nil"/>
              <w:left w:val="nil"/>
              <w:bottom w:val="nil"/>
              <w:right w:val="nil"/>
            </w:tcBorders>
            <w:shd w:val="clear" w:color="auto" w:fill="auto"/>
            <w:noWrap/>
            <w:vAlign w:val="bottom"/>
            <w:hideMark/>
          </w:tcPr>
          <w:p w14:paraId="35C714DF"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0.34</w:t>
            </w:r>
          </w:p>
        </w:tc>
        <w:tc>
          <w:tcPr>
            <w:tcW w:w="1042" w:type="dxa"/>
            <w:tcBorders>
              <w:top w:val="nil"/>
              <w:left w:val="nil"/>
              <w:bottom w:val="nil"/>
              <w:right w:val="nil"/>
            </w:tcBorders>
            <w:shd w:val="clear" w:color="auto" w:fill="auto"/>
            <w:noWrap/>
            <w:vAlign w:val="bottom"/>
            <w:hideMark/>
          </w:tcPr>
          <w:p w14:paraId="317876B8"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&lt; 0.01</w:t>
            </w:r>
          </w:p>
        </w:tc>
        <w:tc>
          <w:tcPr>
            <w:tcW w:w="280" w:type="dxa"/>
            <w:tcBorders>
              <w:top w:val="nil"/>
              <w:left w:val="nil"/>
              <w:bottom w:val="nil"/>
              <w:right w:val="nil"/>
            </w:tcBorders>
            <w:shd w:val="clear" w:color="auto" w:fill="auto"/>
            <w:noWrap/>
            <w:vAlign w:val="bottom"/>
            <w:hideMark/>
          </w:tcPr>
          <w:p w14:paraId="756F4429" w14:textId="77777777" w:rsidR="00560C5A" w:rsidRPr="00445BD2" w:rsidRDefault="00560C5A" w:rsidP="0065493C">
            <w:pPr>
              <w:spacing w:before="0" w:after="0"/>
              <w:rPr>
                <w:rFonts w:ascii="Calibri" w:hAnsi="Calibri" w:cs="Times New Roman"/>
                <w:color w:val="000000"/>
                <w:sz w:val="20"/>
                <w:szCs w:val="20"/>
              </w:rPr>
            </w:pPr>
          </w:p>
        </w:tc>
        <w:tc>
          <w:tcPr>
            <w:tcW w:w="1660" w:type="dxa"/>
            <w:tcBorders>
              <w:top w:val="nil"/>
              <w:left w:val="nil"/>
              <w:bottom w:val="nil"/>
              <w:right w:val="nil"/>
            </w:tcBorders>
            <w:shd w:val="clear" w:color="auto" w:fill="auto"/>
            <w:noWrap/>
            <w:vAlign w:val="bottom"/>
            <w:hideMark/>
          </w:tcPr>
          <w:p w14:paraId="4896D87F"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&lt; 0.01 (77.3)</w:t>
            </w:r>
          </w:p>
        </w:tc>
        <w:tc>
          <w:tcPr>
            <w:tcW w:w="1660" w:type="dxa"/>
            <w:tcBorders>
              <w:top w:val="nil"/>
              <w:left w:val="nil"/>
              <w:bottom w:val="nil"/>
              <w:right w:val="nil"/>
            </w:tcBorders>
            <w:shd w:val="clear" w:color="auto" w:fill="auto"/>
            <w:noWrap/>
            <w:vAlign w:val="bottom"/>
            <w:hideMark/>
          </w:tcPr>
          <w:p w14:paraId="5DFC66DD"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&lt; 0.01 (20.2)</w:t>
            </w:r>
          </w:p>
        </w:tc>
        <w:tc>
          <w:tcPr>
            <w:tcW w:w="1660" w:type="dxa"/>
            <w:tcBorders>
              <w:top w:val="nil"/>
              <w:left w:val="nil"/>
              <w:bottom w:val="nil"/>
              <w:right w:val="nil"/>
            </w:tcBorders>
            <w:shd w:val="clear" w:color="auto" w:fill="auto"/>
            <w:noWrap/>
            <w:vAlign w:val="bottom"/>
            <w:hideMark/>
          </w:tcPr>
          <w:p w14:paraId="37030740"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0.25 (2.6)</w:t>
            </w:r>
          </w:p>
        </w:tc>
      </w:tr>
      <w:tr w:rsidR="00560C5A" w:rsidRPr="00445BD2" w14:paraId="21543C93" w14:textId="77777777" w:rsidTr="0065493C">
        <w:trPr>
          <w:trHeight w:val="300"/>
        </w:trPr>
        <w:tc>
          <w:tcPr>
            <w:tcW w:w="1120" w:type="dxa"/>
            <w:tcBorders>
              <w:top w:val="nil"/>
              <w:left w:val="nil"/>
              <w:bottom w:val="nil"/>
              <w:right w:val="nil"/>
            </w:tcBorders>
            <w:shd w:val="clear" w:color="auto" w:fill="auto"/>
            <w:noWrap/>
            <w:vAlign w:val="bottom"/>
            <w:hideMark/>
          </w:tcPr>
          <w:p w14:paraId="6ABA305B"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TSS</w:t>
            </w:r>
          </w:p>
        </w:tc>
        <w:tc>
          <w:tcPr>
            <w:tcW w:w="1250" w:type="dxa"/>
            <w:tcBorders>
              <w:top w:val="nil"/>
              <w:left w:val="nil"/>
              <w:bottom w:val="nil"/>
              <w:right w:val="nil"/>
            </w:tcBorders>
            <w:shd w:val="clear" w:color="auto" w:fill="auto"/>
            <w:noWrap/>
            <w:vAlign w:val="bottom"/>
            <w:hideMark/>
          </w:tcPr>
          <w:p w14:paraId="03DE0D45"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882</w:t>
            </w:r>
          </w:p>
        </w:tc>
        <w:tc>
          <w:tcPr>
            <w:tcW w:w="648" w:type="dxa"/>
            <w:tcBorders>
              <w:top w:val="nil"/>
              <w:left w:val="nil"/>
              <w:bottom w:val="nil"/>
              <w:right w:val="nil"/>
            </w:tcBorders>
            <w:shd w:val="clear" w:color="auto" w:fill="auto"/>
            <w:noWrap/>
            <w:vAlign w:val="bottom"/>
            <w:hideMark/>
          </w:tcPr>
          <w:p w14:paraId="78AFCD5B"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0.34</w:t>
            </w:r>
          </w:p>
        </w:tc>
        <w:tc>
          <w:tcPr>
            <w:tcW w:w="1042" w:type="dxa"/>
            <w:tcBorders>
              <w:top w:val="nil"/>
              <w:left w:val="nil"/>
              <w:bottom w:val="nil"/>
              <w:right w:val="nil"/>
            </w:tcBorders>
            <w:shd w:val="clear" w:color="auto" w:fill="auto"/>
            <w:noWrap/>
            <w:vAlign w:val="bottom"/>
            <w:hideMark/>
          </w:tcPr>
          <w:p w14:paraId="0B660C3B"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&lt; 0.01</w:t>
            </w:r>
          </w:p>
        </w:tc>
        <w:tc>
          <w:tcPr>
            <w:tcW w:w="280" w:type="dxa"/>
            <w:tcBorders>
              <w:top w:val="nil"/>
              <w:left w:val="nil"/>
              <w:bottom w:val="nil"/>
              <w:right w:val="nil"/>
            </w:tcBorders>
            <w:shd w:val="clear" w:color="auto" w:fill="auto"/>
            <w:noWrap/>
            <w:vAlign w:val="bottom"/>
            <w:hideMark/>
          </w:tcPr>
          <w:p w14:paraId="64EFE3C3" w14:textId="77777777" w:rsidR="00560C5A" w:rsidRPr="00445BD2" w:rsidRDefault="00560C5A" w:rsidP="0065493C">
            <w:pPr>
              <w:spacing w:before="0" w:after="0"/>
              <w:rPr>
                <w:rFonts w:ascii="Calibri" w:hAnsi="Calibri" w:cs="Times New Roman"/>
                <w:color w:val="000000"/>
                <w:sz w:val="20"/>
                <w:szCs w:val="20"/>
              </w:rPr>
            </w:pPr>
          </w:p>
        </w:tc>
        <w:tc>
          <w:tcPr>
            <w:tcW w:w="1660" w:type="dxa"/>
            <w:tcBorders>
              <w:top w:val="nil"/>
              <w:left w:val="nil"/>
              <w:bottom w:val="nil"/>
              <w:right w:val="nil"/>
            </w:tcBorders>
            <w:shd w:val="clear" w:color="auto" w:fill="auto"/>
            <w:noWrap/>
            <w:vAlign w:val="bottom"/>
            <w:hideMark/>
          </w:tcPr>
          <w:p w14:paraId="62018FBF"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&lt; 0.01 (46.4)</w:t>
            </w:r>
          </w:p>
        </w:tc>
        <w:tc>
          <w:tcPr>
            <w:tcW w:w="1660" w:type="dxa"/>
            <w:tcBorders>
              <w:top w:val="nil"/>
              <w:left w:val="nil"/>
              <w:bottom w:val="nil"/>
              <w:right w:val="nil"/>
            </w:tcBorders>
            <w:shd w:val="clear" w:color="auto" w:fill="auto"/>
            <w:noWrap/>
            <w:vAlign w:val="bottom"/>
            <w:hideMark/>
          </w:tcPr>
          <w:p w14:paraId="70F47F68"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&lt; 0.01 (3.6)</w:t>
            </w:r>
          </w:p>
        </w:tc>
        <w:tc>
          <w:tcPr>
            <w:tcW w:w="1660" w:type="dxa"/>
            <w:tcBorders>
              <w:top w:val="nil"/>
              <w:left w:val="nil"/>
              <w:bottom w:val="nil"/>
              <w:right w:val="nil"/>
            </w:tcBorders>
            <w:shd w:val="clear" w:color="auto" w:fill="auto"/>
            <w:noWrap/>
            <w:vAlign w:val="bottom"/>
            <w:hideMark/>
          </w:tcPr>
          <w:p w14:paraId="6EC89DA2"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&lt; 0.01 (50.1)</w:t>
            </w:r>
          </w:p>
        </w:tc>
      </w:tr>
      <w:tr w:rsidR="00560C5A" w:rsidRPr="00445BD2" w14:paraId="4A0FD593" w14:textId="77777777" w:rsidTr="0065493C">
        <w:trPr>
          <w:trHeight w:val="300"/>
        </w:trPr>
        <w:tc>
          <w:tcPr>
            <w:tcW w:w="1120" w:type="dxa"/>
            <w:tcBorders>
              <w:top w:val="nil"/>
              <w:left w:val="nil"/>
              <w:bottom w:val="nil"/>
              <w:right w:val="nil"/>
            </w:tcBorders>
            <w:shd w:val="clear" w:color="auto" w:fill="auto"/>
            <w:noWrap/>
            <w:vAlign w:val="bottom"/>
            <w:hideMark/>
          </w:tcPr>
          <w:p w14:paraId="37A49C75"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PP</w:t>
            </w:r>
          </w:p>
        </w:tc>
        <w:tc>
          <w:tcPr>
            <w:tcW w:w="1250" w:type="dxa"/>
            <w:tcBorders>
              <w:top w:val="nil"/>
              <w:left w:val="nil"/>
              <w:bottom w:val="nil"/>
              <w:right w:val="nil"/>
            </w:tcBorders>
            <w:shd w:val="clear" w:color="auto" w:fill="auto"/>
            <w:noWrap/>
            <w:vAlign w:val="bottom"/>
            <w:hideMark/>
          </w:tcPr>
          <w:p w14:paraId="4113122A"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835</w:t>
            </w:r>
          </w:p>
        </w:tc>
        <w:tc>
          <w:tcPr>
            <w:tcW w:w="648" w:type="dxa"/>
            <w:tcBorders>
              <w:top w:val="nil"/>
              <w:left w:val="nil"/>
              <w:bottom w:val="nil"/>
              <w:right w:val="nil"/>
            </w:tcBorders>
            <w:shd w:val="clear" w:color="auto" w:fill="auto"/>
            <w:noWrap/>
            <w:vAlign w:val="bottom"/>
            <w:hideMark/>
          </w:tcPr>
          <w:p w14:paraId="13ACB10C"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0.32</w:t>
            </w:r>
          </w:p>
        </w:tc>
        <w:tc>
          <w:tcPr>
            <w:tcW w:w="1042" w:type="dxa"/>
            <w:tcBorders>
              <w:top w:val="nil"/>
              <w:left w:val="nil"/>
              <w:bottom w:val="nil"/>
              <w:right w:val="nil"/>
            </w:tcBorders>
            <w:shd w:val="clear" w:color="auto" w:fill="auto"/>
            <w:noWrap/>
            <w:vAlign w:val="bottom"/>
            <w:hideMark/>
          </w:tcPr>
          <w:p w14:paraId="6310E064"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&lt; 0.01</w:t>
            </w:r>
          </w:p>
        </w:tc>
        <w:tc>
          <w:tcPr>
            <w:tcW w:w="280" w:type="dxa"/>
            <w:tcBorders>
              <w:top w:val="nil"/>
              <w:left w:val="nil"/>
              <w:bottom w:val="nil"/>
              <w:right w:val="nil"/>
            </w:tcBorders>
            <w:shd w:val="clear" w:color="auto" w:fill="auto"/>
            <w:noWrap/>
            <w:vAlign w:val="bottom"/>
            <w:hideMark/>
          </w:tcPr>
          <w:p w14:paraId="197D3DAA" w14:textId="77777777" w:rsidR="00560C5A" w:rsidRPr="00445BD2" w:rsidRDefault="00560C5A" w:rsidP="0065493C">
            <w:pPr>
              <w:spacing w:before="0" w:after="0"/>
              <w:rPr>
                <w:rFonts w:ascii="Calibri" w:hAnsi="Calibri" w:cs="Times New Roman"/>
                <w:color w:val="000000"/>
                <w:sz w:val="20"/>
                <w:szCs w:val="20"/>
              </w:rPr>
            </w:pPr>
          </w:p>
        </w:tc>
        <w:tc>
          <w:tcPr>
            <w:tcW w:w="1660" w:type="dxa"/>
            <w:tcBorders>
              <w:top w:val="nil"/>
              <w:left w:val="nil"/>
              <w:bottom w:val="nil"/>
              <w:right w:val="nil"/>
            </w:tcBorders>
            <w:shd w:val="clear" w:color="auto" w:fill="auto"/>
            <w:noWrap/>
            <w:vAlign w:val="bottom"/>
            <w:hideMark/>
          </w:tcPr>
          <w:p w14:paraId="74B3545C"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&lt; 0.01 (61.5)</w:t>
            </w:r>
          </w:p>
        </w:tc>
        <w:tc>
          <w:tcPr>
            <w:tcW w:w="1660" w:type="dxa"/>
            <w:tcBorders>
              <w:top w:val="nil"/>
              <w:left w:val="nil"/>
              <w:bottom w:val="nil"/>
              <w:right w:val="nil"/>
            </w:tcBorders>
            <w:shd w:val="clear" w:color="auto" w:fill="auto"/>
            <w:noWrap/>
            <w:vAlign w:val="bottom"/>
            <w:hideMark/>
          </w:tcPr>
          <w:p w14:paraId="1EB830B4"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0.08 (1.3)</w:t>
            </w:r>
          </w:p>
        </w:tc>
        <w:tc>
          <w:tcPr>
            <w:tcW w:w="1660" w:type="dxa"/>
            <w:tcBorders>
              <w:top w:val="nil"/>
              <w:left w:val="nil"/>
              <w:bottom w:val="nil"/>
              <w:right w:val="nil"/>
            </w:tcBorders>
            <w:shd w:val="clear" w:color="auto" w:fill="auto"/>
            <w:noWrap/>
            <w:vAlign w:val="bottom"/>
            <w:hideMark/>
          </w:tcPr>
          <w:p w14:paraId="1B3136CB"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&lt; 0.01 (37.3)</w:t>
            </w:r>
          </w:p>
        </w:tc>
      </w:tr>
      <w:tr w:rsidR="00560C5A" w:rsidRPr="00445BD2" w14:paraId="64F7E21C" w14:textId="77777777" w:rsidTr="0065493C">
        <w:trPr>
          <w:trHeight w:val="300"/>
        </w:trPr>
        <w:tc>
          <w:tcPr>
            <w:tcW w:w="1120" w:type="dxa"/>
            <w:tcBorders>
              <w:top w:val="nil"/>
              <w:left w:val="nil"/>
              <w:bottom w:val="nil"/>
              <w:right w:val="nil"/>
            </w:tcBorders>
            <w:shd w:val="clear" w:color="auto" w:fill="auto"/>
            <w:noWrap/>
            <w:vAlign w:val="bottom"/>
            <w:hideMark/>
          </w:tcPr>
          <w:p w14:paraId="5C813B59"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PN</w:t>
            </w:r>
          </w:p>
        </w:tc>
        <w:tc>
          <w:tcPr>
            <w:tcW w:w="1250" w:type="dxa"/>
            <w:tcBorders>
              <w:top w:val="nil"/>
              <w:left w:val="nil"/>
              <w:bottom w:val="nil"/>
              <w:right w:val="nil"/>
            </w:tcBorders>
            <w:shd w:val="clear" w:color="auto" w:fill="auto"/>
            <w:noWrap/>
            <w:vAlign w:val="bottom"/>
            <w:hideMark/>
          </w:tcPr>
          <w:p w14:paraId="64CEA217"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813</w:t>
            </w:r>
          </w:p>
        </w:tc>
        <w:tc>
          <w:tcPr>
            <w:tcW w:w="648" w:type="dxa"/>
            <w:tcBorders>
              <w:top w:val="nil"/>
              <w:left w:val="nil"/>
              <w:bottom w:val="nil"/>
              <w:right w:val="nil"/>
            </w:tcBorders>
            <w:shd w:val="clear" w:color="auto" w:fill="auto"/>
            <w:noWrap/>
            <w:vAlign w:val="bottom"/>
            <w:hideMark/>
          </w:tcPr>
          <w:p w14:paraId="662D479C"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0.24</w:t>
            </w:r>
          </w:p>
        </w:tc>
        <w:tc>
          <w:tcPr>
            <w:tcW w:w="1042" w:type="dxa"/>
            <w:tcBorders>
              <w:top w:val="nil"/>
              <w:left w:val="nil"/>
              <w:bottom w:val="nil"/>
              <w:right w:val="nil"/>
            </w:tcBorders>
            <w:shd w:val="clear" w:color="auto" w:fill="auto"/>
            <w:noWrap/>
            <w:vAlign w:val="bottom"/>
            <w:hideMark/>
          </w:tcPr>
          <w:p w14:paraId="72212427"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&lt; 0.01</w:t>
            </w:r>
          </w:p>
        </w:tc>
        <w:tc>
          <w:tcPr>
            <w:tcW w:w="280" w:type="dxa"/>
            <w:tcBorders>
              <w:top w:val="nil"/>
              <w:left w:val="nil"/>
              <w:bottom w:val="nil"/>
              <w:right w:val="nil"/>
            </w:tcBorders>
            <w:shd w:val="clear" w:color="auto" w:fill="auto"/>
            <w:noWrap/>
            <w:vAlign w:val="bottom"/>
            <w:hideMark/>
          </w:tcPr>
          <w:p w14:paraId="7C74EF5D" w14:textId="77777777" w:rsidR="00560C5A" w:rsidRPr="00445BD2" w:rsidRDefault="00560C5A" w:rsidP="0065493C">
            <w:pPr>
              <w:spacing w:before="0" w:after="0"/>
              <w:rPr>
                <w:rFonts w:ascii="Calibri" w:hAnsi="Calibri" w:cs="Times New Roman"/>
                <w:color w:val="000000"/>
                <w:sz w:val="20"/>
                <w:szCs w:val="20"/>
              </w:rPr>
            </w:pPr>
          </w:p>
        </w:tc>
        <w:tc>
          <w:tcPr>
            <w:tcW w:w="1660" w:type="dxa"/>
            <w:tcBorders>
              <w:top w:val="nil"/>
              <w:left w:val="nil"/>
              <w:bottom w:val="nil"/>
              <w:right w:val="nil"/>
            </w:tcBorders>
            <w:shd w:val="clear" w:color="auto" w:fill="auto"/>
            <w:noWrap/>
            <w:vAlign w:val="bottom"/>
            <w:hideMark/>
          </w:tcPr>
          <w:p w14:paraId="2D0FC516"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&lt; 0.01 (72.4)</w:t>
            </w:r>
          </w:p>
        </w:tc>
        <w:tc>
          <w:tcPr>
            <w:tcW w:w="1660" w:type="dxa"/>
            <w:tcBorders>
              <w:top w:val="nil"/>
              <w:left w:val="nil"/>
              <w:bottom w:val="nil"/>
              <w:right w:val="nil"/>
            </w:tcBorders>
            <w:shd w:val="clear" w:color="auto" w:fill="auto"/>
            <w:noWrap/>
            <w:vAlign w:val="bottom"/>
            <w:hideMark/>
          </w:tcPr>
          <w:p w14:paraId="5108B209" w14:textId="77777777" w:rsidR="00560C5A" w:rsidRPr="00445BD2" w:rsidRDefault="00560C5A" w:rsidP="0065493C">
            <w:pPr>
              <w:spacing w:before="0" w:after="0"/>
              <w:rPr>
                <w:rFonts w:ascii="Calibri" w:hAnsi="Calibri" w:cs="Times New Roman"/>
                <w:b/>
                <w:color w:val="000000"/>
                <w:sz w:val="20"/>
                <w:szCs w:val="20"/>
              </w:rPr>
            </w:pPr>
            <w:r w:rsidRPr="00445BD2">
              <w:rPr>
                <w:rFonts w:ascii="Calibri" w:hAnsi="Calibri" w:cs="Times New Roman"/>
                <w:b/>
                <w:color w:val="000000"/>
                <w:sz w:val="20"/>
                <w:szCs w:val="20"/>
              </w:rPr>
              <w:t>0.98 (0.7)</w:t>
            </w:r>
          </w:p>
        </w:tc>
        <w:tc>
          <w:tcPr>
            <w:tcW w:w="1660" w:type="dxa"/>
            <w:tcBorders>
              <w:top w:val="nil"/>
              <w:left w:val="nil"/>
              <w:bottom w:val="nil"/>
              <w:right w:val="nil"/>
            </w:tcBorders>
            <w:shd w:val="clear" w:color="auto" w:fill="auto"/>
            <w:noWrap/>
            <w:vAlign w:val="bottom"/>
            <w:hideMark/>
          </w:tcPr>
          <w:p w14:paraId="55A2E354"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&lt; 0.01 (26.9)</w:t>
            </w:r>
          </w:p>
        </w:tc>
      </w:tr>
      <w:tr w:rsidR="00560C5A" w:rsidRPr="00445BD2" w14:paraId="04DDEBBA" w14:textId="77777777" w:rsidTr="0065493C">
        <w:trPr>
          <w:trHeight w:val="300"/>
        </w:trPr>
        <w:tc>
          <w:tcPr>
            <w:tcW w:w="1120" w:type="dxa"/>
            <w:tcBorders>
              <w:top w:val="nil"/>
              <w:left w:val="nil"/>
              <w:right w:val="nil"/>
            </w:tcBorders>
            <w:shd w:val="clear" w:color="auto" w:fill="auto"/>
            <w:noWrap/>
            <w:vAlign w:val="bottom"/>
            <w:hideMark/>
          </w:tcPr>
          <w:p w14:paraId="14AA28C9"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DIP</w:t>
            </w:r>
          </w:p>
        </w:tc>
        <w:tc>
          <w:tcPr>
            <w:tcW w:w="1250" w:type="dxa"/>
            <w:tcBorders>
              <w:top w:val="nil"/>
              <w:left w:val="nil"/>
              <w:right w:val="nil"/>
            </w:tcBorders>
            <w:shd w:val="clear" w:color="auto" w:fill="auto"/>
            <w:noWrap/>
            <w:vAlign w:val="bottom"/>
            <w:hideMark/>
          </w:tcPr>
          <w:p w14:paraId="5EEB6DFA"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892</w:t>
            </w:r>
          </w:p>
        </w:tc>
        <w:tc>
          <w:tcPr>
            <w:tcW w:w="648" w:type="dxa"/>
            <w:tcBorders>
              <w:top w:val="nil"/>
              <w:left w:val="nil"/>
              <w:right w:val="nil"/>
            </w:tcBorders>
            <w:shd w:val="clear" w:color="auto" w:fill="auto"/>
            <w:noWrap/>
            <w:vAlign w:val="bottom"/>
            <w:hideMark/>
          </w:tcPr>
          <w:p w14:paraId="08E6EA30"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0.11</w:t>
            </w:r>
          </w:p>
        </w:tc>
        <w:tc>
          <w:tcPr>
            <w:tcW w:w="1042" w:type="dxa"/>
            <w:tcBorders>
              <w:top w:val="nil"/>
              <w:left w:val="nil"/>
              <w:right w:val="nil"/>
            </w:tcBorders>
            <w:shd w:val="clear" w:color="auto" w:fill="auto"/>
            <w:noWrap/>
            <w:vAlign w:val="bottom"/>
            <w:hideMark/>
          </w:tcPr>
          <w:p w14:paraId="1DB2E92A"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&lt; 0.01</w:t>
            </w:r>
          </w:p>
        </w:tc>
        <w:tc>
          <w:tcPr>
            <w:tcW w:w="280" w:type="dxa"/>
            <w:tcBorders>
              <w:top w:val="nil"/>
              <w:left w:val="nil"/>
              <w:right w:val="nil"/>
            </w:tcBorders>
            <w:shd w:val="clear" w:color="auto" w:fill="auto"/>
            <w:noWrap/>
            <w:vAlign w:val="bottom"/>
            <w:hideMark/>
          </w:tcPr>
          <w:p w14:paraId="73A7ACCC" w14:textId="77777777" w:rsidR="00560C5A" w:rsidRPr="00445BD2" w:rsidRDefault="00560C5A" w:rsidP="0065493C">
            <w:pPr>
              <w:spacing w:before="0" w:after="0"/>
              <w:rPr>
                <w:rFonts w:ascii="Calibri" w:hAnsi="Calibri" w:cs="Times New Roman"/>
                <w:color w:val="000000"/>
                <w:sz w:val="20"/>
                <w:szCs w:val="20"/>
              </w:rPr>
            </w:pPr>
          </w:p>
        </w:tc>
        <w:tc>
          <w:tcPr>
            <w:tcW w:w="1660" w:type="dxa"/>
            <w:tcBorders>
              <w:top w:val="nil"/>
              <w:left w:val="nil"/>
              <w:right w:val="nil"/>
            </w:tcBorders>
            <w:shd w:val="clear" w:color="auto" w:fill="auto"/>
            <w:noWrap/>
            <w:vAlign w:val="bottom"/>
            <w:hideMark/>
          </w:tcPr>
          <w:p w14:paraId="029D0553"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&lt; 0.01 (26.9)</w:t>
            </w:r>
          </w:p>
        </w:tc>
        <w:tc>
          <w:tcPr>
            <w:tcW w:w="1660" w:type="dxa"/>
            <w:tcBorders>
              <w:top w:val="nil"/>
              <w:left w:val="nil"/>
              <w:right w:val="nil"/>
            </w:tcBorders>
            <w:shd w:val="clear" w:color="auto" w:fill="auto"/>
            <w:noWrap/>
            <w:vAlign w:val="bottom"/>
            <w:hideMark/>
          </w:tcPr>
          <w:p w14:paraId="5CE1F454"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&lt; 0.01 (26.8)</w:t>
            </w:r>
          </w:p>
        </w:tc>
        <w:tc>
          <w:tcPr>
            <w:tcW w:w="1660" w:type="dxa"/>
            <w:tcBorders>
              <w:top w:val="nil"/>
              <w:left w:val="nil"/>
              <w:right w:val="nil"/>
            </w:tcBorders>
            <w:shd w:val="clear" w:color="auto" w:fill="auto"/>
            <w:noWrap/>
            <w:vAlign w:val="bottom"/>
            <w:hideMark/>
          </w:tcPr>
          <w:p w14:paraId="636716AE"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&lt; 0.01 (46.3)</w:t>
            </w:r>
          </w:p>
        </w:tc>
      </w:tr>
      <w:tr w:rsidR="00560C5A" w:rsidRPr="00445BD2" w14:paraId="13BFAF41" w14:textId="77777777" w:rsidTr="0065493C">
        <w:trPr>
          <w:trHeight w:val="300"/>
        </w:trPr>
        <w:tc>
          <w:tcPr>
            <w:tcW w:w="1120" w:type="dxa"/>
            <w:tcBorders>
              <w:top w:val="nil"/>
              <w:left w:val="nil"/>
              <w:bottom w:val="single" w:sz="4" w:space="0" w:color="auto"/>
              <w:right w:val="nil"/>
            </w:tcBorders>
            <w:shd w:val="clear" w:color="auto" w:fill="auto"/>
            <w:noWrap/>
            <w:vAlign w:val="bottom"/>
            <w:hideMark/>
          </w:tcPr>
          <w:p w14:paraId="50A9023B"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Chl-a</w:t>
            </w:r>
          </w:p>
        </w:tc>
        <w:tc>
          <w:tcPr>
            <w:tcW w:w="1250" w:type="dxa"/>
            <w:tcBorders>
              <w:top w:val="nil"/>
              <w:left w:val="nil"/>
              <w:bottom w:val="single" w:sz="4" w:space="0" w:color="auto"/>
              <w:right w:val="nil"/>
            </w:tcBorders>
            <w:shd w:val="clear" w:color="auto" w:fill="auto"/>
            <w:noWrap/>
            <w:vAlign w:val="bottom"/>
            <w:hideMark/>
          </w:tcPr>
          <w:p w14:paraId="7EC76C18"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1011</w:t>
            </w:r>
          </w:p>
        </w:tc>
        <w:tc>
          <w:tcPr>
            <w:tcW w:w="648" w:type="dxa"/>
            <w:tcBorders>
              <w:top w:val="nil"/>
              <w:left w:val="nil"/>
              <w:bottom w:val="single" w:sz="4" w:space="0" w:color="auto"/>
              <w:right w:val="nil"/>
            </w:tcBorders>
            <w:shd w:val="clear" w:color="auto" w:fill="auto"/>
            <w:noWrap/>
            <w:vAlign w:val="bottom"/>
            <w:hideMark/>
          </w:tcPr>
          <w:p w14:paraId="438ACCAE"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0.05</w:t>
            </w:r>
          </w:p>
        </w:tc>
        <w:tc>
          <w:tcPr>
            <w:tcW w:w="1042" w:type="dxa"/>
            <w:tcBorders>
              <w:top w:val="nil"/>
              <w:left w:val="nil"/>
              <w:bottom w:val="single" w:sz="4" w:space="0" w:color="auto"/>
              <w:right w:val="nil"/>
            </w:tcBorders>
            <w:shd w:val="clear" w:color="auto" w:fill="auto"/>
            <w:noWrap/>
            <w:vAlign w:val="bottom"/>
            <w:hideMark/>
          </w:tcPr>
          <w:p w14:paraId="3EDB01B5"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&lt; 0.01</w:t>
            </w:r>
          </w:p>
        </w:tc>
        <w:tc>
          <w:tcPr>
            <w:tcW w:w="280" w:type="dxa"/>
            <w:tcBorders>
              <w:top w:val="nil"/>
              <w:left w:val="nil"/>
              <w:bottom w:val="single" w:sz="4" w:space="0" w:color="auto"/>
              <w:right w:val="nil"/>
            </w:tcBorders>
            <w:shd w:val="clear" w:color="auto" w:fill="auto"/>
            <w:noWrap/>
            <w:vAlign w:val="bottom"/>
            <w:hideMark/>
          </w:tcPr>
          <w:p w14:paraId="72DD5611" w14:textId="77777777" w:rsidR="00560C5A" w:rsidRPr="00445BD2" w:rsidRDefault="00560C5A" w:rsidP="0065493C">
            <w:pPr>
              <w:spacing w:before="0" w:after="0"/>
              <w:rPr>
                <w:rFonts w:ascii="Calibri" w:hAnsi="Calibri" w:cs="Times New Roman"/>
                <w:color w:val="000000"/>
                <w:sz w:val="20"/>
                <w:szCs w:val="20"/>
              </w:rPr>
            </w:pPr>
          </w:p>
        </w:tc>
        <w:tc>
          <w:tcPr>
            <w:tcW w:w="1660" w:type="dxa"/>
            <w:tcBorders>
              <w:top w:val="nil"/>
              <w:left w:val="nil"/>
              <w:bottom w:val="single" w:sz="4" w:space="0" w:color="auto"/>
              <w:right w:val="nil"/>
            </w:tcBorders>
            <w:shd w:val="clear" w:color="auto" w:fill="auto"/>
            <w:noWrap/>
            <w:vAlign w:val="bottom"/>
            <w:hideMark/>
          </w:tcPr>
          <w:p w14:paraId="303BB7CC" w14:textId="77777777" w:rsidR="00560C5A" w:rsidRPr="00445BD2" w:rsidRDefault="00560C5A" w:rsidP="0065493C">
            <w:pPr>
              <w:spacing w:before="0" w:after="0"/>
              <w:rPr>
                <w:rFonts w:ascii="Calibri" w:hAnsi="Calibri" w:cs="Times New Roman"/>
                <w:color w:val="000000"/>
                <w:sz w:val="20"/>
                <w:szCs w:val="20"/>
              </w:rPr>
            </w:pPr>
            <w:r w:rsidRPr="00445BD2">
              <w:rPr>
                <w:rFonts w:ascii="Calibri" w:hAnsi="Calibri" w:cs="Times New Roman"/>
                <w:color w:val="000000"/>
                <w:sz w:val="20"/>
                <w:szCs w:val="20"/>
              </w:rPr>
              <w:t>&lt; 0.01 (96.8)</w:t>
            </w:r>
          </w:p>
        </w:tc>
        <w:tc>
          <w:tcPr>
            <w:tcW w:w="1660" w:type="dxa"/>
            <w:tcBorders>
              <w:top w:val="nil"/>
              <w:left w:val="nil"/>
              <w:bottom w:val="single" w:sz="4" w:space="0" w:color="auto"/>
              <w:right w:val="nil"/>
            </w:tcBorders>
            <w:shd w:val="clear" w:color="auto" w:fill="auto"/>
            <w:noWrap/>
            <w:vAlign w:val="bottom"/>
            <w:hideMark/>
          </w:tcPr>
          <w:p w14:paraId="7E06DD0E" w14:textId="77777777" w:rsidR="00560C5A" w:rsidRPr="00445BD2" w:rsidRDefault="00560C5A" w:rsidP="0065493C">
            <w:pPr>
              <w:spacing w:before="0" w:after="0"/>
              <w:rPr>
                <w:rFonts w:ascii="Calibri" w:hAnsi="Calibri" w:cs="Times New Roman"/>
                <w:b/>
                <w:color w:val="000000"/>
                <w:sz w:val="20"/>
                <w:szCs w:val="20"/>
              </w:rPr>
            </w:pPr>
            <w:r w:rsidRPr="00445BD2">
              <w:rPr>
                <w:rFonts w:ascii="Calibri" w:hAnsi="Calibri" w:cs="Times New Roman"/>
                <w:b/>
                <w:color w:val="000000"/>
                <w:sz w:val="20"/>
                <w:szCs w:val="20"/>
              </w:rPr>
              <w:t>1 (0.8)</w:t>
            </w:r>
          </w:p>
        </w:tc>
        <w:tc>
          <w:tcPr>
            <w:tcW w:w="1660" w:type="dxa"/>
            <w:tcBorders>
              <w:top w:val="nil"/>
              <w:left w:val="nil"/>
              <w:bottom w:val="single" w:sz="4" w:space="0" w:color="auto"/>
              <w:right w:val="nil"/>
            </w:tcBorders>
            <w:shd w:val="clear" w:color="auto" w:fill="auto"/>
            <w:noWrap/>
            <w:vAlign w:val="bottom"/>
            <w:hideMark/>
          </w:tcPr>
          <w:p w14:paraId="685B5B05" w14:textId="77777777" w:rsidR="00560C5A" w:rsidRPr="00445BD2" w:rsidRDefault="00560C5A" w:rsidP="0065493C">
            <w:pPr>
              <w:spacing w:before="0" w:after="0"/>
              <w:rPr>
                <w:rFonts w:ascii="Calibri" w:hAnsi="Calibri" w:cs="Times New Roman"/>
                <w:b/>
                <w:color w:val="000000"/>
                <w:sz w:val="20"/>
                <w:szCs w:val="20"/>
              </w:rPr>
            </w:pPr>
            <w:r w:rsidRPr="00445BD2">
              <w:rPr>
                <w:rFonts w:ascii="Calibri" w:hAnsi="Calibri" w:cs="Times New Roman"/>
                <w:b/>
                <w:color w:val="000000"/>
                <w:sz w:val="20"/>
                <w:szCs w:val="20"/>
              </w:rPr>
              <w:t>0.97 (2.4)</w:t>
            </w:r>
          </w:p>
        </w:tc>
      </w:tr>
      <w:tr w:rsidR="00560C5A" w:rsidRPr="00445BD2" w14:paraId="1E3E8FEA" w14:textId="77777777" w:rsidTr="0065493C">
        <w:trPr>
          <w:trHeight w:val="300"/>
        </w:trPr>
        <w:tc>
          <w:tcPr>
            <w:tcW w:w="1120" w:type="dxa"/>
            <w:tcBorders>
              <w:top w:val="single" w:sz="4" w:space="0" w:color="auto"/>
              <w:left w:val="nil"/>
              <w:bottom w:val="single" w:sz="4" w:space="0" w:color="auto"/>
              <w:right w:val="nil"/>
            </w:tcBorders>
            <w:shd w:val="clear" w:color="auto" w:fill="auto"/>
            <w:noWrap/>
            <w:vAlign w:val="bottom"/>
            <w:hideMark/>
          </w:tcPr>
          <w:p w14:paraId="3BB2FB53" w14:textId="77777777" w:rsidR="00560C5A" w:rsidRPr="00445BD2" w:rsidRDefault="00560C5A" w:rsidP="0065493C">
            <w:pPr>
              <w:spacing w:before="0" w:after="0"/>
              <w:rPr>
                <w:rFonts w:ascii="Calibri" w:hAnsi="Calibri" w:cs="Times New Roman"/>
                <w:i/>
                <w:iCs/>
                <w:color w:val="000000"/>
                <w:sz w:val="20"/>
                <w:szCs w:val="20"/>
              </w:rPr>
            </w:pPr>
            <w:r w:rsidRPr="00445BD2">
              <w:rPr>
                <w:rFonts w:ascii="Calibri" w:hAnsi="Calibri" w:cs="Times New Roman"/>
                <w:i/>
                <w:iCs/>
                <w:color w:val="000000"/>
                <w:sz w:val="20"/>
                <w:szCs w:val="20"/>
              </w:rPr>
              <w:t>mean</w:t>
            </w:r>
          </w:p>
        </w:tc>
        <w:tc>
          <w:tcPr>
            <w:tcW w:w="1250" w:type="dxa"/>
            <w:tcBorders>
              <w:top w:val="single" w:sz="4" w:space="0" w:color="auto"/>
              <w:left w:val="nil"/>
              <w:bottom w:val="single" w:sz="4" w:space="0" w:color="auto"/>
              <w:right w:val="nil"/>
            </w:tcBorders>
            <w:shd w:val="clear" w:color="auto" w:fill="auto"/>
            <w:noWrap/>
            <w:vAlign w:val="bottom"/>
            <w:hideMark/>
          </w:tcPr>
          <w:p w14:paraId="5C606728" w14:textId="77777777" w:rsidR="00560C5A" w:rsidRPr="00445BD2" w:rsidRDefault="00560C5A" w:rsidP="0065493C">
            <w:pPr>
              <w:spacing w:before="0" w:after="0"/>
              <w:rPr>
                <w:rFonts w:ascii="Calibri" w:hAnsi="Calibri" w:cs="Times New Roman"/>
                <w:i/>
                <w:iCs/>
                <w:color w:val="000000"/>
                <w:sz w:val="20"/>
                <w:szCs w:val="20"/>
              </w:rPr>
            </w:pPr>
            <w:r w:rsidRPr="00445BD2">
              <w:rPr>
                <w:rFonts w:ascii="Calibri" w:hAnsi="Calibri" w:cs="Times New Roman"/>
                <w:i/>
                <w:iCs/>
                <w:color w:val="000000"/>
                <w:sz w:val="20"/>
                <w:szCs w:val="20"/>
              </w:rPr>
              <w:t>746.3</w:t>
            </w:r>
          </w:p>
        </w:tc>
        <w:tc>
          <w:tcPr>
            <w:tcW w:w="648" w:type="dxa"/>
            <w:tcBorders>
              <w:top w:val="single" w:sz="4" w:space="0" w:color="auto"/>
              <w:left w:val="nil"/>
              <w:bottom w:val="single" w:sz="4" w:space="0" w:color="auto"/>
              <w:right w:val="nil"/>
            </w:tcBorders>
            <w:shd w:val="clear" w:color="auto" w:fill="auto"/>
            <w:noWrap/>
            <w:vAlign w:val="bottom"/>
            <w:hideMark/>
          </w:tcPr>
          <w:p w14:paraId="796258B9" w14:textId="77777777" w:rsidR="00560C5A" w:rsidRPr="00445BD2" w:rsidRDefault="00560C5A" w:rsidP="0065493C">
            <w:pPr>
              <w:spacing w:before="0" w:after="0"/>
              <w:rPr>
                <w:rFonts w:ascii="Calibri" w:hAnsi="Calibri" w:cs="Times New Roman"/>
                <w:i/>
                <w:iCs/>
                <w:color w:val="000000"/>
                <w:sz w:val="20"/>
                <w:szCs w:val="20"/>
              </w:rPr>
            </w:pPr>
            <w:r w:rsidRPr="00445BD2">
              <w:rPr>
                <w:rFonts w:ascii="Calibri" w:hAnsi="Calibri" w:cs="Times New Roman"/>
                <w:i/>
                <w:iCs/>
                <w:color w:val="000000"/>
                <w:sz w:val="20"/>
                <w:szCs w:val="20"/>
              </w:rPr>
              <w:t>0.4</w:t>
            </w:r>
          </w:p>
        </w:tc>
        <w:tc>
          <w:tcPr>
            <w:tcW w:w="1042" w:type="dxa"/>
            <w:tcBorders>
              <w:top w:val="single" w:sz="4" w:space="0" w:color="auto"/>
              <w:left w:val="nil"/>
              <w:bottom w:val="single" w:sz="4" w:space="0" w:color="auto"/>
              <w:right w:val="nil"/>
            </w:tcBorders>
            <w:shd w:val="clear" w:color="auto" w:fill="auto"/>
            <w:noWrap/>
            <w:vAlign w:val="bottom"/>
            <w:hideMark/>
          </w:tcPr>
          <w:p w14:paraId="4CF2A053" w14:textId="77777777" w:rsidR="00560C5A" w:rsidRPr="00445BD2" w:rsidRDefault="00560C5A" w:rsidP="0065493C">
            <w:pPr>
              <w:spacing w:before="0" w:after="0"/>
              <w:rPr>
                <w:rFonts w:ascii="Calibri" w:hAnsi="Calibri" w:cs="Times New Roman"/>
                <w:i/>
                <w:iCs/>
                <w:color w:val="000000"/>
                <w:sz w:val="20"/>
                <w:szCs w:val="20"/>
              </w:rPr>
            </w:pPr>
            <w:r w:rsidRPr="00445BD2">
              <w:rPr>
                <w:rFonts w:ascii="Calibri" w:hAnsi="Calibri" w:cs="Times New Roman"/>
                <w:i/>
                <w:iCs/>
                <w:color w:val="000000"/>
                <w:sz w:val="20"/>
                <w:szCs w:val="20"/>
              </w:rPr>
              <w:t> </w:t>
            </w:r>
          </w:p>
        </w:tc>
        <w:tc>
          <w:tcPr>
            <w:tcW w:w="280" w:type="dxa"/>
            <w:tcBorders>
              <w:top w:val="single" w:sz="4" w:space="0" w:color="auto"/>
              <w:left w:val="nil"/>
              <w:bottom w:val="single" w:sz="4" w:space="0" w:color="auto"/>
              <w:right w:val="nil"/>
            </w:tcBorders>
            <w:shd w:val="clear" w:color="auto" w:fill="auto"/>
            <w:noWrap/>
            <w:vAlign w:val="bottom"/>
            <w:hideMark/>
          </w:tcPr>
          <w:p w14:paraId="12FD7861" w14:textId="77777777" w:rsidR="00560C5A" w:rsidRPr="00445BD2" w:rsidRDefault="00560C5A" w:rsidP="0065493C">
            <w:pPr>
              <w:spacing w:before="0" w:after="0"/>
              <w:rPr>
                <w:rFonts w:ascii="Calibri" w:hAnsi="Calibri" w:cs="Times New Roman"/>
                <w:i/>
                <w:iCs/>
                <w:color w:val="000000"/>
                <w:sz w:val="20"/>
                <w:szCs w:val="20"/>
              </w:rPr>
            </w:pPr>
            <w:r w:rsidRPr="00445BD2">
              <w:rPr>
                <w:rFonts w:ascii="Calibri" w:hAnsi="Calibri" w:cs="Times New Roman"/>
                <w:i/>
                <w:iCs/>
                <w:color w:val="000000"/>
                <w:sz w:val="20"/>
                <w:szCs w:val="20"/>
              </w:rPr>
              <w:t> </w:t>
            </w:r>
          </w:p>
        </w:tc>
        <w:tc>
          <w:tcPr>
            <w:tcW w:w="1660" w:type="dxa"/>
            <w:tcBorders>
              <w:top w:val="single" w:sz="4" w:space="0" w:color="auto"/>
              <w:left w:val="nil"/>
              <w:bottom w:val="single" w:sz="4" w:space="0" w:color="auto"/>
              <w:right w:val="nil"/>
            </w:tcBorders>
            <w:shd w:val="clear" w:color="auto" w:fill="auto"/>
            <w:noWrap/>
            <w:vAlign w:val="bottom"/>
            <w:hideMark/>
          </w:tcPr>
          <w:p w14:paraId="20FFEE1E" w14:textId="77777777" w:rsidR="00560C5A" w:rsidRPr="00445BD2" w:rsidRDefault="00560C5A" w:rsidP="0065493C">
            <w:pPr>
              <w:spacing w:before="0" w:after="0"/>
              <w:rPr>
                <w:rFonts w:ascii="Calibri" w:hAnsi="Calibri" w:cs="Times New Roman"/>
                <w:i/>
                <w:iCs/>
                <w:color w:val="000000"/>
                <w:sz w:val="20"/>
                <w:szCs w:val="20"/>
              </w:rPr>
            </w:pPr>
            <w:r w:rsidRPr="00445BD2">
              <w:rPr>
                <w:rFonts w:ascii="Calibri" w:hAnsi="Calibri" w:cs="Times New Roman"/>
                <w:i/>
                <w:iCs/>
                <w:color w:val="000000"/>
                <w:sz w:val="20"/>
                <w:szCs w:val="20"/>
              </w:rPr>
              <w:t>(68.3)</w:t>
            </w:r>
          </w:p>
        </w:tc>
        <w:tc>
          <w:tcPr>
            <w:tcW w:w="1660" w:type="dxa"/>
            <w:tcBorders>
              <w:top w:val="single" w:sz="4" w:space="0" w:color="auto"/>
              <w:left w:val="nil"/>
              <w:bottom w:val="single" w:sz="4" w:space="0" w:color="auto"/>
              <w:right w:val="nil"/>
            </w:tcBorders>
            <w:shd w:val="clear" w:color="auto" w:fill="auto"/>
            <w:noWrap/>
            <w:vAlign w:val="bottom"/>
            <w:hideMark/>
          </w:tcPr>
          <w:p w14:paraId="155EB650" w14:textId="77777777" w:rsidR="00560C5A" w:rsidRPr="00445BD2" w:rsidRDefault="00560C5A" w:rsidP="0065493C">
            <w:pPr>
              <w:spacing w:before="0" w:after="0"/>
              <w:rPr>
                <w:rFonts w:ascii="Calibri" w:hAnsi="Calibri" w:cs="Times New Roman"/>
                <w:i/>
                <w:iCs/>
                <w:color w:val="000000"/>
                <w:sz w:val="20"/>
                <w:szCs w:val="20"/>
              </w:rPr>
            </w:pPr>
            <w:r w:rsidRPr="00445BD2">
              <w:rPr>
                <w:rFonts w:ascii="Calibri" w:hAnsi="Calibri" w:cs="Times New Roman"/>
                <w:i/>
                <w:iCs/>
                <w:color w:val="000000"/>
                <w:sz w:val="20"/>
                <w:szCs w:val="20"/>
              </w:rPr>
              <w:t>(7.4)</w:t>
            </w:r>
          </w:p>
        </w:tc>
        <w:tc>
          <w:tcPr>
            <w:tcW w:w="1660" w:type="dxa"/>
            <w:tcBorders>
              <w:top w:val="single" w:sz="4" w:space="0" w:color="auto"/>
              <w:left w:val="nil"/>
              <w:bottom w:val="single" w:sz="4" w:space="0" w:color="auto"/>
              <w:right w:val="nil"/>
            </w:tcBorders>
            <w:shd w:val="clear" w:color="auto" w:fill="auto"/>
            <w:noWrap/>
            <w:vAlign w:val="bottom"/>
            <w:hideMark/>
          </w:tcPr>
          <w:p w14:paraId="6D84E47D" w14:textId="77777777" w:rsidR="00560C5A" w:rsidRPr="00445BD2" w:rsidRDefault="00560C5A" w:rsidP="0065493C">
            <w:pPr>
              <w:spacing w:before="0" w:after="0"/>
              <w:rPr>
                <w:rFonts w:ascii="Calibri" w:hAnsi="Calibri" w:cs="Times New Roman"/>
                <w:i/>
                <w:iCs/>
                <w:color w:val="000000"/>
                <w:sz w:val="20"/>
                <w:szCs w:val="20"/>
              </w:rPr>
            </w:pPr>
            <w:r w:rsidRPr="00445BD2">
              <w:rPr>
                <w:rFonts w:ascii="Calibri" w:hAnsi="Calibri" w:cs="Times New Roman"/>
                <w:i/>
                <w:iCs/>
                <w:color w:val="000000"/>
                <w:sz w:val="20"/>
                <w:szCs w:val="20"/>
              </w:rPr>
              <w:t>(24.4)</w:t>
            </w:r>
          </w:p>
        </w:tc>
      </w:tr>
    </w:tbl>
    <w:p w14:paraId="6123CB43" w14:textId="77777777" w:rsidR="00560C5A" w:rsidRPr="00560C5A" w:rsidRDefault="00560C5A" w:rsidP="0065493C">
      <w:pPr>
        <w:rPr>
          <w:rFonts w:cs="Courier New"/>
          <w:sz w:val="24"/>
          <w:szCs w:val="24"/>
        </w:rPr>
      </w:pPr>
      <w:r w:rsidRPr="00402D2B">
        <w:rPr>
          <w:noProof/>
        </w:rPr>
        <w:lastRenderedPageBreak/>
        <w:drawing>
          <wp:inline distT="0" distB="0" distL="0" distR="0" wp14:anchorId="37F03060" wp14:editId="4DEB4349">
            <wp:extent cx="4811486" cy="7217229"/>
            <wp:effectExtent l="0" t="0" r="8255" b="3175"/>
            <wp:docPr id="54" name="Picture 54" descr="GAMM analysis for light attenuation coefficient (Kd, /m, left column), coloured dissolved organic matter (CDOM, /m, mid column) and total suspended solids (TSS, mg/L, right column) collected from December, 2005 to April, 2014 (inclusive). First four plots in each column are for the partial effect plots and last pot is the temporal analysis (see text for explanation). Shade area stands for ±1 SE and rubs on x-axis stand for data density." title="Figure 4-6 GAMM analys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MM2013physfig.jpg"/>
                    <pic:cNvPicPr/>
                  </pic:nvPicPr>
                  <pic:blipFill>
                    <a:blip r:embed="rId84" cstate="screen">
                      <a:extLst>
                        <a:ext uri="{28A0092B-C50C-407E-A947-70E740481C1C}">
                          <a14:useLocalDpi xmlns:a14="http://schemas.microsoft.com/office/drawing/2010/main"/>
                        </a:ext>
                      </a:extLst>
                    </a:blip>
                    <a:stretch>
                      <a:fillRect/>
                    </a:stretch>
                  </pic:blipFill>
                  <pic:spPr>
                    <a:xfrm>
                      <a:off x="0" y="0"/>
                      <a:ext cx="4811404" cy="7217106"/>
                    </a:xfrm>
                    <a:prstGeom prst="rect">
                      <a:avLst/>
                    </a:prstGeom>
                  </pic:spPr>
                </pic:pic>
              </a:graphicData>
            </a:graphic>
          </wp:inline>
        </w:drawing>
      </w:r>
    </w:p>
    <w:p w14:paraId="3539BF94" w14:textId="5B157A84" w:rsidR="00560C5A" w:rsidRPr="00533D6A" w:rsidRDefault="00533D6A" w:rsidP="00533D6A">
      <w:pPr>
        <w:pStyle w:val="Caption"/>
      </w:pPr>
      <w:bookmarkStart w:id="166" w:name="_Toc454303911"/>
      <w:r>
        <w:t xml:space="preserve">Figure </w:t>
      </w:r>
      <w:r w:rsidR="009F4CB0">
        <w:fldChar w:fldCharType="begin"/>
      </w:r>
      <w:r w:rsidR="009F4CB0">
        <w:instrText xml:space="preserve"> STYLEREF 1 \s </w:instrText>
      </w:r>
      <w:r w:rsidR="009F4CB0">
        <w:fldChar w:fldCharType="separate"/>
      </w:r>
      <w:r w:rsidR="000E22F3">
        <w:rPr>
          <w:noProof/>
        </w:rPr>
        <w:t>4</w:t>
      </w:r>
      <w:r w:rsidR="009F4CB0">
        <w:fldChar w:fldCharType="end"/>
      </w:r>
      <w:r w:rsidR="009F4CB0">
        <w:noBreakHyphen/>
      </w:r>
      <w:r w:rsidR="009F4CB0">
        <w:fldChar w:fldCharType="begin"/>
      </w:r>
      <w:r w:rsidR="009F4CB0">
        <w:instrText xml:space="preserve"> SEQ Figure \* ARABIC \s 1 </w:instrText>
      </w:r>
      <w:r w:rsidR="009F4CB0">
        <w:fldChar w:fldCharType="separate"/>
      </w:r>
      <w:r w:rsidR="000E22F3">
        <w:rPr>
          <w:noProof/>
        </w:rPr>
        <w:t>6</w:t>
      </w:r>
      <w:r w:rsidR="009F4CB0">
        <w:fldChar w:fldCharType="end"/>
      </w:r>
      <w:r>
        <w:t xml:space="preserve">: </w:t>
      </w:r>
      <w:r w:rsidR="00560C5A" w:rsidRPr="00533D6A">
        <w:t xml:space="preserve">GAMM analysis for light attenuation coefficient (Kd, /m, left column), coloured dissolved organic matter (CDOM, /m, mid column) and total suspended solids (TSS, mg/L, right </w:t>
      </w:r>
      <w:r w:rsidR="00445BD2">
        <w:t>column) collected from December 2005 to April</w:t>
      </w:r>
      <w:r w:rsidR="00560C5A" w:rsidRPr="00533D6A">
        <w:t xml:space="preserve"> 2014 (inclusive). First four plots in each column are for the partial effect plots and last pot is the temporal analysis (see text for explanation). Shade area stands for ±1 SE and rubs on x-axis stand for data density.</w:t>
      </w:r>
      <w:bookmarkEnd w:id="166"/>
    </w:p>
    <w:p w14:paraId="03775C5F" w14:textId="77777777" w:rsidR="00560C5A" w:rsidRPr="00560C5A" w:rsidRDefault="00560C5A" w:rsidP="0065493C">
      <w:pPr>
        <w:rPr>
          <w:rFonts w:cs="Courier New"/>
          <w:sz w:val="24"/>
          <w:szCs w:val="24"/>
        </w:rPr>
      </w:pPr>
      <w:r w:rsidRPr="00402D2B">
        <w:rPr>
          <w:noProof/>
        </w:rPr>
        <w:lastRenderedPageBreak/>
        <w:drawing>
          <wp:inline distT="0" distB="0" distL="0" distR="0" wp14:anchorId="0AAAC04F" wp14:editId="4C58E742">
            <wp:extent cx="4884057" cy="7326086"/>
            <wp:effectExtent l="0" t="0" r="0" b="8255"/>
            <wp:docPr id="55" name="Picture 55" descr="GAMM analysis for chlorophyll-a (Chl-a, µg/L, left column), particulate nitrogen (PN, µM, mid column) and dissolved inorganic nitrogen (DIN, µM, right column) collected from December, 2005 to April, 2014 (inclusive). First four plots in each column are for the partial effect plots and last pot is the temporal analysis. Shade area stands for ±1 SE and rubs on x-axis stand for data density." title="Figure 4-7 GAMM analys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MM2013physfig.jpg"/>
                    <pic:cNvPicPr/>
                  </pic:nvPicPr>
                  <pic:blipFill>
                    <a:blip r:embed="rId85" cstate="screen">
                      <a:extLst>
                        <a:ext uri="{28A0092B-C50C-407E-A947-70E740481C1C}">
                          <a14:useLocalDpi xmlns:a14="http://schemas.microsoft.com/office/drawing/2010/main"/>
                        </a:ext>
                      </a:extLst>
                    </a:blip>
                    <a:stretch>
                      <a:fillRect/>
                    </a:stretch>
                  </pic:blipFill>
                  <pic:spPr>
                    <a:xfrm>
                      <a:off x="0" y="0"/>
                      <a:ext cx="4883974" cy="7325961"/>
                    </a:xfrm>
                    <a:prstGeom prst="rect">
                      <a:avLst/>
                    </a:prstGeom>
                  </pic:spPr>
                </pic:pic>
              </a:graphicData>
            </a:graphic>
          </wp:inline>
        </w:drawing>
      </w:r>
    </w:p>
    <w:p w14:paraId="151F668E" w14:textId="5D3EE6E4" w:rsidR="00560C5A" w:rsidRPr="00E277FB" w:rsidRDefault="00533D6A" w:rsidP="00533D6A">
      <w:pPr>
        <w:pStyle w:val="Caption"/>
      </w:pPr>
      <w:bookmarkStart w:id="167" w:name="_Toc454303912"/>
      <w:r>
        <w:t xml:space="preserve">Figure </w:t>
      </w:r>
      <w:r w:rsidR="009F4CB0">
        <w:fldChar w:fldCharType="begin"/>
      </w:r>
      <w:r w:rsidR="009F4CB0">
        <w:instrText xml:space="preserve"> STYLEREF 1 \s </w:instrText>
      </w:r>
      <w:r w:rsidR="009F4CB0">
        <w:fldChar w:fldCharType="separate"/>
      </w:r>
      <w:r w:rsidR="000E22F3">
        <w:rPr>
          <w:noProof/>
        </w:rPr>
        <w:t>4</w:t>
      </w:r>
      <w:r w:rsidR="009F4CB0">
        <w:fldChar w:fldCharType="end"/>
      </w:r>
      <w:r w:rsidR="009F4CB0">
        <w:noBreakHyphen/>
      </w:r>
      <w:r w:rsidR="009F4CB0">
        <w:fldChar w:fldCharType="begin"/>
      </w:r>
      <w:r w:rsidR="009F4CB0">
        <w:instrText xml:space="preserve"> SEQ Figure \* ARABIC \s 1 </w:instrText>
      </w:r>
      <w:r w:rsidR="009F4CB0">
        <w:fldChar w:fldCharType="separate"/>
      </w:r>
      <w:r w:rsidR="000E22F3">
        <w:rPr>
          <w:noProof/>
        </w:rPr>
        <w:t>7</w:t>
      </w:r>
      <w:r w:rsidR="009F4CB0">
        <w:fldChar w:fldCharType="end"/>
      </w:r>
      <w:r>
        <w:t xml:space="preserve">: </w:t>
      </w:r>
      <w:r w:rsidR="00560C5A" w:rsidRPr="00E277FB">
        <w:t>GAMM analysis for chlorophyll-a (Chl-a, µg/L, left column), particulate nitrogen (PN, µM, mid column) and dissolved inorganic nitrogen (DIN, µM, right column) collected from December 2005 to April 2014 (inclusive). First four plots in each column are for the partial effect plots and la</w:t>
      </w:r>
      <w:r w:rsidRPr="00E277FB">
        <w:t>st pot is the temporal analysis.</w:t>
      </w:r>
      <w:r w:rsidR="001D6FE0" w:rsidRPr="00E277FB">
        <w:t xml:space="preserve"> </w:t>
      </w:r>
      <w:r w:rsidR="00560C5A" w:rsidRPr="00E277FB">
        <w:t>Shade area stands for ±1 SE and rubs on x-axis stand for data density.</w:t>
      </w:r>
      <w:bookmarkEnd w:id="167"/>
    </w:p>
    <w:p w14:paraId="70AE1858" w14:textId="77777777" w:rsidR="00560C5A" w:rsidRPr="00560C5A" w:rsidRDefault="00560C5A" w:rsidP="0065493C">
      <w:pPr>
        <w:rPr>
          <w:rFonts w:cs="Courier New"/>
          <w:sz w:val="24"/>
          <w:szCs w:val="24"/>
        </w:rPr>
      </w:pPr>
      <w:r w:rsidRPr="00402D2B">
        <w:rPr>
          <w:noProof/>
        </w:rPr>
        <w:lastRenderedPageBreak/>
        <w:drawing>
          <wp:inline distT="0" distB="0" distL="0" distR="0" wp14:anchorId="4570275C" wp14:editId="1ADFB112">
            <wp:extent cx="4673600" cy="7010400"/>
            <wp:effectExtent l="0" t="0" r="0" b="0"/>
            <wp:docPr id="56" name="Picture 56" descr="GAMM analysis for particulate phosphorous (PP, µM, left column), dissolved inorganic phosphorous (DIP, µM, mid column) and silica (Si, µM, right column) collected from December, 2005 to April, 2014 (inclusive). First four plots in each column are for the partial effect plots and last pot is the temporal analysis (see text for explanation). Shade area stands for ±1 SE and rubs on x-axis stand for data density." title="Figure 4-8 GAMM analys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MM2013physfig.jpg"/>
                    <pic:cNvPicPr/>
                  </pic:nvPicPr>
                  <pic:blipFill>
                    <a:blip r:embed="rId86" cstate="screen">
                      <a:extLst>
                        <a:ext uri="{28A0092B-C50C-407E-A947-70E740481C1C}">
                          <a14:useLocalDpi xmlns:a14="http://schemas.microsoft.com/office/drawing/2010/main"/>
                        </a:ext>
                      </a:extLst>
                    </a:blip>
                    <a:stretch>
                      <a:fillRect/>
                    </a:stretch>
                  </pic:blipFill>
                  <pic:spPr>
                    <a:xfrm>
                      <a:off x="0" y="0"/>
                      <a:ext cx="4673520" cy="7010280"/>
                    </a:xfrm>
                    <a:prstGeom prst="rect">
                      <a:avLst/>
                    </a:prstGeom>
                  </pic:spPr>
                </pic:pic>
              </a:graphicData>
            </a:graphic>
          </wp:inline>
        </w:drawing>
      </w:r>
    </w:p>
    <w:p w14:paraId="61E8E21A" w14:textId="685B5360" w:rsidR="00560C5A" w:rsidRPr="00E277FB" w:rsidRDefault="00533D6A" w:rsidP="00E277FB">
      <w:pPr>
        <w:pStyle w:val="Caption"/>
      </w:pPr>
      <w:bookmarkStart w:id="168" w:name="_Toc454303913"/>
      <w:r>
        <w:t xml:space="preserve">Figure </w:t>
      </w:r>
      <w:r w:rsidR="009F4CB0">
        <w:fldChar w:fldCharType="begin"/>
      </w:r>
      <w:r w:rsidR="009F4CB0">
        <w:instrText xml:space="preserve"> STYLEREF 1 \s </w:instrText>
      </w:r>
      <w:r w:rsidR="009F4CB0">
        <w:fldChar w:fldCharType="separate"/>
      </w:r>
      <w:r w:rsidR="000E22F3">
        <w:rPr>
          <w:noProof/>
        </w:rPr>
        <w:t>4</w:t>
      </w:r>
      <w:r w:rsidR="009F4CB0">
        <w:fldChar w:fldCharType="end"/>
      </w:r>
      <w:r w:rsidR="009F4CB0">
        <w:noBreakHyphen/>
      </w:r>
      <w:r w:rsidR="009F4CB0">
        <w:fldChar w:fldCharType="begin"/>
      </w:r>
      <w:r w:rsidR="009F4CB0">
        <w:instrText xml:space="preserve"> SEQ Figure \* ARABIC \s 1 </w:instrText>
      </w:r>
      <w:r w:rsidR="009F4CB0">
        <w:fldChar w:fldCharType="separate"/>
      </w:r>
      <w:r w:rsidR="000E22F3">
        <w:rPr>
          <w:noProof/>
        </w:rPr>
        <w:t>8</w:t>
      </w:r>
      <w:r w:rsidR="009F4CB0">
        <w:fldChar w:fldCharType="end"/>
      </w:r>
      <w:r>
        <w:t xml:space="preserve">: </w:t>
      </w:r>
      <w:r w:rsidR="00560C5A" w:rsidRPr="00E277FB">
        <w:t>GAMM analysis for particulate phosphorous (PP, µM, left column), dissolved inorganic phosphorus (DIP, µM, mid column) and silica (Si, µM, right column) collected from December 2005 to April 2014 (inclusive). First four plots in each column are for the partial effect plots and last pot is the temporal analysis (see text for explanation). Shade area stands for ±1 SE and rubs on x-axis stand for data density.</w:t>
      </w:r>
      <w:bookmarkEnd w:id="168"/>
    </w:p>
    <w:p w14:paraId="3E36DC48" w14:textId="2AB00982" w:rsidR="00533D6A" w:rsidRDefault="00533D6A" w:rsidP="0065493C">
      <w:pPr>
        <w:rPr>
          <w:rFonts w:cs="Courier New"/>
          <w:sz w:val="24"/>
          <w:szCs w:val="24"/>
        </w:rPr>
      </w:pPr>
    </w:p>
    <w:p w14:paraId="3E698250" w14:textId="77777777" w:rsidR="002259B1" w:rsidRDefault="002259B1" w:rsidP="0065493C">
      <w:pPr>
        <w:rPr>
          <w:rFonts w:cs="Courier New"/>
          <w:sz w:val="24"/>
          <w:szCs w:val="24"/>
        </w:rPr>
      </w:pPr>
    </w:p>
    <w:p w14:paraId="75D09E98" w14:textId="7FE1B28B" w:rsidR="00BE1A79" w:rsidRDefault="00CE4005" w:rsidP="00B46AF9">
      <w:pPr>
        <w:pStyle w:val="Heading2"/>
      </w:pPr>
      <w:bookmarkStart w:id="169" w:name="_Toc454304714"/>
      <w:bookmarkStart w:id="170" w:name="_Toc443299481"/>
      <w:bookmarkStart w:id="171" w:name="_Toc443299694"/>
      <w:r w:rsidRPr="00AD57A0">
        <w:lastRenderedPageBreak/>
        <w:t xml:space="preserve">Data analysis – </w:t>
      </w:r>
      <w:r w:rsidR="00BE1A79">
        <w:t>Load dispersion maps, DIN</w:t>
      </w:r>
      <w:bookmarkEnd w:id="169"/>
    </w:p>
    <w:bookmarkEnd w:id="170"/>
    <w:bookmarkEnd w:id="171"/>
    <w:p w14:paraId="72C797D0" w14:textId="73C15BCA" w:rsidR="00B46AF9" w:rsidRPr="00AD57A0" w:rsidRDefault="00B46AF9" w:rsidP="00B46AF9">
      <w:pPr>
        <w:rPr>
          <w:rFonts w:cs="Courier New"/>
        </w:rPr>
      </w:pPr>
      <w:r w:rsidRPr="00AD57A0">
        <w:rPr>
          <w:rFonts w:cs="Courier New"/>
        </w:rPr>
        <w:t>After excluding outliers, a total of 403 match-ups were extracted for DIN measured in flood plume waters over 12 wet seasons (c.a., December to April, inclusive) form 2002</w:t>
      </w:r>
      <w:r w:rsidR="00445BD2">
        <w:rPr>
          <w:rFonts w:cs="Courier New"/>
        </w:rPr>
        <w:t>-20</w:t>
      </w:r>
      <w:r w:rsidRPr="00AD57A0">
        <w:rPr>
          <w:rFonts w:cs="Courier New"/>
        </w:rPr>
        <w:t>03 to 2013</w:t>
      </w:r>
      <w:r w:rsidR="00445BD2">
        <w:rPr>
          <w:rFonts w:cs="Courier New"/>
        </w:rPr>
        <w:t>-20</w:t>
      </w:r>
      <w:r w:rsidRPr="00AD57A0">
        <w:rPr>
          <w:rFonts w:cs="Courier New"/>
        </w:rPr>
        <w:t>14 under flow exceeding the 75</w:t>
      </w:r>
      <w:r w:rsidRPr="00AD57A0">
        <w:rPr>
          <w:rFonts w:cs="Courier New"/>
          <w:vertAlign w:val="superscript"/>
        </w:rPr>
        <w:t>th</w:t>
      </w:r>
      <w:r w:rsidRPr="00AD57A0">
        <w:rPr>
          <w:rFonts w:cs="Courier New"/>
        </w:rPr>
        <w:t xml:space="preserve"> percentile of long-term flow from 1970 to 2000. A summary of the in-situ DIN concentration per colour class is presented in Figure 4-</w:t>
      </w:r>
      <w:r w:rsidR="00CE397A">
        <w:rPr>
          <w:rFonts w:cs="Courier New"/>
        </w:rPr>
        <w:t>9</w:t>
      </w:r>
      <w:r w:rsidRPr="00AD57A0">
        <w:rPr>
          <w:rFonts w:cs="Courier New"/>
        </w:rPr>
        <w:t xml:space="preserve"> and Table 4-10.</w:t>
      </w:r>
      <w:r w:rsidRPr="00AD57A0">
        <w:t xml:space="preserve"> The development of a generic GBR wide model for pollutant dispersion required all data to be taken into consideration, accounting thus for all possible environmental variability, in time (12 years of data) and space (whole GBR). Variability is likely to occur among different rivers, mainly in function of differences in their biogeochemical processes. Due to the lack of robust data set for several rivers GBR wide, we opted for using a generic model for the whole GBR. Further work is continuing on the development of regionally specific pollutant load models.</w:t>
      </w:r>
    </w:p>
    <w:p w14:paraId="6E180A22" w14:textId="77777777" w:rsidR="00B46AF9" w:rsidRPr="00AD57A0" w:rsidRDefault="00B46AF9" w:rsidP="00B46AF9">
      <w:pPr>
        <w:jc w:val="center"/>
        <w:rPr>
          <w:rFonts w:cs="Courier New"/>
        </w:rPr>
      </w:pPr>
      <w:r w:rsidRPr="00AD57A0">
        <w:rPr>
          <w:noProof/>
        </w:rPr>
        <w:drawing>
          <wp:inline distT="0" distB="0" distL="0" distR="0" wp14:anchorId="51292506" wp14:editId="128ADB24">
            <wp:extent cx="3337489" cy="2825750"/>
            <wp:effectExtent l="0" t="0" r="0" b="0"/>
            <wp:docPr id="6" name="Picture 6" descr="In-situ dissolved inorganic nitrogen concentration (DIN, µM) sampled over 12 wet seasons (c.a., December to April inclusive) from 2002/03 to 2013/14 per colour class. Boxplot presents the mean (dark black line), ±1 SD (rectangle) and maximum-minimum value (vertical lines). Nudge was applied to data on x-axis for better data visualisation." title="Table 4-9. box plot of In-situ dissolved inorganic nitrogen concentration (DIN, µM) sampled over 12 wet seas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7" cstate="screen">
                      <a:extLst>
                        <a:ext uri="{28A0092B-C50C-407E-A947-70E740481C1C}">
                          <a14:useLocalDpi xmlns:a14="http://schemas.microsoft.com/office/drawing/2010/main"/>
                        </a:ext>
                      </a:extLst>
                    </a:blip>
                    <a:srcRect/>
                    <a:stretch/>
                  </pic:blipFill>
                  <pic:spPr bwMode="auto">
                    <a:xfrm>
                      <a:off x="0" y="0"/>
                      <a:ext cx="3345355" cy="2832410"/>
                    </a:xfrm>
                    <a:prstGeom prst="rect">
                      <a:avLst/>
                    </a:prstGeom>
                    <a:ln>
                      <a:noFill/>
                    </a:ln>
                    <a:extLst>
                      <a:ext uri="{53640926-AAD7-44D8-BBD7-CCE9431645EC}">
                        <a14:shadowObscured xmlns:a14="http://schemas.microsoft.com/office/drawing/2010/main"/>
                      </a:ext>
                    </a:extLst>
                  </pic:spPr>
                </pic:pic>
              </a:graphicData>
            </a:graphic>
          </wp:inline>
        </w:drawing>
      </w:r>
    </w:p>
    <w:p w14:paraId="2B49B90F" w14:textId="5C464538" w:rsidR="00B46AF9" w:rsidRPr="00AD57A0" w:rsidRDefault="00445BD2" w:rsidP="00445BD2">
      <w:pPr>
        <w:pStyle w:val="Caption"/>
      </w:pPr>
      <w:bookmarkStart w:id="172" w:name="_Toc454303914"/>
      <w:r>
        <w:t xml:space="preserve">Figure </w:t>
      </w:r>
      <w:r w:rsidR="009F4CB0">
        <w:fldChar w:fldCharType="begin"/>
      </w:r>
      <w:r w:rsidR="009F4CB0">
        <w:instrText xml:space="preserve"> STYLEREF 1 \s </w:instrText>
      </w:r>
      <w:r w:rsidR="009F4CB0">
        <w:fldChar w:fldCharType="separate"/>
      </w:r>
      <w:r w:rsidR="000E22F3">
        <w:rPr>
          <w:noProof/>
        </w:rPr>
        <w:t>4</w:t>
      </w:r>
      <w:r w:rsidR="009F4CB0">
        <w:fldChar w:fldCharType="end"/>
      </w:r>
      <w:r w:rsidR="009F4CB0">
        <w:noBreakHyphen/>
      </w:r>
      <w:r w:rsidR="009F4CB0">
        <w:fldChar w:fldCharType="begin"/>
      </w:r>
      <w:r w:rsidR="009F4CB0">
        <w:instrText xml:space="preserve"> SEQ Figure \* ARABIC \s 1 </w:instrText>
      </w:r>
      <w:r w:rsidR="009F4CB0">
        <w:fldChar w:fldCharType="separate"/>
      </w:r>
      <w:r w:rsidR="000E22F3">
        <w:rPr>
          <w:noProof/>
        </w:rPr>
        <w:t>9</w:t>
      </w:r>
      <w:r w:rsidR="009F4CB0">
        <w:fldChar w:fldCharType="end"/>
      </w:r>
      <w:r w:rsidR="00B46AF9" w:rsidRPr="00AD57A0">
        <w:t>: In-situ dissolved inorganic nitrogen concentration (DIN, µM) sampled over 12 wet seasons (c.a., December to April inclusive) from 2002/03 to 2013/14 per colour class. Boxplot presents the mean (dark black line), ±1 SD (rectangle) and maximum-minimum value (vertical lines). Nudge was applied to data on x-axis for better data visuali</w:t>
      </w:r>
      <w:r>
        <w:t>s</w:t>
      </w:r>
      <w:r w:rsidR="00B46AF9" w:rsidRPr="00AD57A0">
        <w:t>ation.</w:t>
      </w:r>
      <w:bookmarkEnd w:id="172"/>
    </w:p>
    <w:p w14:paraId="464D2DEB" w14:textId="77777777" w:rsidR="00B46AF9" w:rsidRPr="00AD57A0" w:rsidRDefault="00B46AF9" w:rsidP="00B46AF9">
      <w:pPr>
        <w:tabs>
          <w:tab w:val="left" w:pos="6504"/>
        </w:tabs>
        <w:rPr>
          <w:rFonts w:cs="Courier New"/>
        </w:rPr>
      </w:pPr>
    </w:p>
    <w:p w14:paraId="19E7766D" w14:textId="377EAAE5" w:rsidR="00B46AF9" w:rsidRPr="00AD57A0" w:rsidRDefault="00445BD2" w:rsidP="00445BD2">
      <w:pPr>
        <w:pStyle w:val="Caption"/>
      </w:pPr>
      <w:bookmarkStart w:id="173" w:name="_Toc454304615"/>
      <w:r>
        <w:t xml:space="preserve">Table </w:t>
      </w:r>
      <w:r>
        <w:fldChar w:fldCharType="begin"/>
      </w:r>
      <w:r>
        <w:instrText xml:space="preserve"> STYLEREF 1 \s </w:instrText>
      </w:r>
      <w:r>
        <w:fldChar w:fldCharType="separate"/>
      </w:r>
      <w:r w:rsidR="000E22F3">
        <w:rPr>
          <w:noProof/>
        </w:rPr>
        <w:t>4</w:t>
      </w:r>
      <w:r>
        <w:fldChar w:fldCharType="end"/>
      </w:r>
      <w:r>
        <w:noBreakHyphen/>
      </w:r>
      <w:r>
        <w:fldChar w:fldCharType="begin"/>
      </w:r>
      <w:r>
        <w:instrText xml:space="preserve"> SEQ Table \* ARABIC \s 1 </w:instrText>
      </w:r>
      <w:r>
        <w:fldChar w:fldCharType="separate"/>
      </w:r>
      <w:r w:rsidR="000E22F3">
        <w:rPr>
          <w:noProof/>
        </w:rPr>
        <w:t>10</w:t>
      </w:r>
      <w:r>
        <w:fldChar w:fldCharType="end"/>
      </w:r>
      <w:r w:rsidR="00B46AF9" w:rsidRPr="00AD57A0">
        <w:t>: Summary of the ANOVA mode fitted to in-situ DIN concentrations (mean ± 1 SD, in µM), sampled over 12 wet seasons (c.a., December to April inclusive) from 2002/03 to 2013/14, within each colour class (n stands for the number of observations after excluding outliers).</w:t>
      </w:r>
      <w:bookmarkEnd w:id="173"/>
    </w:p>
    <w:tbl>
      <w:tblPr>
        <w:tblW w:w="0" w:type="auto"/>
        <w:jc w:val="center"/>
        <w:tblLook w:val="04A0" w:firstRow="1" w:lastRow="0" w:firstColumn="1" w:lastColumn="0" w:noHBand="0" w:noVBand="1"/>
        <w:tblCaption w:val="Table 4-10"/>
        <w:tblDescription w:val="Summary of the ANOVA mode fitted to in-situ DIN concentrations (mean ± 1 SD, in µM), sampled over 12 wet seasons (c.a., December to April inclusive) from 2002/03 to 2013/14, within each colour class (n stands for the number of observations after excluding outliers)."/>
      </w:tblPr>
      <w:tblGrid>
        <w:gridCol w:w="1658"/>
        <w:gridCol w:w="2139"/>
      </w:tblGrid>
      <w:tr w:rsidR="00B46AF9" w:rsidRPr="00445BD2" w14:paraId="4EC58FB5" w14:textId="77777777" w:rsidTr="00B46AF9">
        <w:trPr>
          <w:trHeight w:val="300"/>
          <w:jc w:val="center"/>
        </w:trPr>
        <w:tc>
          <w:tcPr>
            <w:tcW w:w="0" w:type="auto"/>
            <w:tcBorders>
              <w:top w:val="single" w:sz="4" w:space="0" w:color="auto"/>
              <w:left w:val="nil"/>
              <w:bottom w:val="single" w:sz="4" w:space="0" w:color="auto"/>
              <w:right w:val="nil"/>
            </w:tcBorders>
            <w:shd w:val="clear" w:color="auto" w:fill="auto"/>
            <w:noWrap/>
            <w:vAlign w:val="bottom"/>
            <w:hideMark/>
          </w:tcPr>
          <w:p w14:paraId="5FB6F635" w14:textId="77777777" w:rsidR="00B46AF9" w:rsidRPr="00445BD2" w:rsidRDefault="00B46AF9" w:rsidP="00B46AF9">
            <w:pPr>
              <w:spacing w:before="0" w:after="0"/>
              <w:jc w:val="left"/>
              <w:rPr>
                <w:rFonts w:ascii="Calibri" w:hAnsi="Calibri" w:cs="Times New Roman"/>
                <w:color w:val="000000"/>
                <w:sz w:val="20"/>
                <w:szCs w:val="20"/>
              </w:rPr>
            </w:pPr>
            <w:r w:rsidRPr="00445BD2">
              <w:rPr>
                <w:rFonts w:ascii="Calibri" w:hAnsi="Calibri" w:cs="Times New Roman"/>
                <w:color w:val="000000"/>
                <w:sz w:val="20"/>
                <w:szCs w:val="20"/>
              </w:rPr>
              <w:t>Plume water type</w:t>
            </w:r>
          </w:p>
        </w:tc>
        <w:tc>
          <w:tcPr>
            <w:tcW w:w="0" w:type="auto"/>
            <w:tcBorders>
              <w:top w:val="single" w:sz="4" w:space="0" w:color="auto"/>
              <w:left w:val="nil"/>
              <w:bottom w:val="single" w:sz="4" w:space="0" w:color="auto"/>
              <w:right w:val="nil"/>
            </w:tcBorders>
            <w:shd w:val="clear" w:color="auto" w:fill="auto"/>
            <w:noWrap/>
            <w:vAlign w:val="bottom"/>
            <w:hideMark/>
          </w:tcPr>
          <w:p w14:paraId="09103B74" w14:textId="77777777" w:rsidR="00B46AF9" w:rsidRPr="00445BD2" w:rsidRDefault="00B46AF9" w:rsidP="00B46AF9">
            <w:pPr>
              <w:spacing w:before="0" w:after="0"/>
              <w:jc w:val="center"/>
              <w:rPr>
                <w:rFonts w:ascii="Calibri" w:hAnsi="Calibri" w:cs="Times New Roman"/>
                <w:color w:val="000000"/>
                <w:sz w:val="20"/>
                <w:szCs w:val="20"/>
              </w:rPr>
            </w:pPr>
            <w:r w:rsidRPr="00445BD2">
              <w:rPr>
                <w:rFonts w:ascii="Calibri" w:hAnsi="Calibri" w:cs="Times New Roman"/>
                <w:color w:val="000000"/>
                <w:sz w:val="20"/>
                <w:szCs w:val="20"/>
              </w:rPr>
              <w:t>DIN (µM, mean ±1 SE)</w:t>
            </w:r>
          </w:p>
        </w:tc>
      </w:tr>
      <w:tr w:rsidR="00B46AF9" w:rsidRPr="00445BD2" w14:paraId="4DFCA0B2" w14:textId="77777777" w:rsidTr="00B46AF9">
        <w:trPr>
          <w:trHeight w:val="288"/>
          <w:jc w:val="center"/>
        </w:trPr>
        <w:tc>
          <w:tcPr>
            <w:tcW w:w="0" w:type="auto"/>
            <w:tcBorders>
              <w:top w:val="nil"/>
              <w:left w:val="nil"/>
              <w:bottom w:val="nil"/>
              <w:right w:val="nil"/>
            </w:tcBorders>
            <w:shd w:val="clear" w:color="auto" w:fill="auto"/>
            <w:noWrap/>
            <w:vAlign w:val="bottom"/>
            <w:hideMark/>
          </w:tcPr>
          <w:p w14:paraId="0C26DFEF" w14:textId="77777777" w:rsidR="00B46AF9" w:rsidRPr="00445BD2" w:rsidRDefault="00B46AF9" w:rsidP="00B46AF9">
            <w:pPr>
              <w:spacing w:before="0" w:after="0"/>
              <w:jc w:val="left"/>
              <w:rPr>
                <w:rFonts w:ascii="Calibri" w:hAnsi="Calibri" w:cs="Times New Roman"/>
                <w:color w:val="000000"/>
                <w:sz w:val="20"/>
                <w:szCs w:val="20"/>
              </w:rPr>
            </w:pPr>
            <w:r w:rsidRPr="00445BD2">
              <w:rPr>
                <w:rFonts w:ascii="Calibri" w:hAnsi="Calibri" w:cs="Times New Roman"/>
                <w:color w:val="000000"/>
                <w:sz w:val="20"/>
                <w:szCs w:val="20"/>
              </w:rPr>
              <w:t>model stats</w:t>
            </w:r>
          </w:p>
        </w:tc>
        <w:tc>
          <w:tcPr>
            <w:tcW w:w="0" w:type="auto"/>
            <w:tcBorders>
              <w:top w:val="nil"/>
              <w:left w:val="nil"/>
              <w:bottom w:val="nil"/>
              <w:right w:val="nil"/>
            </w:tcBorders>
            <w:shd w:val="clear" w:color="auto" w:fill="auto"/>
            <w:noWrap/>
            <w:vAlign w:val="bottom"/>
            <w:hideMark/>
          </w:tcPr>
          <w:p w14:paraId="4A698ABF" w14:textId="77777777" w:rsidR="00B46AF9" w:rsidRPr="00445BD2" w:rsidRDefault="00B46AF9" w:rsidP="00B46AF9">
            <w:pPr>
              <w:spacing w:before="0" w:after="0"/>
              <w:jc w:val="center"/>
              <w:rPr>
                <w:rFonts w:ascii="Calibri" w:hAnsi="Calibri" w:cs="Times New Roman"/>
                <w:color w:val="000000"/>
                <w:sz w:val="20"/>
                <w:szCs w:val="20"/>
              </w:rPr>
            </w:pPr>
            <w:r w:rsidRPr="00445BD2">
              <w:rPr>
                <w:rFonts w:ascii="Calibri" w:hAnsi="Calibri" w:cs="Times New Roman"/>
                <w:color w:val="000000"/>
                <w:sz w:val="20"/>
                <w:szCs w:val="20"/>
              </w:rPr>
              <w:t>Adj.r-sq = 0.31, p &lt; 0.01</w:t>
            </w:r>
          </w:p>
        </w:tc>
      </w:tr>
      <w:tr w:rsidR="00B46AF9" w:rsidRPr="00445BD2" w14:paraId="4EF272AF" w14:textId="77777777" w:rsidTr="00B46AF9">
        <w:trPr>
          <w:trHeight w:val="288"/>
          <w:jc w:val="center"/>
        </w:trPr>
        <w:tc>
          <w:tcPr>
            <w:tcW w:w="0" w:type="auto"/>
            <w:tcBorders>
              <w:top w:val="nil"/>
              <w:left w:val="nil"/>
              <w:bottom w:val="nil"/>
              <w:right w:val="nil"/>
            </w:tcBorders>
            <w:shd w:val="clear" w:color="auto" w:fill="auto"/>
            <w:noWrap/>
            <w:vAlign w:val="bottom"/>
            <w:hideMark/>
          </w:tcPr>
          <w:p w14:paraId="6FADA84C" w14:textId="77777777" w:rsidR="00B46AF9" w:rsidRPr="00445BD2" w:rsidRDefault="00B46AF9" w:rsidP="00B46AF9">
            <w:pPr>
              <w:spacing w:before="0" w:after="0"/>
              <w:jc w:val="left"/>
              <w:rPr>
                <w:rFonts w:ascii="Calibri" w:hAnsi="Calibri" w:cs="Times New Roman"/>
                <w:color w:val="000000"/>
                <w:sz w:val="20"/>
                <w:szCs w:val="20"/>
              </w:rPr>
            </w:pPr>
            <w:r w:rsidRPr="00445BD2">
              <w:rPr>
                <w:rFonts w:ascii="Calibri" w:hAnsi="Calibri" w:cs="Times New Roman"/>
                <w:color w:val="000000"/>
                <w:sz w:val="20"/>
                <w:szCs w:val="20"/>
              </w:rPr>
              <w:t>1</w:t>
            </w:r>
          </w:p>
        </w:tc>
        <w:tc>
          <w:tcPr>
            <w:tcW w:w="0" w:type="auto"/>
            <w:tcBorders>
              <w:top w:val="nil"/>
              <w:left w:val="nil"/>
              <w:bottom w:val="nil"/>
              <w:right w:val="nil"/>
            </w:tcBorders>
            <w:shd w:val="clear" w:color="auto" w:fill="auto"/>
            <w:noWrap/>
            <w:vAlign w:val="bottom"/>
            <w:hideMark/>
          </w:tcPr>
          <w:p w14:paraId="741E716E" w14:textId="77777777" w:rsidR="00B46AF9" w:rsidRPr="00445BD2" w:rsidRDefault="00B46AF9" w:rsidP="00B46AF9">
            <w:pPr>
              <w:spacing w:before="0" w:after="0"/>
              <w:jc w:val="center"/>
              <w:rPr>
                <w:rFonts w:ascii="Calibri" w:hAnsi="Calibri" w:cs="Times New Roman"/>
                <w:color w:val="000000"/>
                <w:sz w:val="20"/>
                <w:szCs w:val="20"/>
              </w:rPr>
            </w:pPr>
            <w:r w:rsidRPr="00445BD2">
              <w:rPr>
                <w:rFonts w:ascii="Calibri" w:hAnsi="Calibri" w:cs="Times New Roman"/>
                <w:color w:val="000000"/>
                <w:sz w:val="20"/>
                <w:szCs w:val="20"/>
              </w:rPr>
              <w:t>5.14 ± 0.07 (n = 27)</w:t>
            </w:r>
          </w:p>
        </w:tc>
      </w:tr>
      <w:tr w:rsidR="00B46AF9" w:rsidRPr="00445BD2" w14:paraId="7289267A" w14:textId="77777777" w:rsidTr="00B46AF9">
        <w:trPr>
          <w:trHeight w:val="288"/>
          <w:jc w:val="center"/>
        </w:trPr>
        <w:tc>
          <w:tcPr>
            <w:tcW w:w="0" w:type="auto"/>
            <w:tcBorders>
              <w:top w:val="nil"/>
              <w:left w:val="nil"/>
              <w:bottom w:val="nil"/>
              <w:right w:val="nil"/>
            </w:tcBorders>
            <w:shd w:val="clear" w:color="auto" w:fill="auto"/>
            <w:noWrap/>
            <w:vAlign w:val="bottom"/>
            <w:hideMark/>
          </w:tcPr>
          <w:p w14:paraId="462688CD" w14:textId="77777777" w:rsidR="00B46AF9" w:rsidRPr="00445BD2" w:rsidRDefault="00B46AF9" w:rsidP="00B46AF9">
            <w:pPr>
              <w:spacing w:before="0" w:after="0"/>
              <w:jc w:val="left"/>
              <w:rPr>
                <w:rFonts w:ascii="Calibri" w:hAnsi="Calibri" w:cs="Times New Roman"/>
                <w:color w:val="000000"/>
                <w:sz w:val="20"/>
                <w:szCs w:val="20"/>
              </w:rPr>
            </w:pPr>
            <w:r w:rsidRPr="00445BD2">
              <w:rPr>
                <w:rFonts w:ascii="Calibri" w:hAnsi="Calibri" w:cs="Times New Roman"/>
                <w:color w:val="000000"/>
                <w:sz w:val="20"/>
                <w:szCs w:val="20"/>
              </w:rPr>
              <w:t>2</w:t>
            </w:r>
          </w:p>
        </w:tc>
        <w:tc>
          <w:tcPr>
            <w:tcW w:w="0" w:type="auto"/>
            <w:tcBorders>
              <w:top w:val="nil"/>
              <w:left w:val="nil"/>
              <w:bottom w:val="nil"/>
              <w:right w:val="nil"/>
            </w:tcBorders>
            <w:shd w:val="clear" w:color="auto" w:fill="auto"/>
            <w:noWrap/>
            <w:vAlign w:val="bottom"/>
            <w:hideMark/>
          </w:tcPr>
          <w:p w14:paraId="4F5B0986" w14:textId="77777777" w:rsidR="00B46AF9" w:rsidRPr="00445BD2" w:rsidRDefault="00B46AF9" w:rsidP="00B46AF9">
            <w:pPr>
              <w:spacing w:before="0" w:after="0"/>
              <w:jc w:val="center"/>
              <w:rPr>
                <w:rFonts w:ascii="Calibri" w:hAnsi="Calibri" w:cs="Times New Roman"/>
                <w:color w:val="000000"/>
                <w:sz w:val="20"/>
                <w:szCs w:val="20"/>
              </w:rPr>
            </w:pPr>
            <w:r w:rsidRPr="00445BD2">
              <w:rPr>
                <w:rFonts w:ascii="Calibri" w:hAnsi="Calibri" w:cs="Times New Roman"/>
                <w:color w:val="000000"/>
                <w:sz w:val="20"/>
                <w:szCs w:val="20"/>
              </w:rPr>
              <w:t>3.35 ± 0.1 (n = 28)</w:t>
            </w:r>
          </w:p>
        </w:tc>
      </w:tr>
      <w:tr w:rsidR="00B46AF9" w:rsidRPr="00445BD2" w14:paraId="37DBA1EB" w14:textId="77777777" w:rsidTr="00B46AF9">
        <w:trPr>
          <w:trHeight w:val="288"/>
          <w:jc w:val="center"/>
        </w:trPr>
        <w:tc>
          <w:tcPr>
            <w:tcW w:w="0" w:type="auto"/>
            <w:tcBorders>
              <w:top w:val="nil"/>
              <w:left w:val="nil"/>
              <w:bottom w:val="nil"/>
              <w:right w:val="nil"/>
            </w:tcBorders>
            <w:shd w:val="clear" w:color="auto" w:fill="auto"/>
            <w:noWrap/>
            <w:vAlign w:val="bottom"/>
            <w:hideMark/>
          </w:tcPr>
          <w:p w14:paraId="12961D7E" w14:textId="77777777" w:rsidR="00B46AF9" w:rsidRPr="00445BD2" w:rsidRDefault="00B46AF9" w:rsidP="00B46AF9">
            <w:pPr>
              <w:spacing w:before="0" w:after="0"/>
              <w:jc w:val="left"/>
              <w:rPr>
                <w:rFonts w:ascii="Calibri" w:hAnsi="Calibri" w:cs="Times New Roman"/>
                <w:color w:val="000000"/>
                <w:sz w:val="20"/>
                <w:szCs w:val="20"/>
              </w:rPr>
            </w:pPr>
            <w:r w:rsidRPr="00445BD2">
              <w:rPr>
                <w:rFonts w:ascii="Calibri" w:hAnsi="Calibri" w:cs="Times New Roman"/>
                <w:color w:val="000000"/>
                <w:sz w:val="20"/>
                <w:szCs w:val="20"/>
              </w:rPr>
              <w:t>3</w:t>
            </w:r>
          </w:p>
        </w:tc>
        <w:tc>
          <w:tcPr>
            <w:tcW w:w="0" w:type="auto"/>
            <w:tcBorders>
              <w:top w:val="nil"/>
              <w:left w:val="nil"/>
              <w:bottom w:val="nil"/>
              <w:right w:val="nil"/>
            </w:tcBorders>
            <w:shd w:val="clear" w:color="auto" w:fill="auto"/>
            <w:noWrap/>
            <w:vAlign w:val="bottom"/>
            <w:hideMark/>
          </w:tcPr>
          <w:p w14:paraId="23F63854" w14:textId="77777777" w:rsidR="00B46AF9" w:rsidRPr="00445BD2" w:rsidRDefault="00B46AF9" w:rsidP="00B46AF9">
            <w:pPr>
              <w:spacing w:before="0" w:after="0"/>
              <w:jc w:val="center"/>
              <w:rPr>
                <w:rFonts w:ascii="Calibri" w:hAnsi="Calibri" w:cs="Times New Roman"/>
                <w:color w:val="000000"/>
                <w:sz w:val="20"/>
                <w:szCs w:val="20"/>
              </w:rPr>
            </w:pPr>
            <w:r w:rsidRPr="00445BD2">
              <w:rPr>
                <w:rFonts w:ascii="Calibri" w:hAnsi="Calibri" w:cs="Times New Roman"/>
                <w:color w:val="000000"/>
                <w:sz w:val="20"/>
                <w:szCs w:val="20"/>
              </w:rPr>
              <w:t>2.24 ± 0.1 (n = 23)</w:t>
            </w:r>
          </w:p>
        </w:tc>
      </w:tr>
      <w:tr w:rsidR="00B46AF9" w:rsidRPr="00445BD2" w14:paraId="6D13855B" w14:textId="77777777" w:rsidTr="00B46AF9">
        <w:trPr>
          <w:trHeight w:val="288"/>
          <w:jc w:val="center"/>
        </w:trPr>
        <w:tc>
          <w:tcPr>
            <w:tcW w:w="0" w:type="auto"/>
            <w:tcBorders>
              <w:top w:val="nil"/>
              <w:left w:val="nil"/>
              <w:bottom w:val="nil"/>
              <w:right w:val="nil"/>
            </w:tcBorders>
            <w:shd w:val="clear" w:color="auto" w:fill="auto"/>
            <w:noWrap/>
            <w:vAlign w:val="bottom"/>
            <w:hideMark/>
          </w:tcPr>
          <w:p w14:paraId="7FDF7F12" w14:textId="77777777" w:rsidR="00B46AF9" w:rsidRPr="00445BD2" w:rsidRDefault="00B46AF9" w:rsidP="00B46AF9">
            <w:pPr>
              <w:spacing w:before="0" w:after="0"/>
              <w:jc w:val="left"/>
              <w:rPr>
                <w:rFonts w:ascii="Calibri" w:hAnsi="Calibri" w:cs="Times New Roman"/>
                <w:color w:val="000000"/>
                <w:sz w:val="20"/>
                <w:szCs w:val="20"/>
              </w:rPr>
            </w:pPr>
            <w:r w:rsidRPr="00445BD2">
              <w:rPr>
                <w:rFonts w:ascii="Calibri" w:hAnsi="Calibri" w:cs="Times New Roman"/>
                <w:color w:val="000000"/>
                <w:sz w:val="20"/>
                <w:szCs w:val="20"/>
              </w:rPr>
              <w:t>4</w:t>
            </w:r>
          </w:p>
        </w:tc>
        <w:tc>
          <w:tcPr>
            <w:tcW w:w="0" w:type="auto"/>
            <w:tcBorders>
              <w:top w:val="nil"/>
              <w:left w:val="nil"/>
              <w:bottom w:val="nil"/>
              <w:right w:val="nil"/>
            </w:tcBorders>
            <w:shd w:val="clear" w:color="auto" w:fill="auto"/>
            <w:noWrap/>
            <w:vAlign w:val="bottom"/>
            <w:hideMark/>
          </w:tcPr>
          <w:p w14:paraId="3C1AD96A" w14:textId="77777777" w:rsidR="00B46AF9" w:rsidRPr="00445BD2" w:rsidRDefault="00B46AF9" w:rsidP="00B46AF9">
            <w:pPr>
              <w:spacing w:before="0" w:after="0"/>
              <w:jc w:val="center"/>
              <w:rPr>
                <w:rFonts w:ascii="Calibri" w:hAnsi="Calibri" w:cs="Times New Roman"/>
                <w:color w:val="000000"/>
                <w:sz w:val="20"/>
                <w:szCs w:val="20"/>
              </w:rPr>
            </w:pPr>
            <w:r w:rsidRPr="00445BD2">
              <w:rPr>
                <w:rFonts w:ascii="Calibri" w:hAnsi="Calibri" w:cs="Times New Roman"/>
                <w:color w:val="000000"/>
                <w:sz w:val="20"/>
                <w:szCs w:val="20"/>
              </w:rPr>
              <w:t>2.08 ± 0.08 (n = 112)</w:t>
            </w:r>
          </w:p>
        </w:tc>
      </w:tr>
      <w:tr w:rsidR="00B46AF9" w:rsidRPr="00445BD2" w14:paraId="29CB39A4" w14:textId="77777777" w:rsidTr="00B46AF9">
        <w:trPr>
          <w:trHeight w:val="288"/>
          <w:jc w:val="center"/>
        </w:trPr>
        <w:tc>
          <w:tcPr>
            <w:tcW w:w="0" w:type="auto"/>
            <w:tcBorders>
              <w:top w:val="nil"/>
              <w:left w:val="nil"/>
              <w:bottom w:val="nil"/>
              <w:right w:val="nil"/>
            </w:tcBorders>
            <w:shd w:val="clear" w:color="auto" w:fill="auto"/>
            <w:noWrap/>
            <w:vAlign w:val="bottom"/>
            <w:hideMark/>
          </w:tcPr>
          <w:p w14:paraId="20EFE9B3" w14:textId="77777777" w:rsidR="00B46AF9" w:rsidRPr="00445BD2" w:rsidRDefault="00B46AF9" w:rsidP="00B46AF9">
            <w:pPr>
              <w:spacing w:before="0" w:after="0"/>
              <w:jc w:val="left"/>
              <w:rPr>
                <w:rFonts w:ascii="Calibri" w:hAnsi="Calibri" w:cs="Times New Roman"/>
                <w:color w:val="000000"/>
                <w:sz w:val="20"/>
                <w:szCs w:val="20"/>
              </w:rPr>
            </w:pPr>
            <w:r w:rsidRPr="00445BD2">
              <w:rPr>
                <w:rFonts w:ascii="Calibri" w:hAnsi="Calibri" w:cs="Times New Roman"/>
                <w:color w:val="000000"/>
                <w:sz w:val="20"/>
                <w:szCs w:val="20"/>
              </w:rPr>
              <w:t>5</w:t>
            </w:r>
          </w:p>
        </w:tc>
        <w:tc>
          <w:tcPr>
            <w:tcW w:w="0" w:type="auto"/>
            <w:tcBorders>
              <w:top w:val="nil"/>
              <w:left w:val="nil"/>
              <w:bottom w:val="nil"/>
              <w:right w:val="nil"/>
            </w:tcBorders>
            <w:shd w:val="clear" w:color="auto" w:fill="auto"/>
            <w:noWrap/>
            <w:vAlign w:val="bottom"/>
            <w:hideMark/>
          </w:tcPr>
          <w:p w14:paraId="2EE53266" w14:textId="77777777" w:rsidR="00B46AF9" w:rsidRPr="00445BD2" w:rsidRDefault="00B46AF9" w:rsidP="00B46AF9">
            <w:pPr>
              <w:spacing w:before="0" w:after="0"/>
              <w:jc w:val="center"/>
              <w:rPr>
                <w:rFonts w:ascii="Calibri" w:hAnsi="Calibri" w:cs="Times New Roman"/>
                <w:color w:val="000000"/>
                <w:sz w:val="20"/>
                <w:szCs w:val="20"/>
              </w:rPr>
            </w:pPr>
            <w:r w:rsidRPr="00445BD2">
              <w:rPr>
                <w:rFonts w:ascii="Calibri" w:hAnsi="Calibri" w:cs="Times New Roman"/>
                <w:color w:val="000000"/>
                <w:sz w:val="20"/>
                <w:szCs w:val="20"/>
              </w:rPr>
              <w:t>1.65 ± 0.07 (n = 182)</w:t>
            </w:r>
          </w:p>
        </w:tc>
      </w:tr>
      <w:tr w:rsidR="00B46AF9" w:rsidRPr="00445BD2" w14:paraId="485B1FF6" w14:textId="77777777" w:rsidTr="00B46AF9">
        <w:trPr>
          <w:trHeight w:val="288"/>
          <w:jc w:val="center"/>
        </w:trPr>
        <w:tc>
          <w:tcPr>
            <w:tcW w:w="0" w:type="auto"/>
            <w:tcBorders>
              <w:top w:val="nil"/>
              <w:left w:val="nil"/>
              <w:bottom w:val="single" w:sz="4" w:space="0" w:color="auto"/>
              <w:right w:val="nil"/>
            </w:tcBorders>
            <w:shd w:val="clear" w:color="auto" w:fill="auto"/>
            <w:noWrap/>
            <w:vAlign w:val="bottom"/>
            <w:hideMark/>
          </w:tcPr>
          <w:p w14:paraId="746F0019" w14:textId="77777777" w:rsidR="00B46AF9" w:rsidRPr="00445BD2" w:rsidRDefault="00B46AF9" w:rsidP="00B46AF9">
            <w:pPr>
              <w:spacing w:before="0" w:after="0"/>
              <w:jc w:val="left"/>
              <w:rPr>
                <w:rFonts w:ascii="Calibri" w:hAnsi="Calibri" w:cs="Times New Roman"/>
                <w:color w:val="000000"/>
                <w:sz w:val="20"/>
                <w:szCs w:val="20"/>
              </w:rPr>
            </w:pPr>
            <w:r w:rsidRPr="00445BD2">
              <w:rPr>
                <w:rFonts w:ascii="Calibri" w:hAnsi="Calibri" w:cs="Times New Roman"/>
                <w:color w:val="000000"/>
                <w:sz w:val="20"/>
                <w:szCs w:val="20"/>
              </w:rPr>
              <w:t>6</w:t>
            </w:r>
          </w:p>
        </w:tc>
        <w:tc>
          <w:tcPr>
            <w:tcW w:w="0" w:type="auto"/>
            <w:tcBorders>
              <w:top w:val="nil"/>
              <w:left w:val="nil"/>
              <w:bottom w:val="single" w:sz="4" w:space="0" w:color="auto"/>
              <w:right w:val="nil"/>
            </w:tcBorders>
            <w:shd w:val="clear" w:color="auto" w:fill="auto"/>
            <w:noWrap/>
            <w:vAlign w:val="bottom"/>
            <w:hideMark/>
          </w:tcPr>
          <w:p w14:paraId="6163AFC6" w14:textId="77777777" w:rsidR="00B46AF9" w:rsidRPr="00445BD2" w:rsidRDefault="00B46AF9" w:rsidP="00B46AF9">
            <w:pPr>
              <w:spacing w:before="0" w:after="0"/>
              <w:jc w:val="center"/>
              <w:rPr>
                <w:rFonts w:ascii="Calibri" w:hAnsi="Calibri" w:cs="Times New Roman"/>
                <w:color w:val="000000"/>
                <w:sz w:val="20"/>
                <w:szCs w:val="20"/>
              </w:rPr>
            </w:pPr>
            <w:r w:rsidRPr="00445BD2">
              <w:rPr>
                <w:rFonts w:ascii="Calibri" w:hAnsi="Calibri" w:cs="Times New Roman"/>
                <w:color w:val="000000"/>
                <w:sz w:val="20"/>
                <w:szCs w:val="20"/>
              </w:rPr>
              <w:t>1.48 ± 0.09 (n = 31)</w:t>
            </w:r>
          </w:p>
        </w:tc>
      </w:tr>
    </w:tbl>
    <w:p w14:paraId="6AE602D2" w14:textId="1C959D2B" w:rsidR="00B46AF9" w:rsidRPr="00AD57A0" w:rsidRDefault="00AD1ED7" w:rsidP="00B46AF9">
      <w:pPr>
        <w:rPr>
          <w:rFonts w:cs="Courier New"/>
        </w:rPr>
      </w:pPr>
      <w:r w:rsidRPr="00AD57A0">
        <w:rPr>
          <w:noProof/>
        </w:rPr>
        <w:lastRenderedPageBreak/>
        <w:t xml:space="preserve">A colour class 7 was attributed to the DIN model, because it </w:t>
      </w:r>
      <w:r w:rsidR="00C865BF" w:rsidRPr="00AD57A0">
        <w:rPr>
          <w:noProof/>
        </w:rPr>
        <w:t>represents</w:t>
      </w:r>
      <w:r w:rsidRPr="00AD57A0">
        <w:rPr>
          <w:noProof/>
        </w:rPr>
        <w:t xml:space="preserve"> an annual load dispersion integration, so it was assumed it would be constrained to </w:t>
      </w:r>
      <w:r w:rsidRPr="00AD57A0">
        <w:t xml:space="preserve">a potential maximum annual plume extent (c.a., 800 km), which was derived from a hydrodynamic model simulation </w:t>
      </w:r>
      <w:r w:rsidRPr="00AD57A0">
        <w:fldChar w:fldCharType="begin"/>
      </w:r>
      <w:r w:rsidRPr="00AD57A0">
        <w:instrText xml:space="preserve"> ADDIN ZOTERO_ITEM CSL_CITATION {"citationID":"1n7n2hl8dr","properties":{"formattedCitation":"(Luick et al., 2007)","plainCitation":"(Luick et al., 2007)"},"citationItems":[{"id":122,"uris":["http://zotero.org/users/2324349/items/6GZ2FM2Z"],"uri":["http://zotero.org/users/2324349/items/6GZ2FM2Z"],"itemData":{"id":122,"type":"article-journal","title":"Circulation in the Great Barrier Reef Lagoon using numerical tracers and in situ data","container-title":"Continental Shelf Research","page":"757-778","volume":"27","issue":"6","source":"ScienceDirect","abstract":"Numerical hydrodynamic models of the northeastern Queensland shelf, forced by regional winds and modelled boundary currents in the northern Coral Sea, are used to provide improved estimates of general flow trajectories and water residence times within the Great Barrier Reef (GBR) shelf system. Model performance was checked against a limited set of current metre records obtained at Lark Reef (16°S) and the Ribbon Reefs (15.5°S). Estimates of water parcel trajectories are derived from a series of numerical tracer experiments, with daily releases of neutrally buoyant, un-reactive particles at 320 sites along the coast between Cape York (10.7°S) and Hervey Bay (25°S). Flow trajectories and residence times for tracer particles introduced to the GBR lagoon in the southern—ca. 22°S, central—19°S, and northern reef—14°S are emphasised. For purposes of the analysis, the year was divided into two seasons based on mean alongshore current direction. Most coastal sourced tracers entering the central GBR lagoon between 16° and 20°S during the northward-current season (January–August) primarily encounter the outer-shelf reef matrix after exiting the lagoon at its northern “head” (nominally 16°S), after 50–150 days. Up to 70% of tracer particles entering in the southward-current season (August–December) eventually crossed the lagoon to the outer-shelf reef matrix, with median crossing times between 20 and 330 days. During favourable wind conditions, tracers introduced at the coast may move rapidly across the lagoon into the reef matrix. The tracer experiments indicate that most coastal-sourced tracers entering the GBR lagoon remain near the coast for extended periods of time, moving north and south in a coastal band. Residence times for conservative tracer particles (and implied residence times for water-borne materials) within the GBR shelf system ranged from ca. 1 month to 1 year—time frames that are very long relative to development times of planktonic larvae and cycling times for nutrient materials in the water column, implying they are transformed long before reaching the outer reef matrix.","DOI":"10.1016/j.csr.2006.11.020","ISSN":"0278-4343","journalAbbreviation":"Continental Shelf Research","author":[{"family":"Luick","given":"John L."},{"family":"Mason","given":"Luciano"},{"family":"Hardy","given":"Thomas"},{"family":"Furnas","given":"Miles J."}],"issued":{"date-parts":[["2007",3,15]]}}}],"schema":"https://github.com/citation-style-language/schema/raw/master/csl-citation.json"} </w:instrText>
      </w:r>
      <w:r w:rsidRPr="00AD57A0">
        <w:fldChar w:fldCharType="separate"/>
      </w:r>
      <w:r w:rsidRPr="00AD57A0">
        <w:rPr>
          <w:rFonts w:ascii="Calibri" w:hAnsi="Calibri"/>
        </w:rPr>
        <w:t>(Luick et al., 2007)</w:t>
      </w:r>
      <w:r w:rsidRPr="00AD57A0">
        <w:fldChar w:fldCharType="end"/>
      </w:r>
      <w:r w:rsidRPr="00AD57A0">
        <w:t xml:space="preserve">. </w:t>
      </w:r>
      <w:r w:rsidR="00C865BF" w:rsidRPr="00AD57A0">
        <w:t>Due to the lack of consistent data sampled at out of the plume area influence (i.e., colour class 6), a coefficient was attribute to colour class 7 c.a. the 10</w:t>
      </w:r>
      <w:r w:rsidR="00C865BF" w:rsidRPr="00AD57A0">
        <w:rPr>
          <w:vertAlign w:val="superscript"/>
        </w:rPr>
        <w:t>th</w:t>
      </w:r>
      <w:r w:rsidR="00C865BF" w:rsidRPr="00AD57A0">
        <w:t xml:space="preserve"> percentile of DIN measurements taken in colour class 6 (1.071 </w:t>
      </w:r>
      <w:r w:rsidR="00C865BF" w:rsidRPr="00AD57A0">
        <w:rPr>
          <w:rFonts w:ascii="Calibri" w:hAnsi="Calibri" w:cs="Times New Roman"/>
          <w:color w:val="000000"/>
        </w:rPr>
        <w:t>µ</w:t>
      </w:r>
      <w:r w:rsidR="00C865BF" w:rsidRPr="00AD57A0">
        <w:t xml:space="preserve">M). </w:t>
      </w:r>
      <w:r w:rsidR="00B46AF9" w:rsidRPr="00AD57A0">
        <w:rPr>
          <w:rFonts w:cs="Courier New"/>
        </w:rPr>
        <w:t>DIN behaviour against six colour classes reflects the nature of this pollutant, with reducing concentrations moving far from its source, mainly due to disper</w:t>
      </w:r>
      <w:r w:rsidR="00445BD2">
        <w:rPr>
          <w:rFonts w:cs="Courier New"/>
        </w:rPr>
        <w:t>sion and biological uptake (Figure</w:t>
      </w:r>
      <w:r w:rsidR="00B46AF9" w:rsidRPr="00AD57A0">
        <w:rPr>
          <w:rFonts w:cs="Courier New"/>
        </w:rPr>
        <w:t xml:space="preserve"> </w:t>
      </w:r>
      <w:r w:rsidR="00445BD2">
        <w:rPr>
          <w:rFonts w:cs="Courier New"/>
        </w:rPr>
        <w:t>4-</w:t>
      </w:r>
      <w:r w:rsidR="00CE397A">
        <w:rPr>
          <w:rFonts w:cs="Courier New"/>
        </w:rPr>
        <w:t>9</w:t>
      </w:r>
      <w:r w:rsidR="00B46AF9" w:rsidRPr="00AD57A0">
        <w:rPr>
          <w:rFonts w:cs="Courier New"/>
        </w:rPr>
        <w:t xml:space="preserve">). Dissolved organic nitrogen has presented a conservative behaviour in the GBR waters up to salinity 20-25 </w:t>
      </w:r>
      <w:r w:rsidR="00445BD2">
        <w:rPr>
          <w:rFonts w:cs="Courier New"/>
        </w:rPr>
        <w:t xml:space="preserve">ppt </w:t>
      </w:r>
      <w:r w:rsidR="00B46AF9" w:rsidRPr="00AD57A0">
        <w:rPr>
          <w:rFonts w:cs="Courier New"/>
        </w:rPr>
        <w:fldChar w:fldCharType="begin"/>
      </w:r>
      <w:r w:rsidR="00B46AF9" w:rsidRPr="00AD57A0">
        <w:rPr>
          <w:rFonts w:cs="Courier New"/>
        </w:rPr>
        <w:instrText xml:space="preserve"> ADDIN ZOTERO_ITEM CSL_CITATION {"citationID":"6qdmd9paa","properties":{"formattedCitation":"(Devlin and Brodie, 2005)","plainCitation":"(Devlin and Brodie, 2005)"},"citationItems":[{"id":47,"uris":["http://zotero.org/users/2324349/items/2QIUTENW"],"uri":["http://zotero.org/users/2324349/items/2QIUTENW"],"itemData":{"id":47,"type":"article-journal","title":"Terrestrial discharge into the Great Barrier Reef Lagoon: nutrient behavior in coastal waters","container-title":"Marine Pollution Bulletin","collection-title":"Catchment to Reef: Water Quality Issues in the Great Barrier Reef Region","page":"9-22","volume":"51","issue":"1–4","source":"ScienceDirect","abstract":"Pollution of coastal regions of the Great Barrier Reef World Heritage Area (GBRWHA) is dominated by river discharge associated with agricultural development of the adjacent catchments. Runoff of sediment, nutrients and pesticides has sharply increased since European settlement. Since 1991 plumes from river discharge entering the GBRWHA have been mapped by aerial mapping of plume edges and concentrations of contaminants in plumes measured. Plume dispersion is governed primarily by wind speed and direction. Most plumes spread in a band up to 50 km from the coast. Particulate material discharged in the plumes is trapped within 10 km of the coast. Dissolved nutrients disperse much further and elevated nutrient concentrations are measurable at distances of hundreds of kilometres from river mouths. This differential transport of particulate versus dissolved nutrients is important for the potential effects of these materials and management of their generation on the Great Barrier Reef catchment.","DOI":"10.1016/j.marpolbul.2004.10.037","ISSN":"0025-326X","shortTitle":"Terrestrial discharge into the Great Barrier Reef Lagoon","journalAbbreviation":"Marine Pollution Bulletin","author":[{"family":"Devlin","given":"M. J."},{"family":"Brodie","given":"J."}],"issued":{"date-parts":[["2005"]]}}}],"schema":"https://github.com/citation-style-language/schema/raw/master/csl-citation.json"} </w:instrText>
      </w:r>
      <w:r w:rsidR="00B46AF9" w:rsidRPr="00AD57A0">
        <w:rPr>
          <w:rFonts w:cs="Courier New"/>
        </w:rPr>
        <w:fldChar w:fldCharType="separate"/>
      </w:r>
      <w:r w:rsidR="00B46AF9" w:rsidRPr="00AD57A0">
        <w:rPr>
          <w:rFonts w:ascii="Calibri" w:hAnsi="Calibri"/>
        </w:rPr>
        <w:t>(Devlin and Brodie, 2005)</w:t>
      </w:r>
      <w:r w:rsidR="00B46AF9" w:rsidRPr="00AD57A0">
        <w:rPr>
          <w:rFonts w:cs="Courier New"/>
        </w:rPr>
        <w:fldChar w:fldCharType="end"/>
      </w:r>
      <w:r w:rsidR="00B46AF9" w:rsidRPr="00AD57A0">
        <w:rPr>
          <w:rFonts w:cs="Courier New"/>
        </w:rPr>
        <w:t>. However, salinity in plume colour-class 2 is 21.0 ± 9.9</w:t>
      </w:r>
      <w:r w:rsidR="00445BD2">
        <w:rPr>
          <w:rFonts w:cs="Courier New"/>
        </w:rPr>
        <w:t xml:space="preserve"> ppt</w:t>
      </w:r>
      <w:r w:rsidR="00B46AF9" w:rsidRPr="00AD57A0">
        <w:rPr>
          <w:rFonts w:cs="Courier New"/>
        </w:rPr>
        <w:t xml:space="preserve"> (mean ± 1 SD), so the conservative behaviour is taken over by an exponential decay when DIN is considered over the whole plume extent. After classes 2-3, the plume waters experience reduction on TSS and consequent underwater light increasing, favouring primary production and DIN consumption </w:t>
      </w:r>
      <w:r w:rsidR="00B46AF9" w:rsidRPr="00AD57A0">
        <w:rPr>
          <w:rFonts w:cs="Courier New"/>
        </w:rPr>
        <w:fldChar w:fldCharType="begin"/>
      </w:r>
      <w:r w:rsidR="00B46AF9" w:rsidRPr="00AD57A0">
        <w:rPr>
          <w:rFonts w:cs="Courier New"/>
        </w:rPr>
        <w:instrText xml:space="preserve"> ADDIN ZOTERO_ITEM CSL_CITATION {"citationID":"25ofk690iv","properties":{"formattedCitation":"(Devlin et al., 2012a, 2012b; Devlin and Brodie, 2005)","plainCitation":"(Devlin et al., 2012a, 2012b; Devlin and Brodie, 2005)"},"citationItems":[{"id":19,"uris":["http://zotero.org/users/2324349/items/Q39GZNEF"],"uri":["http://zotero.org/users/2324349/items/Q39GZNEF"],"itemData":{"id":19,"type":"article-journal","title":"Mapping the pollutants in surface riverine flood plume waters in the Great Barrier Reef, Australia","container-title":"Marine Pollution Bulletin","collection-title":"The Catchment to Reef Continuum: Case studies from the Great Barrier Reef","page":"224-235","volume":"65","issue":"4–9","source":"ScienceDirect","abstract":"The extent of flood plume water over a 10 year period was mapped using quasi-true colour imagery and used to calculate long-term frequency of occurrence of the plumes. The proportional contribution of riverine loads of dissolved inorganic nitrogen, total suspended sediments and Photosystem-II herbicides from each catchment was used to scale the surface exposure maps for each pollutant. A classification procedure was also applied to satellite imagery (only Wet Tropics region) during 11 flood events (2000–2010) through processing of level-2 ocean colour products to discriminate the changing characteristics across three water types: “primary plume water”, characterised by high TSS values; “secondary plume water”, characterised by high phytoplankton production as measured by elevated chlorophyll-a (chl-a), and “tertiary plume water”, characterised by elevated coloured dissolved and detrital matter (CDOM + D). This classification is a first step to characterise flood plumes.","DOI":"10.1016/j.marpolbul.2012.03.001","ISSN":"0025-326X","journalAbbreviation":"Marine Pollution Bulletin","author":[{"family":"Devlin","given":"Michelle"},{"family":"McKinna","given":"L."},{"family":"Álvarez-Romero","given":"J. G."},{"family":"Petus","given":"C."},{"family":"Abott","given":"B."},{"family":"Harkness","given":"P."},{"family":"Brodie","given":"J."}],"issued":{"date-parts":[["2012"]]}}},{"id":25,"uris":["http://zotero.org/users/2324349/items/TRJAN8JF"],"uri":["http://zotero.org/users/2324349/items/TRJAN8JF"],"itemData":{"id":25,"type":"chapter","title":"Monitoring and mapping of flood plumes in the Great Barrier Reef based on in-situ and remote sensing observations.","container-title":"Advances in Environmental Remote Sensing to Monitor Global Changes","publisher":"CRC Press","publisher-place":"Boca Raton","event-place":"Boca Raton","URL":"http://www.nerptropical.edu.au/publication/monitoring-and-mapping-flood-plumes-great-barrier-reef-based-situ-and-remote-sensing","author":[{"family":"Devlin","given":"Michelle"},{"family":"Schroeder","given":"Thomas"},{"family":"McKinna","given":"L."},{"family":"Brodie","given":"Jon"},{"family":"Brando","given":"Vittorio"},{"family":"Dekker","given":"A."}],"issued":{"date-parts":[["2012"]]},"accessed":{"date-parts":[["2015",5,20]]}}},{"id":47,"uris":["http://zotero.org/users/2324349/items/2QIUTENW"],"uri":["http://zotero.org/users/2324349/items/2QIUTENW"],"itemData":{"id":47,"type":"article-journal","title":"Terrestrial discharge into the Great Barrier Reef Lagoon: nutrient behavior in coastal waters","container-title":"Marine Pollution Bulletin","collection-title":"Catchment to Reef: Water Quality Issues in the Great Barrier Reef Region","page":"9-22","volume":"51","issue":"1–4","source":"ScienceDirect","abstract":"Pollution of coastal regions of the Great Barrier Reef World Heritage Area (GBRWHA) is dominated by river discharge associated with agricultural development of the adjacent catchments. Runoff of sediment, nutrients and pesticides has sharply increased since European settlement. Since 1991 plumes from river discharge entering the GBRWHA have been mapped by aerial mapping of plume edges and concentrations of contaminants in plumes measured. Plume dispersion is governed primarily by wind speed and direction. Most plumes spread in a band up to 50 km from the coast. Particulate material discharged in the plumes is trapped within 10 km of the coast. Dissolved nutrients disperse much further and elevated nutrient concentrations are measurable at distances of hundreds of kilometres from river mouths. This differential transport of particulate versus dissolved nutrients is important for the potential effects of these materials and management of their generation on the Great Barrier Reef catchment.","DOI":"10.1016/j.marpolbul.2004.10.037","ISSN":"0025-326X","shortTitle":"Terrestrial discharge into the Great Barrier Reef Lagoon","journalAbbreviation":"Marine Pollution Bulletin","author":[{"family":"Devlin","given":"M. J."},{"family":"Brodie","given":"J."}],"issued":{"date-parts":[["2005"]]}}}],"schema":"https://github.com/citation-style-language/schema/raw/master/csl-citation.json"} </w:instrText>
      </w:r>
      <w:r w:rsidR="00B46AF9" w:rsidRPr="00AD57A0">
        <w:rPr>
          <w:rFonts w:cs="Courier New"/>
        </w:rPr>
        <w:fldChar w:fldCharType="separate"/>
      </w:r>
      <w:r w:rsidR="00B46AF9" w:rsidRPr="00AD57A0">
        <w:rPr>
          <w:rFonts w:ascii="Calibri" w:hAnsi="Calibri"/>
        </w:rPr>
        <w:t>(Devlin et al., 2012a, 2012b; Devlin and Brodie, 2005)</w:t>
      </w:r>
      <w:r w:rsidR="00B46AF9" w:rsidRPr="00AD57A0">
        <w:rPr>
          <w:rFonts w:cs="Courier New"/>
        </w:rPr>
        <w:fldChar w:fldCharType="end"/>
      </w:r>
      <w:r w:rsidR="00B46AF9" w:rsidRPr="00AD57A0">
        <w:rPr>
          <w:rFonts w:cs="Courier New"/>
        </w:rPr>
        <w:t xml:space="preserve">. Therefore, the equation used to describe the dispersion of DIN through the river plume account for those processes, representing thus the potential for DIN reaches areas in the GBR. Other processes that may affect DIN concentrations in plume waters can be nitrogen fixation by (cyano-) bacteria and upwelling of nutrient-enriched deep water from the Coral Sea </w:t>
      </w:r>
      <w:r w:rsidR="00B46AF9" w:rsidRPr="00AD57A0">
        <w:rPr>
          <w:rFonts w:cs="Courier New"/>
        </w:rPr>
        <w:fldChar w:fldCharType="begin"/>
      </w:r>
      <w:r w:rsidR="00B46AF9" w:rsidRPr="00AD57A0">
        <w:rPr>
          <w:rFonts w:cs="Courier New"/>
        </w:rPr>
        <w:instrText xml:space="preserve"> ADDIN ZOTERO_ITEM CSL_CITATION {"citationID":"25s9gt1ol9","properties":{"formattedCitation":"(Furnas et al., 2011)","plainCitation":"(Furnas et al., 2011)"},"citationItems":[{"id":85,"uris":["http://zotero.org/users/2324349/items/3WE9MQDQ"],"uri":["http://zotero.org/users/2324349/items/3WE9MQDQ"],"itemData":{"id":85,"type":"article-journal","title":"Regional-scale nitrogen and phosphorus budgets for the northern (14°S) and central (17°S) Great Barrier Reef shelf ecosystem","container-title":"Continental Shelf Research","page":"1967-1990","volume":"31","issue":"19–20","source":"ScienceDirect","abstract":"Seasonally averaged N and P box model budgets were constructed for two regional-scale sections of the Great Barrier Reef (GBR) shelf, one in the near-pristine far-northern GBR (13.5–14.5°S) and the other in the central GBR (17–18°S) adjacent to more intensively farmed wet tropics watersheds. We were unable to simultaneously balance shelf-scale N and P budgets within seasonal or annual time frames, indicating that magnitudes of a number of key input and, especially, loss processes are still poorly constrained. In most cases, current estimates of system-level N and P sources (rainfall, runoff, upwelling, N-fixation) are less than estimated loss processes (denitrification, cross-shelfbreak mixing and burial). Nutrient dynamics in both shelf sections are dominated by the tightly coupled uptake and mineralization of soluble N and P in the water column and the sedimentation–resuspension of particulate detritus. On an area-averaged basis, internal cycling fluxes are an order of magnitude greater than input–output fluxes. Denitrification in shelf sediments is a significant sink for N while lateral mixing is both a source and sink for P.","DOI":"10.1016/j.csr.2011.09.007","ISSN":"0278-4343","journalAbbreviation":"Continental Shelf Research","author":[{"family":"Furnas","given":"M."},{"family":"Alongi","given":"D."},{"family":"McKinnon","given":"D."},{"family":"Trott","given":"L."},{"family":"Skuza","given":"M."}],"issued":{"date-parts":[["2011",12]]}}}],"schema":"https://github.com/citation-style-language/schema/raw/master/csl-citation.json"} </w:instrText>
      </w:r>
      <w:r w:rsidR="00B46AF9" w:rsidRPr="00AD57A0">
        <w:rPr>
          <w:rFonts w:cs="Courier New"/>
        </w:rPr>
        <w:fldChar w:fldCharType="separate"/>
      </w:r>
      <w:r w:rsidR="00B46AF9" w:rsidRPr="00AD57A0">
        <w:rPr>
          <w:rFonts w:ascii="Calibri" w:hAnsi="Calibri"/>
        </w:rPr>
        <w:t>(Furnas et al., 2011)</w:t>
      </w:r>
      <w:r w:rsidR="00B46AF9" w:rsidRPr="00AD57A0">
        <w:rPr>
          <w:rFonts w:cs="Courier New"/>
        </w:rPr>
        <w:fldChar w:fldCharType="end"/>
      </w:r>
      <w:r w:rsidR="00B46AF9" w:rsidRPr="00AD57A0">
        <w:rPr>
          <w:rFonts w:cs="Courier New"/>
        </w:rPr>
        <w:t xml:space="preserve">. However, land runoff is the largest source of new nutrients to the inshore GBR, especially during monsoonal flood events </w:t>
      </w:r>
      <w:r w:rsidR="00B46AF9" w:rsidRPr="00AD57A0">
        <w:rPr>
          <w:rFonts w:cs="Courier New"/>
        </w:rPr>
        <w:fldChar w:fldCharType="begin"/>
      </w:r>
      <w:r w:rsidR="00B46AF9" w:rsidRPr="00AD57A0">
        <w:rPr>
          <w:rFonts w:cs="Courier New"/>
        </w:rPr>
        <w:instrText xml:space="preserve"> ADDIN ZOTERO_ITEM CSL_CITATION {"citationID":"I6jtsApA","properties":{"formattedCitation":"(Furnas et al., 2011)","plainCitation":"(Furnas et al., 2011)"},"citationItems":[{"id":85,"uris":["http://zotero.org/users/2324349/items/3WE9MQDQ"],"uri":["http://zotero.org/users/2324349/items/3WE9MQDQ"],"itemData":{"id":85,"type":"article-journal","title":"Regional-scale nitrogen and phosphorus budgets for the northern (14°S) and central (17°S) Great Barrier Reef shelf ecosystem","container-title":"Continental Shelf Research","page":"1967-1990","volume":"31","issue":"19–20","source":"ScienceDirect","abstract":"Seasonally averaged N and P box model budgets were constructed for two regional-scale sections of the Great Barrier Reef (GBR) shelf, one in the near-pristine far-northern GBR (13.5–14.5°S) and the other in the central GBR (17–18°S) adjacent to more intensively farmed wet tropics watersheds. We were unable to simultaneously balance shelf-scale N and P budgets within seasonal or annual time frames, indicating that magnitudes of a number of key input and, especially, loss processes are still poorly constrained. In most cases, current estimates of system-level N and P sources (rainfall, runoff, upwelling, N-fixation) are less than estimated loss processes (denitrification, cross-shelfbreak mixing and burial). Nutrient dynamics in both shelf sections are dominated by the tightly coupled uptake and mineralization of soluble N and P in the water column and the sedimentation–resuspension of particulate detritus. On an area-averaged basis, internal cycling fluxes are an order of magnitude greater than input–output fluxes. Denitrification in shelf sediments is a significant sink for N while lateral mixing is both a source and sink for P.","DOI":"10.1016/j.csr.2011.09.007","ISSN":"0278-4343","journalAbbreviation":"Continental Shelf Research","author":[{"family":"Furnas","given":"M."},{"family":"Alongi","given":"D."},{"family":"McKinnon","given":"D."},{"family":"Trott","given":"L."},{"family":"Skuza","given":"M."}],"issued":{"date-parts":[["2011",12]]}}}],"schema":"https://github.com/citation-style-language/schema/raw/master/csl-citation.json"} </w:instrText>
      </w:r>
      <w:r w:rsidR="00B46AF9" w:rsidRPr="00AD57A0">
        <w:rPr>
          <w:rFonts w:cs="Courier New"/>
        </w:rPr>
        <w:fldChar w:fldCharType="separate"/>
      </w:r>
      <w:r w:rsidR="00B46AF9" w:rsidRPr="00AD57A0">
        <w:rPr>
          <w:rFonts w:ascii="Calibri" w:hAnsi="Calibri"/>
        </w:rPr>
        <w:t>(Furnas et al., 2011)</w:t>
      </w:r>
      <w:r w:rsidR="00B46AF9" w:rsidRPr="00AD57A0">
        <w:rPr>
          <w:rFonts w:cs="Courier New"/>
        </w:rPr>
        <w:fldChar w:fldCharType="end"/>
      </w:r>
      <w:r w:rsidR="00B46AF9" w:rsidRPr="00AD57A0">
        <w:rPr>
          <w:rFonts w:cs="Courier New"/>
        </w:rPr>
        <w:t xml:space="preserve">. Moreover, upwelling intrusions are spatially restricted to the Central GBR subsurface waters </w:t>
      </w:r>
      <w:r w:rsidR="00B46AF9" w:rsidRPr="00AD57A0">
        <w:rPr>
          <w:rFonts w:cs="Courier New"/>
        </w:rPr>
        <w:fldChar w:fldCharType="begin"/>
      </w:r>
      <w:r w:rsidR="00B46AF9" w:rsidRPr="00AD57A0">
        <w:rPr>
          <w:rFonts w:cs="Courier New"/>
        </w:rPr>
        <w:instrText xml:space="preserve"> ADDIN ZOTERO_ITEM CSL_CITATION {"citationID":"317hb8qk0","properties":{"formattedCitation":"(Berkelmans et al., 2010)","plainCitation":"(Berkelmans et al., 2010)"},"citationItems":[{"id":156,"uris":["http://zotero.org/users/2324349/items/XSGWI2JI"],"uri":["http://zotero.org/users/2324349/items/XSGWI2JI"],"itemData":{"id":156,"type":"article-journal","title":"Upwelling linked to warm summers and bleaching on the Great Barrier Reef","container-title":"Limnology and Oceanography","page":"2634-2644","volume":"55","issue":"6","source":"espace.library.uq.edu.au","DOI":"10.4319/lo.2010.55.6.2634","ISSN":"0024-3590, 1939-5590, 1939-5604","language":"eng","author":[{"family":"Berkelmans","given":"Ray"},{"family":"Weeks","given":"Scarla J."},{"family":"Steinberg","given":"Craig R."}],"issued":{"date-parts":[["2010",11,1]]}}}],"schema":"https://github.com/citation-style-language/schema/raw/master/csl-citation.json"} </w:instrText>
      </w:r>
      <w:r w:rsidR="00B46AF9" w:rsidRPr="00AD57A0">
        <w:rPr>
          <w:rFonts w:cs="Courier New"/>
        </w:rPr>
        <w:fldChar w:fldCharType="separate"/>
      </w:r>
      <w:r w:rsidR="00B46AF9" w:rsidRPr="00AD57A0">
        <w:rPr>
          <w:rFonts w:ascii="Calibri" w:hAnsi="Calibri"/>
        </w:rPr>
        <w:t>(Berkelmans et al., 2010)</w:t>
      </w:r>
      <w:r w:rsidR="00B46AF9" w:rsidRPr="00AD57A0">
        <w:rPr>
          <w:rFonts w:cs="Courier New"/>
        </w:rPr>
        <w:fldChar w:fldCharType="end"/>
      </w:r>
      <w:r w:rsidR="00B46AF9" w:rsidRPr="00AD57A0">
        <w:rPr>
          <w:rFonts w:cs="Courier New"/>
        </w:rPr>
        <w:t>, and therefore not captured by the superficial in-situ DIN sampled data. Nitrogen fixation is likely to happened across the whole plume area, adding equally to the measured in-situ DIN, and not affecting the general behaviour depicted in the DIN function. Otherwise if intense fixation due to Trichodesmium blooms could result in high locali</w:t>
      </w:r>
      <w:r w:rsidR="00CE397A">
        <w:rPr>
          <w:rFonts w:cs="Courier New"/>
        </w:rPr>
        <w:t>s</w:t>
      </w:r>
      <w:r w:rsidR="00B46AF9" w:rsidRPr="00AD57A0">
        <w:rPr>
          <w:rFonts w:cs="Courier New"/>
        </w:rPr>
        <w:t xml:space="preserve">ed DIN concentration, the outlier removal applied to the data set would likely remove this effect. </w:t>
      </w:r>
    </w:p>
    <w:p w14:paraId="4AE54CEA" w14:textId="7975DFA8" w:rsidR="00BE1A79" w:rsidRPr="00AD57A0" w:rsidRDefault="00BE1A79" w:rsidP="00BE1A79">
      <w:pPr>
        <w:rPr>
          <w:rFonts w:cs="Courier New"/>
        </w:rPr>
      </w:pPr>
      <w:r w:rsidRPr="00AD57A0">
        <w:t>A 2013-2014 map for the dispersion of land-sourced DI</w:t>
      </w:r>
      <w:r w:rsidRPr="00CE397A">
        <w:t xml:space="preserve">N </w:t>
      </w:r>
      <w:r w:rsidRPr="00CE397A">
        <w:rPr>
          <w:rFonts w:cs="Courier New"/>
        </w:rPr>
        <w:t>(c.a.,</w:t>
      </w:r>
      <m:oMath>
        <m:r>
          <m:rPr>
            <m:sty m:val="p"/>
          </m:rPr>
          <w:rPr>
            <w:rFonts w:ascii="Cambria Math" w:hAnsi="Cambria Math" w:cs="Courier New"/>
          </w:rPr>
          <m:t xml:space="preserve"> </m:t>
        </m:r>
        <m:sSubSup>
          <m:sSubSupPr>
            <m:ctrlPr>
              <w:rPr>
                <w:rFonts w:ascii="Cambria Math" w:hAnsi="Cambria Math" w:cs="Courier New"/>
              </w:rPr>
            </m:ctrlPr>
          </m:sSubSupPr>
          <m:e>
            <m:r>
              <m:rPr>
                <m:sty m:val="p"/>
              </m:rPr>
              <w:rPr>
                <w:rFonts w:ascii="Cambria Math" w:hAnsi="Cambria Math" w:cs="Courier New"/>
              </w:rPr>
              <m:t>NH</m:t>
            </m:r>
          </m:e>
          <m:sub>
            <m:r>
              <m:rPr>
                <m:sty m:val="p"/>
              </m:rPr>
              <w:rPr>
                <w:rFonts w:ascii="Cambria Math" w:hAnsi="Cambria Math" w:cs="Courier New"/>
              </w:rPr>
              <m:t>4</m:t>
            </m:r>
          </m:sub>
          <m:sup>
            <m:r>
              <m:rPr>
                <m:sty m:val="p"/>
              </m:rPr>
              <w:rPr>
                <w:rFonts w:ascii="Cambria Math" w:hAnsi="Cambria Math" w:cs="Courier New"/>
              </w:rPr>
              <m:t>+</m:t>
            </m:r>
          </m:sup>
        </m:sSubSup>
        <m:r>
          <m:rPr>
            <m:sty m:val="p"/>
          </m:rPr>
          <w:rPr>
            <w:rFonts w:ascii="Cambria Math" w:hAnsi="Cambria Math" w:cs="Courier New"/>
          </w:rPr>
          <m:t>+</m:t>
        </m:r>
        <m:sSubSup>
          <m:sSubSupPr>
            <m:ctrlPr>
              <w:rPr>
                <w:rFonts w:ascii="Cambria Math" w:hAnsi="Cambria Math" w:cs="Courier New"/>
              </w:rPr>
            </m:ctrlPr>
          </m:sSubSupPr>
          <m:e>
            <m:r>
              <m:rPr>
                <m:sty m:val="p"/>
              </m:rPr>
              <w:rPr>
                <w:rFonts w:ascii="Cambria Math" w:hAnsi="Cambria Math" w:cs="Courier New"/>
              </w:rPr>
              <m:t>NO</m:t>
            </m:r>
          </m:e>
          <m:sub>
            <m:r>
              <m:rPr>
                <m:sty m:val="p"/>
              </m:rPr>
              <w:rPr>
                <w:rFonts w:ascii="Cambria Math" w:hAnsi="Cambria Math" w:cs="Courier New"/>
              </w:rPr>
              <m:t>2</m:t>
            </m:r>
          </m:sub>
          <m:sup>
            <m:r>
              <m:rPr>
                <m:sty m:val="p"/>
              </m:rPr>
              <w:rPr>
                <w:rFonts w:ascii="Cambria Math" w:hAnsi="Cambria Math" w:cs="Courier New"/>
              </w:rPr>
              <m:t>-</m:t>
            </m:r>
          </m:sup>
        </m:sSubSup>
        <m:r>
          <m:rPr>
            <m:sty m:val="p"/>
          </m:rPr>
          <w:rPr>
            <w:rFonts w:ascii="Cambria Math" w:hAnsi="Cambria Math" w:cs="Courier New"/>
          </w:rPr>
          <m:t>+</m:t>
        </m:r>
        <m:sSubSup>
          <m:sSubSupPr>
            <m:ctrlPr>
              <w:rPr>
                <w:rFonts w:ascii="Cambria Math" w:hAnsi="Cambria Math" w:cs="Courier New"/>
              </w:rPr>
            </m:ctrlPr>
          </m:sSubSupPr>
          <m:e>
            <m:r>
              <m:rPr>
                <m:sty m:val="p"/>
              </m:rPr>
              <w:rPr>
                <w:rFonts w:ascii="Cambria Math" w:hAnsi="Cambria Math" w:cs="Courier New"/>
              </w:rPr>
              <m:t>NO</m:t>
            </m:r>
          </m:e>
          <m:sub>
            <m:r>
              <m:rPr>
                <m:sty m:val="p"/>
              </m:rPr>
              <w:rPr>
                <w:rFonts w:ascii="Cambria Math" w:hAnsi="Cambria Math" w:cs="Courier New"/>
              </w:rPr>
              <m:t>3</m:t>
            </m:r>
          </m:sub>
          <m:sup>
            <m:r>
              <m:rPr>
                <m:sty m:val="p"/>
              </m:rPr>
              <w:rPr>
                <w:rFonts w:ascii="Cambria Math" w:hAnsi="Cambria Math" w:cs="Courier New"/>
              </w:rPr>
              <m:t>-</m:t>
            </m:r>
          </m:sup>
        </m:sSubSup>
      </m:oMath>
      <w:r w:rsidRPr="00CE397A">
        <w:rPr>
          <w:rFonts w:cs="Courier New"/>
        </w:rPr>
        <w:t xml:space="preserve">) </w:t>
      </w:r>
      <w:r w:rsidRPr="00CE397A">
        <w:t>over the</w:t>
      </w:r>
      <w:r w:rsidRPr="00AD57A0">
        <w:t xml:space="preserve"> GBR lagoon (yield, kg/km</w:t>
      </w:r>
      <w:r w:rsidRPr="00AD57A0">
        <w:rPr>
          <w:vertAlign w:val="superscript"/>
        </w:rPr>
        <w:t>2</w:t>
      </w:r>
      <w:r w:rsidRPr="00AD57A0">
        <w:t xml:space="preserve">) is presented </w:t>
      </w:r>
      <w:r w:rsidR="00C478A2">
        <w:t>in</w:t>
      </w:r>
      <w:r w:rsidRPr="00AD57A0">
        <w:t xml:space="preserve"> Figure 4-1</w:t>
      </w:r>
      <w:r w:rsidR="00C478A2">
        <w:t>0</w:t>
      </w:r>
      <w:r w:rsidRPr="00AD57A0">
        <w:t xml:space="preserve">. We could not compare this map with those maps presented in the previous MMP report for two reasons: (a) loads used in previous maps, which cover the period between 2002 to 2013 were upscale for the whole catchment </w:t>
      </w:r>
      <w:r w:rsidRPr="00AD57A0">
        <w:rPr>
          <w:rFonts w:cs="Courier New"/>
        </w:rPr>
        <w:fldChar w:fldCharType="begin"/>
      </w:r>
      <w:r w:rsidRPr="00AD57A0">
        <w:rPr>
          <w:rFonts w:cs="Courier New"/>
        </w:rPr>
        <w:instrText xml:space="preserve"> ADDIN ZOTERO_ITEM CSL_CITATION {"citationID":"DFXJDjPB","properties":{"formattedCitation":"(see, Lewis et al., 2014)","plainCitation":"(see, Lewis et al., 2014)"},"citationItems":[{"id":121,"uris":["http://zotero.org/users/2324349/items/QBWCUFJF"],"uri":["http://zotero.org/users/2324349/items/QBWCUFJF"],"itemData":{"id":121,"type":"report","title":"Synthesizing historical land use change, fertiliser and pesticide usage and pollutant load data in the regulated catchments to quantify baseline and changing loads exported to the Great Barrier Reef.","collection-title":"TropWATER Report","publisher":"James Cook University","publisher-place":"Townsville, AU","page":"105","event-place":"Townsville, AU","number":"14/2014","author":[{"family":"Lewis","given":"S. E."},{"family":"Brodie","given":"J. E."},{"family":"Endo","given":"G."},{"family":"Lough","given":"J."},{"family":"Furnas","given":"M."},{"family":"Bainbridge","given":"Z. T."}],"issued":{"date-parts":[["2014"]]}},"prefix":"see, "}],"schema":"https://github.com/citation-style-language/schema/raw/master/csl-citation.json"} </w:instrText>
      </w:r>
      <w:r w:rsidRPr="00AD57A0">
        <w:rPr>
          <w:rFonts w:cs="Courier New"/>
        </w:rPr>
        <w:fldChar w:fldCharType="separate"/>
      </w:r>
      <w:r w:rsidRPr="00AD57A0">
        <w:rPr>
          <w:rFonts w:ascii="Calibri" w:hAnsi="Calibri"/>
        </w:rPr>
        <w:t>(see Lewis et al., 2014)</w:t>
      </w:r>
      <w:r w:rsidRPr="00AD57A0">
        <w:rPr>
          <w:rFonts w:cs="Courier New"/>
        </w:rPr>
        <w:fldChar w:fldCharType="end"/>
      </w:r>
      <w:r w:rsidRPr="00AD57A0">
        <w:t xml:space="preserve">, and (b) a larger number of rivers were available in </w:t>
      </w:r>
      <w:r w:rsidRPr="00AD57A0">
        <w:rPr>
          <w:rFonts w:cs="Courier New"/>
        </w:rPr>
        <w:t xml:space="preserve">Lewis et al. </w:t>
      </w:r>
      <w:r w:rsidRPr="00AD57A0">
        <w:rPr>
          <w:rFonts w:cs="Courier New"/>
        </w:rPr>
        <w:fldChar w:fldCharType="begin"/>
      </w:r>
      <w:r w:rsidRPr="00AD57A0">
        <w:rPr>
          <w:rFonts w:cs="Courier New"/>
        </w:rPr>
        <w:instrText xml:space="preserve"> ADDIN ZOTERO_ITEM CSL_CITATION {"citationID":"awX802Be","properties":{"formattedCitation":"(2014)","plainCitation":"(2014)"},"citationItems":[{"id":121,"uris":["http://zotero.org/users/2324349/items/QBWCUFJF"],"uri":["http://zotero.org/users/2324349/items/QBWCUFJF"],"itemData":{"id":121,"type":"report","title":"Synthesizing historical land use change, fertiliser and pesticide usage and pollutant load data in the regulated catchments to quantify baseline and changing loads exported to the Great Barrier Reef.","collection-title":"TropWATER Report","publisher":"James Cook University","publisher-place":"Townsville, AU","page":"105","event-place":"Townsville, AU","number":"14/2014","author":[{"family":"Lewis","given":"S. E."},{"family":"Brodie","given":"J. E."},{"family":"Endo","given":"G."},{"family":"Lough","given":"J."},{"family":"Furnas","given":"M."},{"family":"Bainbridge","given":"Z. T."}],"issued":{"date-parts":[["2014"]]}},"suppress-author":true}],"schema":"https://github.com/citation-style-language/schema/raw/master/csl-citation.json"} </w:instrText>
      </w:r>
      <w:r w:rsidRPr="00AD57A0">
        <w:rPr>
          <w:rFonts w:cs="Courier New"/>
        </w:rPr>
        <w:fldChar w:fldCharType="separate"/>
      </w:r>
      <w:r w:rsidRPr="00AD57A0">
        <w:rPr>
          <w:rFonts w:cs="Courier New"/>
        </w:rPr>
        <w:t>(2014)</w:t>
      </w:r>
      <w:r w:rsidRPr="00AD57A0">
        <w:rPr>
          <w:rFonts w:cs="Courier New"/>
        </w:rPr>
        <w:fldChar w:fldCharType="end"/>
      </w:r>
      <w:r w:rsidRPr="00AD57A0">
        <w:rPr>
          <w:rFonts w:cs="Courier New"/>
        </w:rPr>
        <w:t>, than those reported by Government load monitoring data.</w:t>
      </w:r>
    </w:p>
    <w:p w14:paraId="59C49BE7" w14:textId="16DA84D4" w:rsidR="00BE1A79" w:rsidRPr="00AD57A0" w:rsidRDefault="00BE1A79" w:rsidP="00BE1A79">
      <w:pPr>
        <w:rPr>
          <w:rFonts w:cs="Courier New"/>
        </w:rPr>
      </w:pPr>
      <w:r w:rsidRPr="00AD57A0">
        <w:t>The highest model-predicted DIN yield was observed at the vicinities of the Pioneer River. The Pioneer River exhibited the fourth largest load (260 ton), but due to its reduce area of plume influence (c.a., plume extent of 69 km), resulted in high DIN yield at its mouth (Table 4-</w:t>
      </w:r>
      <w:r>
        <w:t>11 and Figure 4-1</w:t>
      </w:r>
      <w:r w:rsidR="00C478A2">
        <w:t>0</w:t>
      </w:r>
      <w:r w:rsidR="00A75759">
        <w:t>gqz</w:t>
      </w:r>
      <w:r w:rsidRPr="00AD57A0">
        <w:t xml:space="preserve">). </w:t>
      </w:r>
      <w:r w:rsidRPr="00AD57A0">
        <w:rPr>
          <w:rFonts w:cs="Courier New"/>
        </w:rPr>
        <w:t xml:space="preserve">This is in agreement with previous observations about plumes in the GBR, where the larger river discharger, the larger river plume </w:t>
      </w:r>
      <w:r w:rsidRPr="00AD57A0">
        <w:rPr>
          <w:rFonts w:cs="Courier New"/>
        </w:rPr>
        <w:fldChar w:fldCharType="begin"/>
      </w:r>
      <w:r w:rsidRPr="00AD57A0">
        <w:rPr>
          <w:rFonts w:cs="Courier New"/>
        </w:rPr>
        <w:instrText xml:space="preserve"> ADDIN ZOTERO_ITEM CSL_CITATION {"citationID":"wUlv7R5q","properties":{"custom":"(e.g., \\uc0\\u193{}lvarez-Romero et al., 2013; Brodie et al., 2012; Devlin et al., 2012a, 2012b)","unsorted":false,"formattedCitation":"{\\rtf (e.g., \\uc0\\u193{}lvarez-Romero et al., 2013; Brodie et al., 2012; Devlin et al., 2012a, 2012b)}","plainCitation":"(e.g., Álvarez-Romero et al., 2013; Brodie et al., 2012; Devlin et al., 2012a, 2012b)"},"citationItems":[{"id":1,"uris":["http://zotero.org/users/2324349/items/TQTS3DE2"],"uri":["http://zotero.org/users/2324349/items/TQTS3DE2"],"itemData":{"id":1,"type":"article-journal","title":"A novel approach to model exposure of coastal-marine ecosystems to riverine flood plumes based on remote sensing techniques","container-title":"Journal of Environmental Management","page":"194-207","volume":"119","source":"ScienceDirect","abstract":"Increased loads of land-based pollutants are a major threat to coastal-marine ecosystems. Identifying the affected marine areas and the scale of influence on ecosystems is critical to assess the impacts of degraded water quality and to inform planning for catchment management and marine conservation. Studies using remotely-sensed data have contributed to our understanding of the occurrence and influence of river plumes, and to our ability to assess exposure of marine ecosystems to land-based pollutants. However, refinement of plume modeling techniques is required to improve risk assessments. We developed a novel, complementary, approach to model exposure of coastal-marine ecosystems to land-based pollutants. We used supervised classification of MODIS-Aqua true-color satellite imagery to map the extent of plumes and to qualitatively assess the dispersal of pollutants in plumes. We used the Great Barrier Reef (GBR), the world's largest coral reef system, to test our approach. We combined frequency of plume occurrence with spatially distributed loads (based on a cost-distance function) to create maps of exposure to suspended sediment and dissolved inorganic nitrogen. We then compared annual exposure maps (2007–2011) to assess inter-annual variability in the exposure of coral reefs and seagrass beds to these pollutants. We found this method useful to map plumes and qualitatively assess exposure to land-based pollutants. We observed inter-annual variation in exposure of ecosystems to pollutants in the GBR, stressing the need to incorporate a temporal component into plume exposure/risk models. Our study contributes to our understanding of plume spatial–temporal dynamics of the GBR and offers a method that can also be applied to monitor exposure of coastal-marine ecosystems to plumes and explore their ecological influences.","DOI":"10.1016/j.jenvman.2013.01.036","ISSN":"0301-4797","journalAbbreviation":"Journal of Environmental Management","author":[{"family":"Álvarez-Romero","given":"Jorge G."},{"family":"Devlin","given":"Michelle"},{"family":"Teixeira da Silva","given":"Eduardo"},{"family":"Petus","given":"Caroline"},{"family":"Ban","given":"Natalie C."},{"family":"Pressey","given":"Robert L."},{"family":"Kool","given":"Johnathan"},{"family":"Roberts","given":"Jason J."},{"family":"Cerdeira-Estrada","given":"Sergio"},{"family":"Wenger","given":"Amelia S."},{"family":"Brodie","given":"Jon"}],"issued":{"date-parts":[["2013",4,15]]}},"label":"page"},{"id":7,"uris":["http://zotero.org/users/2324349/items/EMF6TWGR"],"uri":["http://zotero.org/users/2324349/items/EMF6TWGR"],"itemData":{"id":7,"type":"article-journal","title":"Terrestrial pollutant runoff to the Great Barrier Reef: An update of issues, priorities and management responses","container-title":"Marine Pollution Bulletin","collection-title":"The Catchment to Reef Continuum: Case studies from the Great Barrier Reef","page":"81-100","volume":"65","issue":"4–9","source":"ScienceDirect","abstract":"The Great Barrier Reef (GBR) is a World Heritage Area and contains extensive areas of coral reef, seagrass meadows and fisheries resources. From adjacent catchments, numerous rivers discharge pollutants from agricultural, urban, mining and industrial activity. Pollutant sources have been identified and include suspended sediment from erosion in cattle grazing areas; nitrate from fertiliser application on crop lands; and herbicides from various land uses. The fate and effects of these pollutants in the receiving marine environment are relatively well understood. The Australian and Queensland Governments responded to the concerns of pollution of the GBR from catchment runoff with a plan to address this issue in 2003 (Reef Plan; updated 2009), incentive-based voluntary management initiatives in 2007 (Reef Rescue) and a State regulatory approach in 2009, the Reef Protection Package. This paper reviews new research relevant to the catchment to GBR continuum and evaluates the appropriateness of current management responses.","DOI":"10.1016/j.marpolbul.2011.12.012","ISSN":"0025-326X","shortTitle":"Terrestrial pollutant runoff to the Great Barrier Reef","journalAbbreviation":"Marine Pollution Bulletin","author":[{"family":"Brodie","given":"J. E."},{"family":"Kroon","given":"F. J."},{"family":"Schaffelke","given":"B."},{"family":"Wolanski","given":"E. C."},{"family":"Lewis","given":"S. E."},{"family":"Devlin","given":"M. J."},{"family":"Bohnet","given":"I. C."},{"family":"Bainbridge","given":"Z. T."},{"family":"Waterhouse","given":"J."},{"family":"Davis","given":"A. M."}],"issued":{"date-parts":[["2012"]]}},"label":"page","prefix":"e.g., "},{"id":19,"uris":["http://zotero.org/users/2324349/items/Q39GZNEF"],"uri":["http://zotero.org/users/2324349/items/Q39GZNEF"],"itemData":{"id":19,"type":"article-journal","title":"Mapping the pollutants in surface riverine flood plume waters in the Great Barrier Reef, Australia","container-title":"Marine Pollution Bulletin","collection-title":"The Catchment to Reef Continuum: Case studies from the Great Barrier Reef","page":"224-235","volume":"65","issue":"4–9","source":"ScienceDirect","abstract":"The extent of flood plume water over a 10 year period was mapped using quasi-true colour imagery and used to calculate long-term frequency of occurrence of the plumes. The proportional contribution of riverine loads of dissolved inorganic nitrogen, total suspended sediments and Photosystem-II herbicides from each catchment was used to scale the surface exposure maps for each pollutant. A classification procedure was also applied to satellite imagery (only Wet Tropics region) during 11 flood events (2000–2010) through processing of level-2 ocean colour products to discriminate the changing characteristics across three water types: “primary plume water”, characterised by high TSS values; “secondary plume water”, characterised by high phytoplankton production as measured by elevated chlorophyll-a (chl-a), and “tertiary plume water”, characterised by elevated coloured dissolved and detrital matter (CDOM + D). This classification is a first step to characterise flood plumes.","DOI":"10.1016/j.marpolbul.2012.03.001","ISSN":"0025-326X","journalAbbreviation":"Marine Pollution Bulletin","author":[{"family":"Devlin","given":"Michelle"},{"family":"McKinna","given":"L."},{"family":"Álvarez-Romero","given":"J. G."},{"family":"Petus","given":"C."},{"family":"Abott","given":"B."},{"family":"Harkness","given":"P."},{"family":"Brodie","given":"J."}],"issued":{"date-parts":[["2012"]]}},"label":"page"},{"id":25,"uris":["http://zotero.org/users/2324349/items/TRJAN8JF"],"uri":["http://zotero.org/users/2324349/items/TRJAN8JF"],"itemData":{"id":25,"type":"chapter","title":"Monitoring and mapping of flood plumes in the Great Barrier Reef based on in-situ and remote sensing observations.","container-title":"Advances in Environmental Remote Sensing to Monitor Global Changes","publisher":"CRC Press","publisher-place":"Boca Raton","event-place":"Boca Raton","URL":"http://www.nerptropical.edu.au/publication/monitoring-and-mapping-flood-plumes-great-barrier-reef-based-situ-and-remote-sensing","author":[{"family":"Devlin","given":"Michelle"},{"family":"Schroeder","given":"Thomas"},{"family":"McKinna","given":"L."},{"family":"Brodie","given":"Jon"},{"family":"Brando","given":"Vittorio"},{"family":"Dekker","given":"A."}],"issued":{"date-parts":[["2012"]]},"accessed":{"date-parts":[["2015",5,20]]}},"label":"page"}],"schema":"https://github.com/citation-style-language/schema/raw/master/csl-citation.json"} </w:instrText>
      </w:r>
      <w:r w:rsidRPr="00AD57A0">
        <w:rPr>
          <w:rFonts w:cs="Courier New"/>
        </w:rPr>
        <w:fldChar w:fldCharType="separate"/>
      </w:r>
      <w:r w:rsidRPr="00AD57A0">
        <w:rPr>
          <w:rFonts w:cs="Courier New"/>
        </w:rPr>
        <w:t>(e.g., Álvarez-Romero et al., 2013; Brodie et al., 2012; Devlin et al., 2012a, 2012b)</w:t>
      </w:r>
      <w:r w:rsidRPr="00AD57A0">
        <w:rPr>
          <w:rFonts w:cs="Courier New"/>
        </w:rPr>
        <w:fldChar w:fldCharType="end"/>
      </w:r>
      <w:r w:rsidRPr="00AD57A0">
        <w:rPr>
          <w:rFonts w:cs="Courier New"/>
        </w:rPr>
        <w:t>, and as a consequence lower yields are resulted. The contour line DIN equals to 10 kg/km</w:t>
      </w:r>
      <w:r w:rsidRPr="00AD57A0">
        <w:rPr>
          <w:rFonts w:cs="Courier New"/>
          <w:vertAlign w:val="superscript"/>
        </w:rPr>
        <w:t>2</w:t>
      </w:r>
      <w:r w:rsidRPr="00AD57A0">
        <w:rPr>
          <w:rFonts w:cs="Courier New"/>
        </w:rPr>
        <w:t xml:space="preserve"> illustrates how far DIN can reach the GBR lagoon. A yield of 10 kg/km</w:t>
      </w:r>
      <w:r w:rsidRPr="00AD57A0">
        <w:rPr>
          <w:rFonts w:cs="Courier New"/>
          <w:vertAlign w:val="superscript"/>
        </w:rPr>
        <w:t>2</w:t>
      </w:r>
      <w:r w:rsidRPr="00AD57A0">
        <w:rPr>
          <w:rFonts w:cs="Courier New"/>
        </w:rPr>
        <w:t xml:space="preserve"> was arbitrarily selected. Regardless how far the model-predicted DIN export can reach, DIN yields drop off relatively quickly, normally being halved in the first 25-35 km far from the river mouth (c.a., parallel to the coast).</w:t>
      </w:r>
    </w:p>
    <w:p w14:paraId="475CA92F" w14:textId="77777777" w:rsidR="000879E3" w:rsidRDefault="000879E3" w:rsidP="00BE1A79">
      <w:pPr>
        <w:pStyle w:val="Caption"/>
        <w:keepNext/>
        <w:jc w:val="both"/>
      </w:pPr>
      <w:r>
        <w:br w:type="page"/>
      </w:r>
    </w:p>
    <w:p w14:paraId="669DC029" w14:textId="1FC37111" w:rsidR="00BE1A79" w:rsidRPr="00AD57A0" w:rsidRDefault="00BE1A79" w:rsidP="00BE1A79">
      <w:pPr>
        <w:pStyle w:val="Caption"/>
        <w:keepNext/>
        <w:jc w:val="both"/>
      </w:pPr>
      <w:bookmarkStart w:id="174" w:name="_Toc454304616"/>
      <w:r w:rsidRPr="00AD57A0">
        <w:lastRenderedPageBreak/>
        <w:t xml:space="preserve">Table </w:t>
      </w:r>
      <w:r>
        <w:fldChar w:fldCharType="begin"/>
      </w:r>
      <w:r>
        <w:instrText xml:space="preserve"> STYLEREF 1 \s </w:instrText>
      </w:r>
      <w:r>
        <w:fldChar w:fldCharType="separate"/>
      </w:r>
      <w:r w:rsidR="000E22F3">
        <w:rPr>
          <w:noProof/>
        </w:rPr>
        <w:t>4</w:t>
      </w:r>
      <w:r>
        <w:fldChar w:fldCharType="end"/>
      </w:r>
      <w:r>
        <w:noBreakHyphen/>
      </w:r>
      <w:r>
        <w:fldChar w:fldCharType="begin"/>
      </w:r>
      <w:r>
        <w:instrText xml:space="preserve"> SEQ Table \* ARABIC \s 1 </w:instrText>
      </w:r>
      <w:r>
        <w:fldChar w:fldCharType="separate"/>
      </w:r>
      <w:r w:rsidR="000E22F3">
        <w:rPr>
          <w:noProof/>
        </w:rPr>
        <w:t>11</w:t>
      </w:r>
      <w:r>
        <w:fldChar w:fldCharType="end"/>
      </w:r>
      <w:r w:rsidRPr="00AD57A0">
        <w:t>: Total annual end-of-catchment dissolved inorganic nitrogen load (DIN, ton), the total wet season discharge (mega-li</w:t>
      </w:r>
      <w:r>
        <w:t>tre</w:t>
      </w:r>
      <w:r w:rsidRPr="00AD57A0">
        <w:t>s, ML), the plume extent as predicted from Equation 2 and the maximum model-predicted DIN yield at the river mouth (kg/km</w:t>
      </w:r>
      <w:r w:rsidRPr="00AD57A0">
        <w:rPr>
          <w:vertAlign w:val="superscript"/>
        </w:rPr>
        <w:t>2</w:t>
      </w:r>
      <w:r w:rsidRPr="00AD57A0">
        <w:t>).</w:t>
      </w:r>
      <w:bookmarkEnd w:id="174"/>
    </w:p>
    <w:tbl>
      <w:tblPr>
        <w:tblW w:w="0" w:type="auto"/>
        <w:tblLook w:val="04A0" w:firstRow="1" w:lastRow="0" w:firstColumn="1" w:lastColumn="0" w:noHBand="0" w:noVBand="1"/>
        <w:tblCaption w:val="Table 4-11"/>
        <w:tblDescription w:val="Total annual end-of-catchment dissolved inorganic nitrogen load (DIN, ton), the total wet season discharge (mega-litres, ML), the plume extent as predicted from Equation 2 and the maximum model-predicted DIN yield at the river mouth (kg/km2)."/>
      </w:tblPr>
      <w:tblGrid>
        <w:gridCol w:w="1051"/>
        <w:gridCol w:w="1361"/>
        <w:gridCol w:w="2427"/>
        <w:gridCol w:w="2083"/>
        <w:gridCol w:w="2321"/>
      </w:tblGrid>
      <w:tr w:rsidR="00BE1A79" w:rsidRPr="00AD57A0" w14:paraId="6E610399" w14:textId="77777777" w:rsidTr="00103A43">
        <w:trPr>
          <w:trHeight w:val="20"/>
        </w:trPr>
        <w:tc>
          <w:tcPr>
            <w:tcW w:w="0" w:type="auto"/>
            <w:tcBorders>
              <w:top w:val="single" w:sz="4" w:space="0" w:color="auto"/>
              <w:left w:val="nil"/>
              <w:bottom w:val="single" w:sz="4" w:space="0" w:color="auto"/>
              <w:right w:val="nil"/>
            </w:tcBorders>
            <w:shd w:val="clear" w:color="auto" w:fill="auto"/>
            <w:noWrap/>
            <w:vAlign w:val="center"/>
            <w:hideMark/>
          </w:tcPr>
          <w:p w14:paraId="4CE1DD87" w14:textId="77777777" w:rsidR="00BE1A79" w:rsidRPr="00AD57A0" w:rsidRDefault="00BE1A79" w:rsidP="00103A43">
            <w:pPr>
              <w:spacing w:before="0" w:after="0" w:line="276" w:lineRule="auto"/>
              <w:jc w:val="left"/>
              <w:rPr>
                <w:rFonts w:ascii="Calibri" w:hAnsi="Calibri"/>
                <w:color w:val="000000"/>
                <w:sz w:val="20"/>
                <w:szCs w:val="20"/>
              </w:rPr>
            </w:pPr>
            <w:r w:rsidRPr="00AD57A0">
              <w:rPr>
                <w:rFonts w:ascii="Calibri" w:hAnsi="Calibri"/>
                <w:color w:val="000000"/>
                <w:sz w:val="20"/>
                <w:szCs w:val="20"/>
              </w:rPr>
              <w:t>River</w:t>
            </w:r>
          </w:p>
        </w:tc>
        <w:tc>
          <w:tcPr>
            <w:tcW w:w="0" w:type="auto"/>
            <w:tcBorders>
              <w:top w:val="single" w:sz="4" w:space="0" w:color="auto"/>
              <w:left w:val="nil"/>
              <w:bottom w:val="single" w:sz="4" w:space="0" w:color="auto"/>
              <w:right w:val="nil"/>
            </w:tcBorders>
            <w:shd w:val="clear" w:color="auto" w:fill="auto"/>
            <w:noWrap/>
            <w:vAlign w:val="center"/>
            <w:hideMark/>
          </w:tcPr>
          <w:p w14:paraId="0FFC6ED2" w14:textId="77777777" w:rsidR="00BE1A79" w:rsidRPr="00AD57A0" w:rsidRDefault="00BE1A79" w:rsidP="00103A43">
            <w:pPr>
              <w:spacing w:before="0" w:after="0" w:line="276" w:lineRule="auto"/>
              <w:jc w:val="center"/>
              <w:rPr>
                <w:rFonts w:ascii="Calibri" w:hAnsi="Calibri"/>
                <w:color w:val="000000"/>
                <w:sz w:val="20"/>
                <w:szCs w:val="20"/>
              </w:rPr>
            </w:pPr>
            <w:r w:rsidRPr="00AD57A0">
              <w:rPr>
                <w:rFonts w:ascii="Calibri" w:hAnsi="Calibri"/>
                <w:color w:val="000000"/>
                <w:sz w:val="20"/>
                <w:szCs w:val="20"/>
              </w:rPr>
              <w:t>DIN load (ton)</w:t>
            </w:r>
          </w:p>
        </w:tc>
        <w:tc>
          <w:tcPr>
            <w:tcW w:w="0" w:type="auto"/>
            <w:tcBorders>
              <w:top w:val="single" w:sz="4" w:space="0" w:color="auto"/>
              <w:left w:val="nil"/>
              <w:bottom w:val="single" w:sz="4" w:space="0" w:color="auto"/>
              <w:right w:val="nil"/>
            </w:tcBorders>
            <w:shd w:val="clear" w:color="auto" w:fill="auto"/>
            <w:noWrap/>
            <w:vAlign w:val="center"/>
            <w:hideMark/>
          </w:tcPr>
          <w:p w14:paraId="62341B8B" w14:textId="77777777" w:rsidR="00BE1A79" w:rsidRPr="00AD57A0" w:rsidRDefault="00BE1A79" w:rsidP="00103A43">
            <w:pPr>
              <w:spacing w:before="0" w:after="0" w:line="276" w:lineRule="auto"/>
              <w:jc w:val="center"/>
              <w:rPr>
                <w:rFonts w:ascii="Calibri" w:hAnsi="Calibri"/>
                <w:color w:val="000000"/>
                <w:sz w:val="20"/>
                <w:szCs w:val="20"/>
              </w:rPr>
            </w:pPr>
            <w:r w:rsidRPr="00AD57A0">
              <w:rPr>
                <w:rFonts w:ascii="Calibri" w:hAnsi="Calibri"/>
                <w:color w:val="000000"/>
                <w:sz w:val="20"/>
                <w:szCs w:val="20"/>
              </w:rPr>
              <w:t>Wet Season discharge (ML)</w:t>
            </w:r>
          </w:p>
        </w:tc>
        <w:tc>
          <w:tcPr>
            <w:tcW w:w="0" w:type="auto"/>
            <w:tcBorders>
              <w:top w:val="single" w:sz="4" w:space="0" w:color="auto"/>
              <w:left w:val="nil"/>
              <w:bottom w:val="single" w:sz="4" w:space="0" w:color="auto"/>
              <w:right w:val="nil"/>
            </w:tcBorders>
            <w:shd w:val="clear" w:color="auto" w:fill="auto"/>
            <w:noWrap/>
            <w:vAlign w:val="center"/>
            <w:hideMark/>
          </w:tcPr>
          <w:p w14:paraId="0411989D" w14:textId="77777777" w:rsidR="00BE1A79" w:rsidRPr="00AD57A0" w:rsidRDefault="00BE1A79" w:rsidP="00103A43">
            <w:pPr>
              <w:spacing w:before="0" w:after="0" w:line="276" w:lineRule="auto"/>
              <w:jc w:val="center"/>
              <w:rPr>
                <w:rFonts w:ascii="Calibri" w:hAnsi="Calibri"/>
                <w:color w:val="000000"/>
                <w:sz w:val="20"/>
                <w:szCs w:val="20"/>
              </w:rPr>
            </w:pPr>
            <w:r w:rsidRPr="00AD57A0">
              <w:rPr>
                <w:rFonts w:ascii="Calibri" w:hAnsi="Calibri"/>
                <w:color w:val="000000"/>
                <w:sz w:val="20"/>
                <w:szCs w:val="20"/>
              </w:rPr>
              <w:t>Plume outer edge (km)</w:t>
            </w:r>
          </w:p>
        </w:tc>
        <w:tc>
          <w:tcPr>
            <w:tcW w:w="0" w:type="auto"/>
            <w:tcBorders>
              <w:top w:val="single" w:sz="4" w:space="0" w:color="auto"/>
              <w:left w:val="nil"/>
              <w:bottom w:val="single" w:sz="4" w:space="0" w:color="auto"/>
              <w:right w:val="nil"/>
            </w:tcBorders>
            <w:vAlign w:val="center"/>
          </w:tcPr>
          <w:p w14:paraId="32186ED7" w14:textId="77777777" w:rsidR="00BE1A79" w:rsidRPr="00AD57A0" w:rsidRDefault="00BE1A79" w:rsidP="00103A43">
            <w:pPr>
              <w:spacing w:before="0" w:after="0" w:line="276" w:lineRule="auto"/>
              <w:jc w:val="center"/>
              <w:rPr>
                <w:rFonts w:ascii="Calibri" w:hAnsi="Calibri"/>
                <w:color w:val="000000"/>
                <w:sz w:val="20"/>
                <w:szCs w:val="20"/>
              </w:rPr>
            </w:pPr>
            <w:r w:rsidRPr="00AD57A0">
              <w:rPr>
                <w:rFonts w:ascii="Calibri" w:hAnsi="Calibri"/>
                <w:color w:val="000000"/>
                <w:sz w:val="20"/>
                <w:szCs w:val="20"/>
              </w:rPr>
              <w:t>Max. yield at river mouth (kg/km</w:t>
            </w:r>
            <w:r w:rsidRPr="00AD57A0">
              <w:rPr>
                <w:rFonts w:ascii="Calibri" w:hAnsi="Calibri"/>
                <w:color w:val="000000"/>
                <w:sz w:val="20"/>
                <w:szCs w:val="20"/>
                <w:vertAlign w:val="superscript"/>
              </w:rPr>
              <w:t>2</w:t>
            </w:r>
            <w:r w:rsidRPr="00AD57A0">
              <w:rPr>
                <w:rFonts w:ascii="Calibri" w:hAnsi="Calibri"/>
                <w:color w:val="000000"/>
                <w:sz w:val="20"/>
                <w:szCs w:val="20"/>
              </w:rPr>
              <w:t>)</w:t>
            </w:r>
          </w:p>
        </w:tc>
      </w:tr>
      <w:tr w:rsidR="00BE1A79" w:rsidRPr="00AD57A0" w14:paraId="5FCAC5DD" w14:textId="77777777" w:rsidTr="00103A43">
        <w:trPr>
          <w:trHeight w:val="20"/>
        </w:trPr>
        <w:tc>
          <w:tcPr>
            <w:tcW w:w="0" w:type="auto"/>
            <w:tcBorders>
              <w:top w:val="nil"/>
              <w:left w:val="nil"/>
              <w:bottom w:val="nil"/>
              <w:right w:val="nil"/>
            </w:tcBorders>
            <w:shd w:val="clear" w:color="auto" w:fill="auto"/>
            <w:noWrap/>
            <w:vAlign w:val="center"/>
            <w:hideMark/>
          </w:tcPr>
          <w:p w14:paraId="1AD3E817" w14:textId="77777777" w:rsidR="00BE1A79" w:rsidRPr="00AD57A0" w:rsidRDefault="00BE1A79" w:rsidP="00103A43">
            <w:pPr>
              <w:spacing w:before="0" w:after="0" w:line="276" w:lineRule="auto"/>
              <w:jc w:val="left"/>
              <w:rPr>
                <w:rFonts w:ascii="Calibri" w:hAnsi="Calibri"/>
                <w:color w:val="000000"/>
                <w:sz w:val="20"/>
                <w:szCs w:val="20"/>
              </w:rPr>
            </w:pPr>
            <w:r w:rsidRPr="00AD57A0">
              <w:rPr>
                <w:rFonts w:ascii="Calibri" w:hAnsi="Calibri"/>
                <w:color w:val="000000"/>
                <w:sz w:val="20"/>
                <w:szCs w:val="20"/>
              </w:rPr>
              <w:t>Barron</w:t>
            </w:r>
          </w:p>
        </w:tc>
        <w:tc>
          <w:tcPr>
            <w:tcW w:w="0" w:type="auto"/>
            <w:tcBorders>
              <w:top w:val="nil"/>
              <w:left w:val="nil"/>
              <w:bottom w:val="nil"/>
              <w:right w:val="nil"/>
            </w:tcBorders>
            <w:shd w:val="clear" w:color="auto" w:fill="auto"/>
            <w:noWrap/>
            <w:vAlign w:val="center"/>
            <w:hideMark/>
          </w:tcPr>
          <w:p w14:paraId="4E7B7639" w14:textId="77777777" w:rsidR="00BE1A79" w:rsidRPr="00AD57A0" w:rsidRDefault="00BE1A79" w:rsidP="00103A43">
            <w:pPr>
              <w:spacing w:before="0" w:after="0" w:line="276" w:lineRule="auto"/>
              <w:jc w:val="center"/>
              <w:rPr>
                <w:rFonts w:ascii="Calibri" w:hAnsi="Calibri"/>
                <w:color w:val="000000"/>
                <w:sz w:val="20"/>
                <w:szCs w:val="20"/>
              </w:rPr>
            </w:pPr>
            <w:r w:rsidRPr="00AD57A0">
              <w:rPr>
                <w:rFonts w:ascii="Calibri" w:hAnsi="Calibri"/>
                <w:color w:val="000000"/>
                <w:sz w:val="20"/>
                <w:szCs w:val="20"/>
              </w:rPr>
              <w:t>33</w:t>
            </w:r>
          </w:p>
        </w:tc>
        <w:tc>
          <w:tcPr>
            <w:tcW w:w="0" w:type="auto"/>
            <w:tcBorders>
              <w:top w:val="nil"/>
              <w:left w:val="nil"/>
              <w:bottom w:val="nil"/>
              <w:right w:val="nil"/>
            </w:tcBorders>
            <w:shd w:val="clear" w:color="auto" w:fill="auto"/>
            <w:noWrap/>
            <w:vAlign w:val="center"/>
            <w:hideMark/>
          </w:tcPr>
          <w:p w14:paraId="71734790" w14:textId="77777777" w:rsidR="00BE1A79" w:rsidRPr="00AD57A0" w:rsidRDefault="00BE1A79" w:rsidP="00103A43">
            <w:pPr>
              <w:spacing w:before="0" w:after="0" w:line="276" w:lineRule="auto"/>
              <w:jc w:val="center"/>
              <w:rPr>
                <w:rFonts w:ascii="Calibri" w:hAnsi="Calibri"/>
                <w:color w:val="000000"/>
                <w:sz w:val="20"/>
                <w:szCs w:val="20"/>
              </w:rPr>
            </w:pPr>
            <w:r w:rsidRPr="00AD57A0">
              <w:rPr>
                <w:rFonts w:ascii="Calibri" w:hAnsi="Calibri"/>
                <w:color w:val="000000"/>
                <w:sz w:val="20"/>
                <w:szCs w:val="20"/>
              </w:rPr>
              <w:t>435,098</w:t>
            </w:r>
          </w:p>
        </w:tc>
        <w:tc>
          <w:tcPr>
            <w:tcW w:w="0" w:type="auto"/>
            <w:tcBorders>
              <w:top w:val="nil"/>
              <w:left w:val="nil"/>
              <w:bottom w:val="nil"/>
              <w:right w:val="nil"/>
            </w:tcBorders>
            <w:shd w:val="clear" w:color="auto" w:fill="auto"/>
            <w:noWrap/>
            <w:vAlign w:val="center"/>
            <w:hideMark/>
          </w:tcPr>
          <w:p w14:paraId="6E8D5DDD" w14:textId="77777777" w:rsidR="00BE1A79" w:rsidRPr="00AD57A0" w:rsidRDefault="00BE1A79" w:rsidP="00103A43">
            <w:pPr>
              <w:spacing w:before="0" w:after="0" w:line="276" w:lineRule="auto"/>
              <w:jc w:val="center"/>
              <w:rPr>
                <w:rFonts w:ascii="Calibri" w:hAnsi="Calibri"/>
                <w:color w:val="000000"/>
                <w:sz w:val="20"/>
                <w:szCs w:val="20"/>
              </w:rPr>
            </w:pPr>
            <w:r w:rsidRPr="00AD57A0">
              <w:rPr>
                <w:rFonts w:ascii="Calibri" w:hAnsi="Calibri"/>
                <w:color w:val="000000"/>
                <w:sz w:val="20"/>
                <w:szCs w:val="20"/>
              </w:rPr>
              <w:t>68</w:t>
            </w:r>
          </w:p>
        </w:tc>
        <w:tc>
          <w:tcPr>
            <w:tcW w:w="0" w:type="auto"/>
            <w:tcBorders>
              <w:top w:val="nil"/>
              <w:left w:val="nil"/>
              <w:bottom w:val="nil"/>
              <w:right w:val="nil"/>
            </w:tcBorders>
            <w:vAlign w:val="center"/>
          </w:tcPr>
          <w:p w14:paraId="4056DF8C" w14:textId="77777777" w:rsidR="00BE1A79" w:rsidRPr="00AD57A0" w:rsidRDefault="00BE1A79" w:rsidP="00103A43">
            <w:pPr>
              <w:spacing w:before="0" w:after="0" w:line="276" w:lineRule="auto"/>
              <w:jc w:val="center"/>
            </w:pPr>
            <w:r w:rsidRPr="00AD57A0">
              <w:t>3</w:t>
            </w:r>
          </w:p>
        </w:tc>
      </w:tr>
      <w:tr w:rsidR="00BE1A79" w:rsidRPr="00AD57A0" w14:paraId="04AD2D3E" w14:textId="77777777" w:rsidTr="00103A43">
        <w:trPr>
          <w:trHeight w:val="20"/>
        </w:trPr>
        <w:tc>
          <w:tcPr>
            <w:tcW w:w="0" w:type="auto"/>
            <w:tcBorders>
              <w:top w:val="nil"/>
              <w:left w:val="nil"/>
              <w:bottom w:val="nil"/>
              <w:right w:val="nil"/>
            </w:tcBorders>
            <w:shd w:val="clear" w:color="auto" w:fill="auto"/>
            <w:noWrap/>
            <w:vAlign w:val="center"/>
            <w:hideMark/>
          </w:tcPr>
          <w:p w14:paraId="01159E7C" w14:textId="77777777" w:rsidR="00BE1A79" w:rsidRPr="00AD57A0" w:rsidRDefault="00BE1A79" w:rsidP="00103A43">
            <w:pPr>
              <w:spacing w:before="0" w:after="0" w:line="276" w:lineRule="auto"/>
              <w:jc w:val="left"/>
              <w:rPr>
                <w:rFonts w:ascii="Calibri" w:hAnsi="Calibri"/>
                <w:color w:val="000000"/>
                <w:sz w:val="20"/>
                <w:szCs w:val="20"/>
              </w:rPr>
            </w:pPr>
            <w:r w:rsidRPr="00AD57A0">
              <w:rPr>
                <w:rFonts w:ascii="Calibri" w:hAnsi="Calibri"/>
                <w:color w:val="000000"/>
                <w:sz w:val="20"/>
                <w:szCs w:val="20"/>
              </w:rPr>
              <w:t>Johnstone</w:t>
            </w:r>
          </w:p>
        </w:tc>
        <w:tc>
          <w:tcPr>
            <w:tcW w:w="0" w:type="auto"/>
            <w:tcBorders>
              <w:top w:val="nil"/>
              <w:left w:val="nil"/>
              <w:bottom w:val="nil"/>
              <w:right w:val="nil"/>
            </w:tcBorders>
            <w:shd w:val="clear" w:color="auto" w:fill="auto"/>
            <w:noWrap/>
            <w:vAlign w:val="center"/>
            <w:hideMark/>
          </w:tcPr>
          <w:p w14:paraId="356D9D71" w14:textId="77777777" w:rsidR="00BE1A79" w:rsidRPr="00AD57A0" w:rsidRDefault="00BE1A79" w:rsidP="00103A43">
            <w:pPr>
              <w:spacing w:before="0" w:after="0" w:line="276" w:lineRule="auto"/>
              <w:jc w:val="center"/>
              <w:rPr>
                <w:rFonts w:ascii="Calibri" w:hAnsi="Calibri"/>
                <w:color w:val="000000"/>
                <w:sz w:val="20"/>
                <w:szCs w:val="20"/>
              </w:rPr>
            </w:pPr>
            <w:r w:rsidRPr="00AD57A0">
              <w:rPr>
                <w:rFonts w:ascii="Calibri" w:hAnsi="Calibri"/>
                <w:color w:val="000000"/>
                <w:sz w:val="20"/>
                <w:szCs w:val="20"/>
              </w:rPr>
              <w:t>460</w:t>
            </w:r>
          </w:p>
        </w:tc>
        <w:tc>
          <w:tcPr>
            <w:tcW w:w="0" w:type="auto"/>
            <w:tcBorders>
              <w:top w:val="nil"/>
              <w:left w:val="nil"/>
              <w:bottom w:val="nil"/>
              <w:right w:val="nil"/>
            </w:tcBorders>
            <w:shd w:val="clear" w:color="auto" w:fill="auto"/>
            <w:noWrap/>
            <w:vAlign w:val="center"/>
            <w:hideMark/>
          </w:tcPr>
          <w:p w14:paraId="493DB9D7" w14:textId="77777777" w:rsidR="00BE1A79" w:rsidRPr="00AD57A0" w:rsidRDefault="00BE1A79" w:rsidP="00103A43">
            <w:pPr>
              <w:spacing w:before="0" w:after="0" w:line="276" w:lineRule="auto"/>
              <w:jc w:val="center"/>
              <w:rPr>
                <w:rFonts w:ascii="Calibri" w:hAnsi="Calibri"/>
                <w:color w:val="000000"/>
                <w:sz w:val="20"/>
                <w:szCs w:val="20"/>
              </w:rPr>
            </w:pPr>
            <w:r w:rsidRPr="00AD57A0">
              <w:rPr>
                <w:rFonts w:ascii="Calibri" w:hAnsi="Calibri"/>
                <w:color w:val="000000"/>
                <w:sz w:val="20"/>
                <w:szCs w:val="20"/>
              </w:rPr>
              <w:t>1,945,598</w:t>
            </w:r>
          </w:p>
        </w:tc>
        <w:tc>
          <w:tcPr>
            <w:tcW w:w="0" w:type="auto"/>
            <w:tcBorders>
              <w:top w:val="nil"/>
              <w:left w:val="nil"/>
              <w:bottom w:val="nil"/>
              <w:right w:val="nil"/>
            </w:tcBorders>
            <w:shd w:val="clear" w:color="auto" w:fill="auto"/>
            <w:noWrap/>
            <w:vAlign w:val="center"/>
            <w:hideMark/>
          </w:tcPr>
          <w:p w14:paraId="600F3E7A" w14:textId="77777777" w:rsidR="00BE1A79" w:rsidRPr="00AD57A0" w:rsidRDefault="00BE1A79" w:rsidP="00103A43">
            <w:pPr>
              <w:spacing w:before="0" w:after="0" w:line="276" w:lineRule="auto"/>
              <w:jc w:val="center"/>
              <w:rPr>
                <w:rFonts w:ascii="Calibri" w:hAnsi="Calibri"/>
                <w:color w:val="000000"/>
                <w:sz w:val="20"/>
                <w:szCs w:val="20"/>
              </w:rPr>
            </w:pPr>
            <w:r w:rsidRPr="00AD57A0">
              <w:rPr>
                <w:rFonts w:ascii="Calibri" w:hAnsi="Calibri"/>
                <w:color w:val="000000"/>
                <w:sz w:val="20"/>
                <w:szCs w:val="20"/>
              </w:rPr>
              <w:t>97</w:t>
            </w:r>
          </w:p>
        </w:tc>
        <w:tc>
          <w:tcPr>
            <w:tcW w:w="0" w:type="auto"/>
            <w:tcBorders>
              <w:top w:val="nil"/>
              <w:left w:val="nil"/>
              <w:bottom w:val="nil"/>
              <w:right w:val="nil"/>
            </w:tcBorders>
            <w:vAlign w:val="center"/>
          </w:tcPr>
          <w:p w14:paraId="43DCB233" w14:textId="77777777" w:rsidR="00BE1A79" w:rsidRPr="00AD57A0" w:rsidRDefault="00BE1A79" w:rsidP="00103A43">
            <w:pPr>
              <w:spacing w:before="0" w:after="0" w:line="276" w:lineRule="auto"/>
              <w:jc w:val="center"/>
            </w:pPr>
            <w:r w:rsidRPr="00AD57A0">
              <w:t>34</w:t>
            </w:r>
          </w:p>
        </w:tc>
      </w:tr>
      <w:tr w:rsidR="00BE1A79" w:rsidRPr="00AD57A0" w14:paraId="31141FE6" w14:textId="77777777" w:rsidTr="00103A43">
        <w:trPr>
          <w:trHeight w:val="20"/>
        </w:trPr>
        <w:tc>
          <w:tcPr>
            <w:tcW w:w="0" w:type="auto"/>
            <w:tcBorders>
              <w:top w:val="nil"/>
              <w:left w:val="nil"/>
              <w:bottom w:val="nil"/>
              <w:right w:val="nil"/>
            </w:tcBorders>
            <w:shd w:val="clear" w:color="auto" w:fill="auto"/>
            <w:noWrap/>
            <w:vAlign w:val="center"/>
            <w:hideMark/>
          </w:tcPr>
          <w:p w14:paraId="02AD476B" w14:textId="77777777" w:rsidR="00BE1A79" w:rsidRPr="00AD57A0" w:rsidRDefault="00BE1A79" w:rsidP="00103A43">
            <w:pPr>
              <w:spacing w:before="0" w:after="0" w:line="276" w:lineRule="auto"/>
              <w:jc w:val="left"/>
              <w:rPr>
                <w:rFonts w:ascii="Calibri" w:hAnsi="Calibri"/>
                <w:color w:val="000000"/>
                <w:sz w:val="20"/>
                <w:szCs w:val="20"/>
              </w:rPr>
            </w:pPr>
            <w:r w:rsidRPr="00AD57A0">
              <w:rPr>
                <w:rFonts w:ascii="Calibri" w:hAnsi="Calibri"/>
                <w:color w:val="000000"/>
                <w:sz w:val="20"/>
                <w:szCs w:val="20"/>
              </w:rPr>
              <w:t>Tully</w:t>
            </w:r>
          </w:p>
        </w:tc>
        <w:tc>
          <w:tcPr>
            <w:tcW w:w="0" w:type="auto"/>
            <w:tcBorders>
              <w:top w:val="nil"/>
              <w:left w:val="nil"/>
              <w:bottom w:val="nil"/>
              <w:right w:val="nil"/>
            </w:tcBorders>
            <w:shd w:val="clear" w:color="auto" w:fill="auto"/>
            <w:noWrap/>
            <w:vAlign w:val="center"/>
            <w:hideMark/>
          </w:tcPr>
          <w:p w14:paraId="4C998792" w14:textId="77777777" w:rsidR="00BE1A79" w:rsidRPr="00AD57A0" w:rsidRDefault="00BE1A79" w:rsidP="00103A43">
            <w:pPr>
              <w:spacing w:before="0" w:after="0" w:line="276" w:lineRule="auto"/>
              <w:jc w:val="center"/>
              <w:rPr>
                <w:rFonts w:ascii="Calibri" w:hAnsi="Calibri"/>
                <w:color w:val="000000"/>
                <w:sz w:val="20"/>
                <w:szCs w:val="20"/>
              </w:rPr>
            </w:pPr>
            <w:r w:rsidRPr="00AD57A0">
              <w:rPr>
                <w:rFonts w:ascii="Calibri" w:hAnsi="Calibri"/>
                <w:color w:val="000000"/>
                <w:sz w:val="20"/>
                <w:szCs w:val="20"/>
              </w:rPr>
              <w:t>640</w:t>
            </w:r>
          </w:p>
        </w:tc>
        <w:tc>
          <w:tcPr>
            <w:tcW w:w="0" w:type="auto"/>
            <w:tcBorders>
              <w:top w:val="nil"/>
              <w:left w:val="nil"/>
              <w:bottom w:val="nil"/>
              <w:right w:val="nil"/>
            </w:tcBorders>
            <w:shd w:val="clear" w:color="auto" w:fill="auto"/>
            <w:noWrap/>
            <w:vAlign w:val="center"/>
            <w:hideMark/>
          </w:tcPr>
          <w:p w14:paraId="38F2D29E" w14:textId="77777777" w:rsidR="00BE1A79" w:rsidRPr="00AD57A0" w:rsidRDefault="00BE1A79" w:rsidP="00103A43">
            <w:pPr>
              <w:spacing w:before="0" w:after="0" w:line="276" w:lineRule="auto"/>
              <w:jc w:val="center"/>
              <w:rPr>
                <w:rFonts w:ascii="Calibri" w:hAnsi="Calibri"/>
                <w:color w:val="000000"/>
                <w:sz w:val="20"/>
                <w:szCs w:val="20"/>
              </w:rPr>
            </w:pPr>
            <w:r w:rsidRPr="00AD57A0">
              <w:rPr>
                <w:rFonts w:ascii="Calibri" w:hAnsi="Calibri"/>
                <w:color w:val="000000"/>
                <w:sz w:val="20"/>
                <w:szCs w:val="20"/>
              </w:rPr>
              <w:t>2,378,541</w:t>
            </w:r>
          </w:p>
        </w:tc>
        <w:tc>
          <w:tcPr>
            <w:tcW w:w="0" w:type="auto"/>
            <w:tcBorders>
              <w:top w:val="nil"/>
              <w:left w:val="nil"/>
              <w:bottom w:val="nil"/>
              <w:right w:val="nil"/>
            </w:tcBorders>
            <w:shd w:val="clear" w:color="auto" w:fill="auto"/>
            <w:noWrap/>
            <w:vAlign w:val="center"/>
            <w:hideMark/>
          </w:tcPr>
          <w:p w14:paraId="5686DB6D" w14:textId="77777777" w:rsidR="00BE1A79" w:rsidRPr="00AD57A0" w:rsidRDefault="00BE1A79" w:rsidP="00103A43">
            <w:pPr>
              <w:spacing w:before="0" w:after="0" w:line="276" w:lineRule="auto"/>
              <w:jc w:val="center"/>
              <w:rPr>
                <w:rFonts w:ascii="Calibri" w:hAnsi="Calibri"/>
                <w:color w:val="000000"/>
                <w:sz w:val="20"/>
                <w:szCs w:val="20"/>
              </w:rPr>
            </w:pPr>
            <w:r w:rsidRPr="00AD57A0">
              <w:rPr>
                <w:rFonts w:ascii="Calibri" w:hAnsi="Calibri"/>
                <w:color w:val="000000"/>
                <w:sz w:val="20"/>
                <w:szCs w:val="20"/>
              </w:rPr>
              <w:t>106</w:t>
            </w:r>
          </w:p>
        </w:tc>
        <w:tc>
          <w:tcPr>
            <w:tcW w:w="0" w:type="auto"/>
            <w:tcBorders>
              <w:top w:val="nil"/>
              <w:left w:val="nil"/>
              <w:bottom w:val="nil"/>
              <w:right w:val="nil"/>
            </w:tcBorders>
            <w:vAlign w:val="center"/>
          </w:tcPr>
          <w:p w14:paraId="0E9CD13F" w14:textId="77777777" w:rsidR="00BE1A79" w:rsidRPr="00AD57A0" w:rsidRDefault="00BE1A79" w:rsidP="00103A43">
            <w:pPr>
              <w:spacing w:before="0" w:after="0" w:line="276" w:lineRule="auto"/>
              <w:jc w:val="center"/>
            </w:pPr>
            <w:r w:rsidRPr="00AD57A0">
              <w:t>46</w:t>
            </w:r>
          </w:p>
        </w:tc>
      </w:tr>
      <w:tr w:rsidR="00BE1A79" w:rsidRPr="00AD57A0" w14:paraId="2F3B387F" w14:textId="77777777" w:rsidTr="00103A43">
        <w:trPr>
          <w:trHeight w:val="20"/>
        </w:trPr>
        <w:tc>
          <w:tcPr>
            <w:tcW w:w="0" w:type="auto"/>
            <w:tcBorders>
              <w:top w:val="nil"/>
              <w:left w:val="nil"/>
              <w:bottom w:val="nil"/>
              <w:right w:val="nil"/>
            </w:tcBorders>
            <w:shd w:val="clear" w:color="auto" w:fill="auto"/>
            <w:noWrap/>
            <w:vAlign w:val="center"/>
            <w:hideMark/>
          </w:tcPr>
          <w:p w14:paraId="6C18955E" w14:textId="77777777" w:rsidR="00BE1A79" w:rsidRPr="00AD57A0" w:rsidRDefault="00BE1A79" w:rsidP="00103A43">
            <w:pPr>
              <w:spacing w:before="0" w:after="0" w:line="276" w:lineRule="auto"/>
              <w:jc w:val="left"/>
              <w:rPr>
                <w:rFonts w:ascii="Calibri" w:hAnsi="Calibri"/>
                <w:color w:val="000000"/>
                <w:sz w:val="20"/>
                <w:szCs w:val="20"/>
              </w:rPr>
            </w:pPr>
            <w:r w:rsidRPr="00AD57A0">
              <w:rPr>
                <w:rFonts w:ascii="Calibri" w:hAnsi="Calibri"/>
                <w:color w:val="000000"/>
                <w:sz w:val="20"/>
                <w:szCs w:val="20"/>
              </w:rPr>
              <w:t>Herbert</w:t>
            </w:r>
          </w:p>
        </w:tc>
        <w:tc>
          <w:tcPr>
            <w:tcW w:w="0" w:type="auto"/>
            <w:tcBorders>
              <w:top w:val="nil"/>
              <w:left w:val="nil"/>
              <w:bottom w:val="nil"/>
              <w:right w:val="nil"/>
            </w:tcBorders>
            <w:shd w:val="clear" w:color="auto" w:fill="auto"/>
            <w:noWrap/>
            <w:vAlign w:val="center"/>
            <w:hideMark/>
          </w:tcPr>
          <w:p w14:paraId="062716B0" w14:textId="77777777" w:rsidR="00BE1A79" w:rsidRPr="00AD57A0" w:rsidRDefault="00BE1A79" w:rsidP="00103A43">
            <w:pPr>
              <w:spacing w:before="0" w:after="0" w:line="276" w:lineRule="auto"/>
              <w:jc w:val="center"/>
              <w:rPr>
                <w:rFonts w:ascii="Calibri" w:hAnsi="Calibri"/>
                <w:color w:val="000000"/>
                <w:sz w:val="20"/>
                <w:szCs w:val="20"/>
              </w:rPr>
            </w:pPr>
            <w:r w:rsidRPr="00AD57A0">
              <w:rPr>
                <w:rFonts w:ascii="Calibri" w:hAnsi="Calibri"/>
                <w:color w:val="000000"/>
                <w:sz w:val="20"/>
                <w:szCs w:val="20"/>
              </w:rPr>
              <w:t>760</w:t>
            </w:r>
          </w:p>
        </w:tc>
        <w:tc>
          <w:tcPr>
            <w:tcW w:w="0" w:type="auto"/>
            <w:tcBorders>
              <w:top w:val="nil"/>
              <w:left w:val="nil"/>
              <w:bottom w:val="nil"/>
              <w:right w:val="nil"/>
            </w:tcBorders>
            <w:shd w:val="clear" w:color="auto" w:fill="auto"/>
            <w:noWrap/>
            <w:vAlign w:val="center"/>
            <w:hideMark/>
          </w:tcPr>
          <w:p w14:paraId="249E01D5" w14:textId="77777777" w:rsidR="00BE1A79" w:rsidRPr="00AD57A0" w:rsidRDefault="00BE1A79" w:rsidP="00103A43">
            <w:pPr>
              <w:spacing w:before="0" w:after="0" w:line="276" w:lineRule="auto"/>
              <w:jc w:val="center"/>
              <w:rPr>
                <w:rFonts w:ascii="Calibri" w:hAnsi="Calibri"/>
                <w:color w:val="000000"/>
                <w:sz w:val="20"/>
                <w:szCs w:val="20"/>
              </w:rPr>
            </w:pPr>
            <w:r w:rsidRPr="00AD57A0">
              <w:rPr>
                <w:rFonts w:ascii="Calibri" w:hAnsi="Calibri"/>
                <w:color w:val="000000"/>
                <w:sz w:val="20"/>
                <w:szCs w:val="20"/>
              </w:rPr>
              <w:t>3,212,676</w:t>
            </w:r>
          </w:p>
        </w:tc>
        <w:tc>
          <w:tcPr>
            <w:tcW w:w="0" w:type="auto"/>
            <w:tcBorders>
              <w:top w:val="nil"/>
              <w:left w:val="nil"/>
              <w:bottom w:val="nil"/>
              <w:right w:val="nil"/>
            </w:tcBorders>
            <w:shd w:val="clear" w:color="auto" w:fill="auto"/>
            <w:noWrap/>
            <w:vAlign w:val="center"/>
            <w:hideMark/>
          </w:tcPr>
          <w:p w14:paraId="5CB8FC14" w14:textId="77777777" w:rsidR="00BE1A79" w:rsidRPr="00AD57A0" w:rsidRDefault="00BE1A79" w:rsidP="00103A43">
            <w:pPr>
              <w:spacing w:before="0" w:after="0" w:line="276" w:lineRule="auto"/>
              <w:jc w:val="center"/>
              <w:rPr>
                <w:rFonts w:ascii="Calibri" w:hAnsi="Calibri"/>
                <w:color w:val="000000"/>
                <w:sz w:val="20"/>
                <w:szCs w:val="20"/>
              </w:rPr>
            </w:pPr>
            <w:r w:rsidRPr="00AD57A0">
              <w:rPr>
                <w:rFonts w:ascii="Calibri" w:hAnsi="Calibri"/>
                <w:color w:val="000000"/>
                <w:sz w:val="20"/>
                <w:szCs w:val="20"/>
              </w:rPr>
              <w:t>121</w:t>
            </w:r>
          </w:p>
        </w:tc>
        <w:tc>
          <w:tcPr>
            <w:tcW w:w="0" w:type="auto"/>
            <w:tcBorders>
              <w:top w:val="nil"/>
              <w:left w:val="nil"/>
              <w:bottom w:val="nil"/>
              <w:right w:val="nil"/>
            </w:tcBorders>
            <w:vAlign w:val="center"/>
          </w:tcPr>
          <w:p w14:paraId="3FAB71D8" w14:textId="77777777" w:rsidR="00BE1A79" w:rsidRPr="00AD57A0" w:rsidRDefault="00BE1A79" w:rsidP="00103A43">
            <w:pPr>
              <w:spacing w:before="0" w:after="0" w:line="276" w:lineRule="auto"/>
              <w:jc w:val="center"/>
            </w:pPr>
            <w:r w:rsidRPr="00AD57A0">
              <w:t>56</w:t>
            </w:r>
          </w:p>
        </w:tc>
      </w:tr>
      <w:tr w:rsidR="00BE1A79" w:rsidRPr="00AD57A0" w14:paraId="301BA28D" w14:textId="77777777" w:rsidTr="00103A43">
        <w:trPr>
          <w:trHeight w:val="20"/>
        </w:trPr>
        <w:tc>
          <w:tcPr>
            <w:tcW w:w="0" w:type="auto"/>
            <w:tcBorders>
              <w:top w:val="nil"/>
              <w:left w:val="nil"/>
              <w:right w:val="nil"/>
            </w:tcBorders>
            <w:shd w:val="clear" w:color="auto" w:fill="auto"/>
            <w:noWrap/>
            <w:vAlign w:val="center"/>
            <w:hideMark/>
          </w:tcPr>
          <w:p w14:paraId="0DF32F7D" w14:textId="77777777" w:rsidR="00BE1A79" w:rsidRPr="00AD57A0" w:rsidRDefault="00BE1A79" w:rsidP="00103A43">
            <w:pPr>
              <w:spacing w:before="0" w:after="0" w:line="276" w:lineRule="auto"/>
              <w:jc w:val="left"/>
              <w:rPr>
                <w:rFonts w:ascii="Calibri" w:hAnsi="Calibri"/>
                <w:color w:val="000000"/>
                <w:sz w:val="20"/>
                <w:szCs w:val="20"/>
              </w:rPr>
            </w:pPr>
            <w:r w:rsidRPr="00AD57A0">
              <w:rPr>
                <w:rFonts w:ascii="Calibri" w:hAnsi="Calibri"/>
                <w:color w:val="000000"/>
                <w:sz w:val="20"/>
                <w:szCs w:val="20"/>
              </w:rPr>
              <w:t>Haughton</w:t>
            </w:r>
          </w:p>
        </w:tc>
        <w:tc>
          <w:tcPr>
            <w:tcW w:w="0" w:type="auto"/>
            <w:tcBorders>
              <w:top w:val="nil"/>
              <w:left w:val="nil"/>
              <w:right w:val="nil"/>
            </w:tcBorders>
            <w:shd w:val="clear" w:color="auto" w:fill="auto"/>
            <w:noWrap/>
            <w:vAlign w:val="center"/>
            <w:hideMark/>
          </w:tcPr>
          <w:p w14:paraId="45718F99" w14:textId="77777777" w:rsidR="00BE1A79" w:rsidRPr="00AD57A0" w:rsidRDefault="00BE1A79" w:rsidP="00103A43">
            <w:pPr>
              <w:spacing w:before="0" w:after="0" w:line="276" w:lineRule="auto"/>
              <w:jc w:val="center"/>
              <w:rPr>
                <w:rFonts w:ascii="Calibri" w:hAnsi="Calibri"/>
                <w:color w:val="000000"/>
                <w:sz w:val="20"/>
                <w:szCs w:val="20"/>
              </w:rPr>
            </w:pPr>
            <w:r w:rsidRPr="00AD57A0">
              <w:rPr>
                <w:rFonts w:ascii="Calibri" w:hAnsi="Calibri"/>
                <w:color w:val="000000"/>
                <w:sz w:val="20"/>
                <w:szCs w:val="20"/>
              </w:rPr>
              <w:t>129</w:t>
            </w:r>
          </w:p>
        </w:tc>
        <w:tc>
          <w:tcPr>
            <w:tcW w:w="0" w:type="auto"/>
            <w:tcBorders>
              <w:top w:val="nil"/>
              <w:left w:val="nil"/>
              <w:right w:val="nil"/>
            </w:tcBorders>
            <w:shd w:val="clear" w:color="auto" w:fill="auto"/>
            <w:noWrap/>
            <w:vAlign w:val="center"/>
            <w:hideMark/>
          </w:tcPr>
          <w:p w14:paraId="309EBB79" w14:textId="77777777" w:rsidR="00BE1A79" w:rsidRPr="00AD57A0" w:rsidRDefault="00BE1A79" w:rsidP="00103A43">
            <w:pPr>
              <w:spacing w:before="0" w:after="0" w:line="276" w:lineRule="auto"/>
              <w:jc w:val="center"/>
              <w:rPr>
                <w:rFonts w:ascii="Calibri" w:hAnsi="Calibri"/>
                <w:color w:val="000000"/>
                <w:sz w:val="20"/>
                <w:szCs w:val="20"/>
              </w:rPr>
            </w:pPr>
            <w:r w:rsidRPr="00AD57A0">
              <w:rPr>
                <w:rFonts w:ascii="Calibri" w:hAnsi="Calibri"/>
                <w:color w:val="000000"/>
                <w:sz w:val="20"/>
                <w:szCs w:val="20"/>
              </w:rPr>
              <w:t>229,562</w:t>
            </w:r>
          </w:p>
        </w:tc>
        <w:tc>
          <w:tcPr>
            <w:tcW w:w="0" w:type="auto"/>
            <w:tcBorders>
              <w:top w:val="nil"/>
              <w:left w:val="nil"/>
              <w:right w:val="nil"/>
            </w:tcBorders>
            <w:shd w:val="clear" w:color="auto" w:fill="auto"/>
            <w:noWrap/>
            <w:vAlign w:val="center"/>
            <w:hideMark/>
          </w:tcPr>
          <w:p w14:paraId="548AD118" w14:textId="77777777" w:rsidR="00BE1A79" w:rsidRPr="00AD57A0" w:rsidRDefault="00BE1A79" w:rsidP="00103A43">
            <w:pPr>
              <w:spacing w:before="0" w:after="0" w:line="276" w:lineRule="auto"/>
              <w:jc w:val="center"/>
              <w:rPr>
                <w:rFonts w:ascii="Calibri" w:hAnsi="Calibri"/>
                <w:color w:val="000000"/>
                <w:sz w:val="20"/>
                <w:szCs w:val="20"/>
              </w:rPr>
            </w:pPr>
            <w:r w:rsidRPr="00AD57A0">
              <w:rPr>
                <w:rFonts w:ascii="Calibri" w:hAnsi="Calibri"/>
                <w:color w:val="000000"/>
                <w:sz w:val="20"/>
                <w:szCs w:val="20"/>
              </w:rPr>
              <w:t>63</w:t>
            </w:r>
          </w:p>
        </w:tc>
        <w:tc>
          <w:tcPr>
            <w:tcW w:w="0" w:type="auto"/>
            <w:tcBorders>
              <w:top w:val="nil"/>
              <w:left w:val="nil"/>
              <w:right w:val="nil"/>
            </w:tcBorders>
            <w:vAlign w:val="center"/>
          </w:tcPr>
          <w:p w14:paraId="6C847223" w14:textId="77777777" w:rsidR="00BE1A79" w:rsidRPr="00AD57A0" w:rsidRDefault="00BE1A79" w:rsidP="00103A43">
            <w:pPr>
              <w:spacing w:before="0" w:after="0" w:line="276" w:lineRule="auto"/>
              <w:jc w:val="center"/>
            </w:pPr>
            <w:r w:rsidRPr="00AD57A0">
              <w:t>12</w:t>
            </w:r>
          </w:p>
        </w:tc>
      </w:tr>
      <w:tr w:rsidR="00BE1A79" w:rsidRPr="00AD57A0" w14:paraId="10C52FF5" w14:textId="77777777" w:rsidTr="00103A43">
        <w:trPr>
          <w:trHeight w:val="20"/>
        </w:trPr>
        <w:tc>
          <w:tcPr>
            <w:tcW w:w="0" w:type="auto"/>
            <w:tcBorders>
              <w:top w:val="nil"/>
              <w:left w:val="nil"/>
              <w:right w:val="nil"/>
            </w:tcBorders>
            <w:shd w:val="clear" w:color="auto" w:fill="auto"/>
            <w:noWrap/>
            <w:vAlign w:val="center"/>
            <w:hideMark/>
          </w:tcPr>
          <w:p w14:paraId="2F37BC30" w14:textId="77777777" w:rsidR="00BE1A79" w:rsidRPr="00AD57A0" w:rsidRDefault="00BE1A79" w:rsidP="00103A43">
            <w:pPr>
              <w:spacing w:before="0" w:after="0" w:line="276" w:lineRule="auto"/>
              <w:jc w:val="left"/>
              <w:rPr>
                <w:rFonts w:ascii="Calibri" w:hAnsi="Calibri"/>
                <w:color w:val="000000"/>
                <w:sz w:val="20"/>
                <w:szCs w:val="20"/>
              </w:rPr>
            </w:pPr>
            <w:r w:rsidRPr="00AD57A0">
              <w:rPr>
                <w:rFonts w:ascii="Calibri" w:hAnsi="Calibri"/>
                <w:color w:val="000000"/>
                <w:sz w:val="20"/>
                <w:szCs w:val="20"/>
              </w:rPr>
              <w:t>Burdekin</w:t>
            </w:r>
          </w:p>
        </w:tc>
        <w:tc>
          <w:tcPr>
            <w:tcW w:w="0" w:type="auto"/>
            <w:tcBorders>
              <w:top w:val="nil"/>
              <w:left w:val="nil"/>
              <w:right w:val="nil"/>
            </w:tcBorders>
            <w:shd w:val="clear" w:color="auto" w:fill="auto"/>
            <w:noWrap/>
            <w:vAlign w:val="center"/>
            <w:hideMark/>
          </w:tcPr>
          <w:p w14:paraId="083B436D" w14:textId="77777777" w:rsidR="00BE1A79" w:rsidRPr="00AD57A0" w:rsidRDefault="00BE1A79" w:rsidP="00103A43">
            <w:pPr>
              <w:spacing w:before="0" w:after="0" w:line="276" w:lineRule="auto"/>
              <w:jc w:val="center"/>
              <w:rPr>
                <w:rFonts w:ascii="Calibri" w:hAnsi="Calibri"/>
                <w:color w:val="000000"/>
                <w:sz w:val="20"/>
                <w:szCs w:val="20"/>
              </w:rPr>
            </w:pPr>
            <w:r w:rsidRPr="00AD57A0">
              <w:rPr>
                <w:rFonts w:ascii="Calibri" w:hAnsi="Calibri"/>
                <w:color w:val="000000"/>
                <w:sz w:val="20"/>
                <w:szCs w:val="20"/>
              </w:rPr>
              <w:t>130</w:t>
            </w:r>
          </w:p>
        </w:tc>
        <w:tc>
          <w:tcPr>
            <w:tcW w:w="0" w:type="auto"/>
            <w:tcBorders>
              <w:top w:val="nil"/>
              <w:left w:val="nil"/>
              <w:right w:val="nil"/>
            </w:tcBorders>
            <w:shd w:val="clear" w:color="auto" w:fill="auto"/>
            <w:noWrap/>
            <w:vAlign w:val="center"/>
            <w:hideMark/>
          </w:tcPr>
          <w:p w14:paraId="649652BC" w14:textId="77777777" w:rsidR="00BE1A79" w:rsidRPr="00AD57A0" w:rsidRDefault="00BE1A79" w:rsidP="00103A43">
            <w:pPr>
              <w:spacing w:before="0" w:after="0" w:line="276" w:lineRule="auto"/>
              <w:jc w:val="center"/>
              <w:rPr>
                <w:rFonts w:ascii="Calibri" w:hAnsi="Calibri"/>
                <w:color w:val="000000"/>
                <w:sz w:val="20"/>
                <w:szCs w:val="20"/>
              </w:rPr>
            </w:pPr>
            <w:r w:rsidRPr="00AD57A0">
              <w:rPr>
                <w:rFonts w:ascii="Calibri" w:hAnsi="Calibri"/>
                <w:color w:val="000000"/>
                <w:sz w:val="20"/>
                <w:szCs w:val="20"/>
              </w:rPr>
              <w:t>1,162,570</w:t>
            </w:r>
          </w:p>
        </w:tc>
        <w:tc>
          <w:tcPr>
            <w:tcW w:w="0" w:type="auto"/>
            <w:tcBorders>
              <w:top w:val="nil"/>
              <w:left w:val="nil"/>
              <w:right w:val="nil"/>
            </w:tcBorders>
            <w:shd w:val="clear" w:color="auto" w:fill="auto"/>
            <w:noWrap/>
            <w:vAlign w:val="center"/>
            <w:hideMark/>
          </w:tcPr>
          <w:p w14:paraId="75F0E197" w14:textId="77777777" w:rsidR="00BE1A79" w:rsidRPr="00AD57A0" w:rsidRDefault="00BE1A79" w:rsidP="00103A43">
            <w:pPr>
              <w:spacing w:before="0" w:after="0" w:line="276" w:lineRule="auto"/>
              <w:jc w:val="center"/>
              <w:rPr>
                <w:rFonts w:ascii="Calibri" w:hAnsi="Calibri"/>
                <w:color w:val="000000"/>
                <w:sz w:val="20"/>
                <w:szCs w:val="20"/>
              </w:rPr>
            </w:pPr>
            <w:r w:rsidRPr="00AD57A0">
              <w:rPr>
                <w:rFonts w:ascii="Calibri" w:hAnsi="Calibri"/>
                <w:color w:val="000000"/>
                <w:sz w:val="20"/>
                <w:szCs w:val="20"/>
              </w:rPr>
              <w:t>82</w:t>
            </w:r>
          </w:p>
        </w:tc>
        <w:tc>
          <w:tcPr>
            <w:tcW w:w="0" w:type="auto"/>
            <w:tcBorders>
              <w:top w:val="nil"/>
              <w:left w:val="nil"/>
              <w:right w:val="nil"/>
            </w:tcBorders>
            <w:vAlign w:val="center"/>
          </w:tcPr>
          <w:p w14:paraId="350B6241" w14:textId="77777777" w:rsidR="00BE1A79" w:rsidRPr="00AD57A0" w:rsidRDefault="00BE1A79" w:rsidP="00103A43">
            <w:pPr>
              <w:spacing w:before="0" w:after="0" w:line="276" w:lineRule="auto"/>
              <w:jc w:val="center"/>
            </w:pPr>
            <w:r w:rsidRPr="00AD57A0">
              <w:t>11</w:t>
            </w:r>
          </w:p>
        </w:tc>
      </w:tr>
      <w:tr w:rsidR="00BE1A79" w:rsidRPr="00AD57A0" w14:paraId="0E3469C4" w14:textId="77777777" w:rsidTr="00103A43">
        <w:trPr>
          <w:trHeight w:val="20"/>
        </w:trPr>
        <w:tc>
          <w:tcPr>
            <w:tcW w:w="0" w:type="auto"/>
            <w:tcBorders>
              <w:top w:val="nil"/>
              <w:left w:val="nil"/>
              <w:bottom w:val="nil"/>
              <w:right w:val="nil"/>
            </w:tcBorders>
            <w:shd w:val="clear" w:color="auto" w:fill="auto"/>
            <w:noWrap/>
            <w:vAlign w:val="center"/>
            <w:hideMark/>
          </w:tcPr>
          <w:p w14:paraId="77CD8365" w14:textId="77777777" w:rsidR="00BE1A79" w:rsidRPr="00AD57A0" w:rsidRDefault="00BE1A79" w:rsidP="00103A43">
            <w:pPr>
              <w:spacing w:before="0" w:after="0" w:line="276" w:lineRule="auto"/>
              <w:jc w:val="left"/>
              <w:rPr>
                <w:rFonts w:ascii="Calibri" w:hAnsi="Calibri"/>
                <w:color w:val="000000"/>
                <w:sz w:val="20"/>
                <w:szCs w:val="20"/>
              </w:rPr>
            </w:pPr>
            <w:r w:rsidRPr="00AD57A0">
              <w:rPr>
                <w:rFonts w:ascii="Calibri" w:hAnsi="Calibri"/>
                <w:color w:val="000000"/>
                <w:sz w:val="20"/>
                <w:szCs w:val="20"/>
              </w:rPr>
              <w:t>O'Connell</w:t>
            </w:r>
          </w:p>
        </w:tc>
        <w:tc>
          <w:tcPr>
            <w:tcW w:w="0" w:type="auto"/>
            <w:tcBorders>
              <w:top w:val="nil"/>
              <w:left w:val="nil"/>
              <w:bottom w:val="nil"/>
              <w:right w:val="nil"/>
            </w:tcBorders>
            <w:shd w:val="clear" w:color="auto" w:fill="auto"/>
            <w:noWrap/>
            <w:vAlign w:val="center"/>
            <w:hideMark/>
          </w:tcPr>
          <w:p w14:paraId="2236BF24" w14:textId="77777777" w:rsidR="00BE1A79" w:rsidRPr="00AD57A0" w:rsidRDefault="00BE1A79" w:rsidP="00103A43">
            <w:pPr>
              <w:spacing w:before="0" w:after="0" w:line="276" w:lineRule="auto"/>
              <w:jc w:val="center"/>
              <w:rPr>
                <w:rFonts w:ascii="Calibri" w:hAnsi="Calibri"/>
                <w:color w:val="000000"/>
                <w:sz w:val="20"/>
                <w:szCs w:val="20"/>
              </w:rPr>
            </w:pPr>
            <w:r w:rsidRPr="00AD57A0">
              <w:rPr>
                <w:rFonts w:ascii="Calibri" w:hAnsi="Calibri"/>
                <w:color w:val="000000"/>
                <w:sz w:val="20"/>
                <w:szCs w:val="20"/>
              </w:rPr>
              <w:t>45</w:t>
            </w:r>
          </w:p>
        </w:tc>
        <w:tc>
          <w:tcPr>
            <w:tcW w:w="0" w:type="auto"/>
            <w:tcBorders>
              <w:top w:val="nil"/>
              <w:left w:val="nil"/>
              <w:bottom w:val="nil"/>
              <w:right w:val="nil"/>
            </w:tcBorders>
            <w:shd w:val="clear" w:color="auto" w:fill="auto"/>
            <w:noWrap/>
            <w:vAlign w:val="center"/>
            <w:hideMark/>
          </w:tcPr>
          <w:p w14:paraId="294F8EE3" w14:textId="77777777" w:rsidR="00BE1A79" w:rsidRPr="00AD57A0" w:rsidRDefault="00BE1A79" w:rsidP="00103A43">
            <w:pPr>
              <w:spacing w:before="0" w:after="0" w:line="276" w:lineRule="auto"/>
              <w:jc w:val="center"/>
              <w:rPr>
                <w:rFonts w:ascii="Calibri" w:hAnsi="Calibri"/>
                <w:color w:val="000000"/>
                <w:sz w:val="20"/>
                <w:szCs w:val="20"/>
              </w:rPr>
            </w:pPr>
            <w:r w:rsidRPr="00AD57A0">
              <w:rPr>
                <w:rFonts w:ascii="Calibri" w:hAnsi="Calibri"/>
                <w:color w:val="000000"/>
                <w:sz w:val="20"/>
                <w:szCs w:val="20"/>
              </w:rPr>
              <w:t>86,110</w:t>
            </w:r>
          </w:p>
        </w:tc>
        <w:tc>
          <w:tcPr>
            <w:tcW w:w="0" w:type="auto"/>
            <w:tcBorders>
              <w:top w:val="nil"/>
              <w:left w:val="nil"/>
              <w:bottom w:val="nil"/>
              <w:right w:val="nil"/>
            </w:tcBorders>
            <w:shd w:val="clear" w:color="auto" w:fill="auto"/>
            <w:noWrap/>
            <w:vAlign w:val="center"/>
            <w:hideMark/>
          </w:tcPr>
          <w:p w14:paraId="6C2966E4" w14:textId="77777777" w:rsidR="00BE1A79" w:rsidRPr="00AD57A0" w:rsidRDefault="00BE1A79" w:rsidP="00103A43">
            <w:pPr>
              <w:spacing w:before="0" w:after="0" w:line="276" w:lineRule="auto"/>
              <w:jc w:val="center"/>
              <w:rPr>
                <w:rFonts w:ascii="Calibri" w:hAnsi="Calibri"/>
                <w:color w:val="000000"/>
                <w:sz w:val="20"/>
                <w:szCs w:val="20"/>
              </w:rPr>
            </w:pPr>
            <w:r w:rsidRPr="00AD57A0">
              <w:rPr>
                <w:rFonts w:ascii="Calibri" w:hAnsi="Calibri"/>
                <w:color w:val="000000"/>
                <w:sz w:val="20"/>
                <w:szCs w:val="20"/>
              </w:rPr>
              <w:t>61</w:t>
            </w:r>
          </w:p>
        </w:tc>
        <w:tc>
          <w:tcPr>
            <w:tcW w:w="0" w:type="auto"/>
            <w:tcBorders>
              <w:top w:val="nil"/>
              <w:left w:val="nil"/>
              <w:bottom w:val="nil"/>
              <w:right w:val="nil"/>
            </w:tcBorders>
            <w:vAlign w:val="center"/>
          </w:tcPr>
          <w:p w14:paraId="0B5D1D29" w14:textId="77777777" w:rsidR="00BE1A79" w:rsidRPr="00AD57A0" w:rsidRDefault="00BE1A79" w:rsidP="00103A43">
            <w:pPr>
              <w:spacing w:before="0" w:after="0" w:line="276" w:lineRule="auto"/>
              <w:jc w:val="center"/>
            </w:pPr>
            <w:r w:rsidRPr="00AD57A0">
              <w:t>2</w:t>
            </w:r>
          </w:p>
        </w:tc>
      </w:tr>
      <w:tr w:rsidR="00BE1A79" w:rsidRPr="00AD57A0" w14:paraId="417CCBF9" w14:textId="77777777" w:rsidTr="00103A43">
        <w:trPr>
          <w:trHeight w:val="20"/>
        </w:trPr>
        <w:tc>
          <w:tcPr>
            <w:tcW w:w="0" w:type="auto"/>
            <w:tcBorders>
              <w:top w:val="nil"/>
              <w:left w:val="nil"/>
              <w:bottom w:val="nil"/>
              <w:right w:val="nil"/>
            </w:tcBorders>
            <w:shd w:val="clear" w:color="auto" w:fill="auto"/>
            <w:noWrap/>
            <w:vAlign w:val="center"/>
            <w:hideMark/>
          </w:tcPr>
          <w:p w14:paraId="0BCA3CB4" w14:textId="77777777" w:rsidR="00BE1A79" w:rsidRPr="00AD57A0" w:rsidRDefault="00BE1A79" w:rsidP="00103A43">
            <w:pPr>
              <w:spacing w:before="0" w:after="0" w:line="276" w:lineRule="auto"/>
              <w:jc w:val="left"/>
              <w:rPr>
                <w:rFonts w:ascii="Calibri" w:hAnsi="Calibri"/>
                <w:color w:val="000000"/>
                <w:sz w:val="20"/>
                <w:szCs w:val="20"/>
              </w:rPr>
            </w:pPr>
            <w:r w:rsidRPr="00AD57A0">
              <w:rPr>
                <w:rFonts w:ascii="Calibri" w:hAnsi="Calibri"/>
                <w:color w:val="000000"/>
                <w:sz w:val="20"/>
                <w:szCs w:val="20"/>
              </w:rPr>
              <w:t>Pioneer</w:t>
            </w:r>
          </w:p>
        </w:tc>
        <w:tc>
          <w:tcPr>
            <w:tcW w:w="0" w:type="auto"/>
            <w:tcBorders>
              <w:top w:val="nil"/>
              <w:left w:val="nil"/>
              <w:bottom w:val="nil"/>
              <w:right w:val="nil"/>
            </w:tcBorders>
            <w:shd w:val="clear" w:color="auto" w:fill="auto"/>
            <w:noWrap/>
            <w:vAlign w:val="center"/>
            <w:hideMark/>
          </w:tcPr>
          <w:p w14:paraId="68877737" w14:textId="77777777" w:rsidR="00BE1A79" w:rsidRPr="00AD57A0" w:rsidRDefault="00BE1A79" w:rsidP="00103A43">
            <w:pPr>
              <w:spacing w:before="0" w:after="0" w:line="276" w:lineRule="auto"/>
              <w:jc w:val="center"/>
              <w:rPr>
                <w:rFonts w:ascii="Calibri" w:hAnsi="Calibri"/>
                <w:color w:val="000000"/>
                <w:sz w:val="20"/>
                <w:szCs w:val="20"/>
              </w:rPr>
            </w:pPr>
            <w:r w:rsidRPr="00AD57A0">
              <w:rPr>
                <w:rFonts w:ascii="Calibri" w:hAnsi="Calibri"/>
                <w:color w:val="000000"/>
                <w:sz w:val="20"/>
                <w:szCs w:val="20"/>
              </w:rPr>
              <w:t>260</w:t>
            </w:r>
          </w:p>
        </w:tc>
        <w:tc>
          <w:tcPr>
            <w:tcW w:w="0" w:type="auto"/>
            <w:tcBorders>
              <w:top w:val="nil"/>
              <w:left w:val="nil"/>
              <w:bottom w:val="nil"/>
              <w:right w:val="nil"/>
            </w:tcBorders>
            <w:shd w:val="clear" w:color="auto" w:fill="auto"/>
            <w:noWrap/>
            <w:vAlign w:val="center"/>
            <w:hideMark/>
          </w:tcPr>
          <w:p w14:paraId="2FF5712B" w14:textId="77777777" w:rsidR="00BE1A79" w:rsidRPr="00AD57A0" w:rsidRDefault="00BE1A79" w:rsidP="00103A43">
            <w:pPr>
              <w:spacing w:before="0" w:after="0" w:line="276" w:lineRule="auto"/>
              <w:jc w:val="center"/>
              <w:rPr>
                <w:rFonts w:ascii="Calibri" w:hAnsi="Calibri"/>
                <w:color w:val="000000"/>
                <w:sz w:val="20"/>
                <w:szCs w:val="20"/>
              </w:rPr>
            </w:pPr>
            <w:r w:rsidRPr="00AD57A0">
              <w:rPr>
                <w:rFonts w:ascii="Calibri" w:hAnsi="Calibri"/>
                <w:color w:val="000000"/>
                <w:sz w:val="20"/>
                <w:szCs w:val="20"/>
              </w:rPr>
              <w:t>503,558</w:t>
            </w:r>
          </w:p>
        </w:tc>
        <w:tc>
          <w:tcPr>
            <w:tcW w:w="0" w:type="auto"/>
            <w:tcBorders>
              <w:top w:val="nil"/>
              <w:left w:val="nil"/>
              <w:bottom w:val="nil"/>
              <w:right w:val="nil"/>
            </w:tcBorders>
            <w:shd w:val="clear" w:color="auto" w:fill="auto"/>
            <w:noWrap/>
            <w:vAlign w:val="center"/>
            <w:hideMark/>
          </w:tcPr>
          <w:p w14:paraId="76033F95" w14:textId="77777777" w:rsidR="00BE1A79" w:rsidRPr="00AD57A0" w:rsidRDefault="00BE1A79" w:rsidP="00103A43">
            <w:pPr>
              <w:spacing w:before="0" w:after="0" w:line="276" w:lineRule="auto"/>
              <w:jc w:val="center"/>
              <w:rPr>
                <w:rFonts w:ascii="Calibri" w:hAnsi="Calibri"/>
                <w:color w:val="000000"/>
                <w:sz w:val="20"/>
                <w:szCs w:val="20"/>
              </w:rPr>
            </w:pPr>
            <w:r w:rsidRPr="00AD57A0">
              <w:rPr>
                <w:rFonts w:ascii="Calibri" w:hAnsi="Calibri"/>
                <w:color w:val="000000"/>
                <w:sz w:val="20"/>
                <w:szCs w:val="20"/>
              </w:rPr>
              <w:t>69</w:t>
            </w:r>
          </w:p>
        </w:tc>
        <w:tc>
          <w:tcPr>
            <w:tcW w:w="0" w:type="auto"/>
            <w:tcBorders>
              <w:top w:val="nil"/>
              <w:left w:val="nil"/>
              <w:bottom w:val="nil"/>
              <w:right w:val="nil"/>
            </w:tcBorders>
            <w:vAlign w:val="center"/>
          </w:tcPr>
          <w:p w14:paraId="75AB2379" w14:textId="77777777" w:rsidR="00BE1A79" w:rsidRPr="00AD57A0" w:rsidRDefault="00BE1A79" w:rsidP="00103A43">
            <w:pPr>
              <w:spacing w:before="0" w:after="0" w:line="276" w:lineRule="auto"/>
              <w:jc w:val="center"/>
            </w:pPr>
            <w:r w:rsidRPr="00AD57A0">
              <w:t>14</w:t>
            </w:r>
          </w:p>
        </w:tc>
      </w:tr>
      <w:tr w:rsidR="00BE1A79" w:rsidRPr="00AD57A0" w14:paraId="1EC3BF45" w14:textId="77777777" w:rsidTr="00103A43">
        <w:trPr>
          <w:trHeight w:val="20"/>
        </w:trPr>
        <w:tc>
          <w:tcPr>
            <w:tcW w:w="0" w:type="auto"/>
            <w:tcBorders>
              <w:top w:val="nil"/>
              <w:left w:val="nil"/>
              <w:right w:val="nil"/>
            </w:tcBorders>
            <w:shd w:val="clear" w:color="auto" w:fill="auto"/>
            <w:noWrap/>
            <w:vAlign w:val="center"/>
            <w:hideMark/>
          </w:tcPr>
          <w:p w14:paraId="6BA9E266" w14:textId="77777777" w:rsidR="00BE1A79" w:rsidRPr="00AD57A0" w:rsidRDefault="00BE1A79" w:rsidP="00103A43">
            <w:pPr>
              <w:spacing w:before="0" w:after="0" w:line="276" w:lineRule="auto"/>
              <w:jc w:val="left"/>
              <w:rPr>
                <w:rFonts w:ascii="Calibri" w:hAnsi="Calibri"/>
                <w:color w:val="000000"/>
                <w:sz w:val="20"/>
                <w:szCs w:val="20"/>
              </w:rPr>
            </w:pPr>
            <w:r w:rsidRPr="00AD57A0">
              <w:rPr>
                <w:rFonts w:ascii="Calibri" w:hAnsi="Calibri"/>
                <w:color w:val="000000"/>
                <w:sz w:val="20"/>
                <w:szCs w:val="20"/>
              </w:rPr>
              <w:t>Plane</w:t>
            </w:r>
          </w:p>
        </w:tc>
        <w:tc>
          <w:tcPr>
            <w:tcW w:w="0" w:type="auto"/>
            <w:tcBorders>
              <w:top w:val="nil"/>
              <w:left w:val="nil"/>
              <w:right w:val="nil"/>
            </w:tcBorders>
            <w:shd w:val="clear" w:color="auto" w:fill="auto"/>
            <w:noWrap/>
            <w:vAlign w:val="center"/>
            <w:hideMark/>
          </w:tcPr>
          <w:p w14:paraId="6F5F662D" w14:textId="77777777" w:rsidR="00BE1A79" w:rsidRPr="00AD57A0" w:rsidRDefault="00BE1A79" w:rsidP="00103A43">
            <w:pPr>
              <w:spacing w:before="0" w:after="0" w:line="276" w:lineRule="auto"/>
              <w:jc w:val="center"/>
              <w:rPr>
                <w:rFonts w:ascii="Calibri" w:hAnsi="Calibri"/>
                <w:color w:val="000000"/>
                <w:sz w:val="20"/>
                <w:szCs w:val="20"/>
              </w:rPr>
            </w:pPr>
            <w:r w:rsidRPr="00AD57A0">
              <w:rPr>
                <w:rFonts w:ascii="Calibri" w:hAnsi="Calibri"/>
                <w:color w:val="000000"/>
                <w:sz w:val="20"/>
                <w:szCs w:val="20"/>
              </w:rPr>
              <w:t>50</w:t>
            </w:r>
          </w:p>
        </w:tc>
        <w:tc>
          <w:tcPr>
            <w:tcW w:w="0" w:type="auto"/>
            <w:tcBorders>
              <w:top w:val="nil"/>
              <w:left w:val="nil"/>
              <w:right w:val="nil"/>
            </w:tcBorders>
            <w:shd w:val="clear" w:color="auto" w:fill="auto"/>
            <w:noWrap/>
            <w:vAlign w:val="center"/>
            <w:hideMark/>
          </w:tcPr>
          <w:p w14:paraId="39DFC7C1" w14:textId="77777777" w:rsidR="00BE1A79" w:rsidRPr="00AD57A0" w:rsidRDefault="00BE1A79" w:rsidP="00103A43">
            <w:pPr>
              <w:spacing w:before="0" w:after="0" w:line="276" w:lineRule="auto"/>
              <w:jc w:val="center"/>
              <w:rPr>
                <w:rFonts w:ascii="Calibri" w:hAnsi="Calibri"/>
                <w:color w:val="000000"/>
                <w:sz w:val="20"/>
                <w:szCs w:val="20"/>
              </w:rPr>
            </w:pPr>
            <w:r w:rsidRPr="00AD57A0">
              <w:rPr>
                <w:rFonts w:ascii="Calibri" w:hAnsi="Calibri"/>
                <w:color w:val="000000"/>
                <w:sz w:val="20"/>
                <w:szCs w:val="20"/>
              </w:rPr>
              <w:t>88,778</w:t>
            </w:r>
          </w:p>
        </w:tc>
        <w:tc>
          <w:tcPr>
            <w:tcW w:w="0" w:type="auto"/>
            <w:tcBorders>
              <w:top w:val="nil"/>
              <w:left w:val="nil"/>
              <w:right w:val="nil"/>
            </w:tcBorders>
            <w:shd w:val="clear" w:color="auto" w:fill="auto"/>
            <w:noWrap/>
            <w:vAlign w:val="center"/>
            <w:hideMark/>
          </w:tcPr>
          <w:p w14:paraId="58FF173F" w14:textId="77777777" w:rsidR="00BE1A79" w:rsidRPr="00AD57A0" w:rsidRDefault="00BE1A79" w:rsidP="00103A43">
            <w:pPr>
              <w:spacing w:before="0" w:after="0" w:line="276" w:lineRule="auto"/>
              <w:jc w:val="center"/>
              <w:rPr>
                <w:rFonts w:ascii="Calibri" w:hAnsi="Calibri"/>
                <w:color w:val="000000"/>
                <w:sz w:val="20"/>
                <w:szCs w:val="20"/>
              </w:rPr>
            </w:pPr>
            <w:r w:rsidRPr="00AD57A0">
              <w:rPr>
                <w:rFonts w:ascii="Calibri" w:hAnsi="Calibri"/>
                <w:color w:val="000000"/>
                <w:sz w:val="20"/>
                <w:szCs w:val="20"/>
              </w:rPr>
              <w:t>61</w:t>
            </w:r>
          </w:p>
        </w:tc>
        <w:tc>
          <w:tcPr>
            <w:tcW w:w="0" w:type="auto"/>
            <w:tcBorders>
              <w:top w:val="nil"/>
              <w:left w:val="nil"/>
              <w:right w:val="nil"/>
            </w:tcBorders>
            <w:vAlign w:val="center"/>
          </w:tcPr>
          <w:p w14:paraId="4D2BA773" w14:textId="77777777" w:rsidR="00BE1A79" w:rsidRPr="00AD57A0" w:rsidRDefault="00BE1A79" w:rsidP="00103A43">
            <w:pPr>
              <w:spacing w:before="0" w:after="0" w:line="276" w:lineRule="auto"/>
              <w:jc w:val="center"/>
            </w:pPr>
            <w:r w:rsidRPr="00AD57A0">
              <w:t>3</w:t>
            </w:r>
          </w:p>
        </w:tc>
      </w:tr>
      <w:tr w:rsidR="00BE1A79" w:rsidRPr="00AD57A0" w14:paraId="0C11B4E6" w14:textId="77777777" w:rsidTr="00103A43">
        <w:trPr>
          <w:trHeight w:val="20"/>
        </w:trPr>
        <w:tc>
          <w:tcPr>
            <w:tcW w:w="0" w:type="auto"/>
            <w:tcBorders>
              <w:top w:val="nil"/>
              <w:left w:val="nil"/>
              <w:bottom w:val="single" w:sz="4" w:space="0" w:color="auto"/>
              <w:right w:val="nil"/>
            </w:tcBorders>
            <w:shd w:val="clear" w:color="auto" w:fill="auto"/>
            <w:noWrap/>
            <w:vAlign w:val="center"/>
            <w:hideMark/>
          </w:tcPr>
          <w:p w14:paraId="568D8166" w14:textId="77777777" w:rsidR="00BE1A79" w:rsidRPr="00AD57A0" w:rsidRDefault="00BE1A79" w:rsidP="00103A43">
            <w:pPr>
              <w:spacing w:before="0" w:after="0" w:line="276" w:lineRule="auto"/>
              <w:jc w:val="left"/>
              <w:rPr>
                <w:rFonts w:ascii="Calibri" w:hAnsi="Calibri"/>
                <w:color w:val="000000"/>
                <w:sz w:val="20"/>
                <w:szCs w:val="20"/>
              </w:rPr>
            </w:pPr>
            <w:r w:rsidRPr="00AD57A0">
              <w:rPr>
                <w:rFonts w:ascii="Calibri" w:hAnsi="Calibri"/>
                <w:color w:val="000000"/>
                <w:sz w:val="20"/>
                <w:szCs w:val="20"/>
              </w:rPr>
              <w:t>Fitzroy</w:t>
            </w:r>
          </w:p>
        </w:tc>
        <w:tc>
          <w:tcPr>
            <w:tcW w:w="0" w:type="auto"/>
            <w:tcBorders>
              <w:top w:val="nil"/>
              <w:left w:val="nil"/>
              <w:bottom w:val="single" w:sz="4" w:space="0" w:color="auto"/>
              <w:right w:val="nil"/>
            </w:tcBorders>
            <w:shd w:val="clear" w:color="auto" w:fill="auto"/>
            <w:noWrap/>
            <w:vAlign w:val="center"/>
            <w:hideMark/>
          </w:tcPr>
          <w:p w14:paraId="0DA9FCE6" w14:textId="77777777" w:rsidR="00BE1A79" w:rsidRPr="00AD57A0" w:rsidRDefault="00BE1A79" w:rsidP="00103A43">
            <w:pPr>
              <w:spacing w:before="0" w:after="0" w:line="276" w:lineRule="auto"/>
              <w:jc w:val="center"/>
              <w:rPr>
                <w:rFonts w:ascii="Calibri" w:hAnsi="Calibri"/>
                <w:color w:val="000000"/>
                <w:sz w:val="20"/>
                <w:szCs w:val="20"/>
              </w:rPr>
            </w:pPr>
            <w:r w:rsidRPr="00AD57A0">
              <w:rPr>
                <w:rFonts w:ascii="Calibri" w:hAnsi="Calibri"/>
                <w:color w:val="000000"/>
                <w:sz w:val="20"/>
                <w:szCs w:val="20"/>
              </w:rPr>
              <w:t>150</w:t>
            </w:r>
          </w:p>
        </w:tc>
        <w:tc>
          <w:tcPr>
            <w:tcW w:w="0" w:type="auto"/>
            <w:tcBorders>
              <w:top w:val="nil"/>
              <w:left w:val="nil"/>
              <w:bottom w:val="single" w:sz="4" w:space="0" w:color="auto"/>
              <w:right w:val="nil"/>
            </w:tcBorders>
            <w:shd w:val="clear" w:color="auto" w:fill="auto"/>
            <w:noWrap/>
            <w:vAlign w:val="center"/>
            <w:hideMark/>
          </w:tcPr>
          <w:p w14:paraId="4D57CB09" w14:textId="77777777" w:rsidR="00BE1A79" w:rsidRPr="00AD57A0" w:rsidRDefault="00BE1A79" w:rsidP="00103A43">
            <w:pPr>
              <w:spacing w:before="0" w:after="0" w:line="276" w:lineRule="auto"/>
              <w:jc w:val="center"/>
              <w:rPr>
                <w:rFonts w:ascii="Calibri" w:hAnsi="Calibri"/>
                <w:color w:val="000000"/>
                <w:sz w:val="20"/>
                <w:szCs w:val="20"/>
              </w:rPr>
            </w:pPr>
            <w:r w:rsidRPr="00AD57A0">
              <w:rPr>
                <w:rFonts w:ascii="Calibri" w:hAnsi="Calibri"/>
                <w:color w:val="000000"/>
                <w:sz w:val="20"/>
                <w:szCs w:val="20"/>
              </w:rPr>
              <w:t>1,501,365</w:t>
            </w:r>
          </w:p>
        </w:tc>
        <w:tc>
          <w:tcPr>
            <w:tcW w:w="0" w:type="auto"/>
            <w:tcBorders>
              <w:top w:val="nil"/>
              <w:left w:val="nil"/>
              <w:bottom w:val="single" w:sz="4" w:space="0" w:color="auto"/>
              <w:right w:val="nil"/>
            </w:tcBorders>
            <w:shd w:val="clear" w:color="auto" w:fill="auto"/>
            <w:noWrap/>
            <w:vAlign w:val="center"/>
            <w:hideMark/>
          </w:tcPr>
          <w:p w14:paraId="3C14FD0C" w14:textId="77777777" w:rsidR="00BE1A79" w:rsidRPr="00AD57A0" w:rsidRDefault="00BE1A79" w:rsidP="00103A43">
            <w:pPr>
              <w:spacing w:before="0" w:after="0" w:line="276" w:lineRule="auto"/>
              <w:jc w:val="center"/>
              <w:rPr>
                <w:rFonts w:ascii="Calibri" w:hAnsi="Calibri"/>
                <w:color w:val="000000"/>
                <w:sz w:val="20"/>
                <w:szCs w:val="20"/>
              </w:rPr>
            </w:pPr>
            <w:r w:rsidRPr="00AD57A0">
              <w:rPr>
                <w:rFonts w:ascii="Calibri" w:hAnsi="Calibri"/>
                <w:color w:val="000000"/>
                <w:sz w:val="20"/>
                <w:szCs w:val="20"/>
              </w:rPr>
              <w:t>89</w:t>
            </w:r>
          </w:p>
        </w:tc>
        <w:tc>
          <w:tcPr>
            <w:tcW w:w="0" w:type="auto"/>
            <w:tcBorders>
              <w:top w:val="nil"/>
              <w:left w:val="nil"/>
              <w:bottom w:val="single" w:sz="4" w:space="0" w:color="auto"/>
              <w:right w:val="nil"/>
            </w:tcBorders>
            <w:vAlign w:val="center"/>
          </w:tcPr>
          <w:p w14:paraId="0C3C9AF7" w14:textId="77777777" w:rsidR="00BE1A79" w:rsidRPr="00AD57A0" w:rsidRDefault="00BE1A79" w:rsidP="00103A43">
            <w:pPr>
              <w:spacing w:before="0" w:after="0" w:line="276" w:lineRule="auto"/>
              <w:jc w:val="center"/>
            </w:pPr>
            <w:r w:rsidRPr="00AD57A0">
              <w:t>8</w:t>
            </w:r>
          </w:p>
        </w:tc>
      </w:tr>
    </w:tbl>
    <w:p w14:paraId="1E5593C1" w14:textId="77777777" w:rsidR="00BE1A79" w:rsidRPr="00AD57A0" w:rsidRDefault="00BE1A79" w:rsidP="00BE1A79">
      <w:pPr>
        <w:jc w:val="center"/>
      </w:pPr>
      <w:r w:rsidRPr="00AD57A0">
        <w:rPr>
          <w:noProof/>
        </w:rPr>
        <w:drawing>
          <wp:inline distT="0" distB="0" distL="0" distR="0" wp14:anchorId="4F6ECC76" wp14:editId="7E114051">
            <wp:extent cx="4664034" cy="4853354"/>
            <wp:effectExtent l="0" t="0" r="3810" b="4445"/>
            <wp:docPr id="19" name="Picture 19" descr="Dissolved inorganic nitrogen yield (DIN, kg/km2) over the GBR lagoon in 2013-2014 water year (c.a., 1 October 2013 to 30 September 2014). ‘Max.’ stands for the highest pollutant yield, named rivers are those with load data available, grey lines are the NRM limits, and dashed black line stands for contour line for DIN yield equals to 10 kg/km2." title="Figure 4-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n_2003_2a.jpg"/>
                    <pic:cNvPicPr/>
                  </pic:nvPicPr>
                  <pic:blipFill rotWithShape="1">
                    <a:blip r:embed="rId88" cstate="screen">
                      <a:extLst>
                        <a:ext uri="{28A0092B-C50C-407E-A947-70E740481C1C}">
                          <a14:useLocalDpi xmlns:a14="http://schemas.microsoft.com/office/drawing/2010/main"/>
                        </a:ext>
                      </a:extLst>
                    </a:blip>
                    <a:srcRect/>
                    <a:stretch/>
                  </pic:blipFill>
                  <pic:spPr bwMode="auto">
                    <a:xfrm>
                      <a:off x="0" y="0"/>
                      <a:ext cx="4676763" cy="4866599"/>
                    </a:xfrm>
                    <a:prstGeom prst="rect">
                      <a:avLst/>
                    </a:prstGeom>
                    <a:ln>
                      <a:noFill/>
                    </a:ln>
                    <a:extLst>
                      <a:ext uri="{53640926-AAD7-44D8-BBD7-CCE9431645EC}">
                        <a14:shadowObscured xmlns:a14="http://schemas.microsoft.com/office/drawing/2010/main"/>
                      </a:ext>
                    </a:extLst>
                  </pic:spPr>
                </pic:pic>
              </a:graphicData>
            </a:graphic>
          </wp:inline>
        </w:drawing>
      </w:r>
    </w:p>
    <w:p w14:paraId="54120F6E" w14:textId="46CB3449" w:rsidR="00BE1A79" w:rsidRPr="00AD57A0" w:rsidRDefault="00BE1A79" w:rsidP="00BE1A79">
      <w:pPr>
        <w:pStyle w:val="Caption"/>
      </w:pPr>
      <w:bookmarkStart w:id="175" w:name="_Toc454303915"/>
      <w:r w:rsidRPr="00AD57A0">
        <w:t xml:space="preserve">Figure </w:t>
      </w:r>
      <w:r w:rsidR="009F4CB0">
        <w:fldChar w:fldCharType="begin"/>
      </w:r>
      <w:r w:rsidR="009F4CB0">
        <w:instrText xml:space="preserve"> STYLEREF 1 \s </w:instrText>
      </w:r>
      <w:r w:rsidR="009F4CB0">
        <w:fldChar w:fldCharType="separate"/>
      </w:r>
      <w:r w:rsidR="000E22F3">
        <w:rPr>
          <w:noProof/>
        </w:rPr>
        <w:t>4</w:t>
      </w:r>
      <w:r w:rsidR="009F4CB0">
        <w:fldChar w:fldCharType="end"/>
      </w:r>
      <w:r w:rsidR="009F4CB0">
        <w:noBreakHyphen/>
      </w:r>
      <w:r w:rsidR="009F4CB0">
        <w:fldChar w:fldCharType="begin"/>
      </w:r>
      <w:r w:rsidR="009F4CB0">
        <w:instrText xml:space="preserve"> SEQ Figure \* ARABIC \s 1 </w:instrText>
      </w:r>
      <w:r w:rsidR="009F4CB0">
        <w:fldChar w:fldCharType="separate"/>
      </w:r>
      <w:r w:rsidR="000E22F3">
        <w:rPr>
          <w:noProof/>
        </w:rPr>
        <w:t>10</w:t>
      </w:r>
      <w:r w:rsidR="009F4CB0">
        <w:fldChar w:fldCharType="end"/>
      </w:r>
      <w:r w:rsidRPr="00AD57A0">
        <w:t>: Dissolved inorganic nitrogen yield (DIN, kg/km</w:t>
      </w:r>
      <w:r w:rsidRPr="00AD57A0">
        <w:rPr>
          <w:vertAlign w:val="superscript"/>
        </w:rPr>
        <w:t>2</w:t>
      </w:r>
      <w:r w:rsidRPr="00AD57A0">
        <w:t xml:space="preserve">) over the GBR lagoon in 2013-2014 water year (c.a., </w:t>
      </w:r>
      <w:r>
        <w:t xml:space="preserve">1 </w:t>
      </w:r>
      <w:r w:rsidRPr="00AD57A0">
        <w:t xml:space="preserve">October </w:t>
      </w:r>
      <w:r>
        <w:t>2013</w:t>
      </w:r>
      <w:r w:rsidRPr="00AD57A0">
        <w:t xml:space="preserve"> to </w:t>
      </w:r>
      <w:r>
        <w:t xml:space="preserve">30 </w:t>
      </w:r>
      <w:r w:rsidRPr="00AD57A0">
        <w:t xml:space="preserve">September </w:t>
      </w:r>
      <w:r>
        <w:t>2014</w:t>
      </w:r>
      <w:r w:rsidRPr="00AD57A0">
        <w:t>). ‘Max.’ stands for the highest pollutant yield, named rivers are those with load data available, grey lines are the NRM limits, and dashed black line stands for contour line for DIN yield equals to 10 kg/km</w:t>
      </w:r>
      <w:r w:rsidRPr="00AD57A0">
        <w:rPr>
          <w:vertAlign w:val="superscript"/>
        </w:rPr>
        <w:t>2</w:t>
      </w:r>
      <w:r w:rsidRPr="00AD57A0">
        <w:t>.</w:t>
      </w:r>
      <w:bookmarkEnd w:id="175"/>
    </w:p>
    <w:p w14:paraId="58F70388" w14:textId="5730B9BF" w:rsidR="00BE1A79" w:rsidRPr="00AD57A0" w:rsidRDefault="002259B1" w:rsidP="00BE1A79">
      <w:pPr>
        <w:rPr>
          <w:rFonts w:cs="Courier New"/>
          <w:sz w:val="24"/>
        </w:rPr>
      </w:pPr>
      <w:r>
        <w:lastRenderedPageBreak/>
        <w:t>T</w:t>
      </w:r>
      <w:r w:rsidRPr="00AD57A0">
        <w:t>wo</w:t>
      </w:r>
      <w:r>
        <w:t xml:space="preserve"> primary </w:t>
      </w:r>
      <w:r w:rsidRPr="00AD57A0">
        <w:t>factor</w:t>
      </w:r>
      <w:r>
        <w:t>s</w:t>
      </w:r>
      <w:r w:rsidRPr="00AD57A0">
        <w:t xml:space="preserve"> </w:t>
      </w:r>
      <w:r>
        <w:t xml:space="preserve">influence </w:t>
      </w:r>
      <w:r w:rsidR="00BE1A79" w:rsidRPr="00AD57A0">
        <w:t>the</w:t>
      </w:r>
      <w:r>
        <w:t xml:space="preserve"> load distribution</w:t>
      </w:r>
      <w:r w:rsidR="00BE1A79" w:rsidRPr="00AD57A0">
        <w:t xml:space="preserve">: (a) the size of the plume area and, (b) </w:t>
      </w:r>
      <w:r w:rsidR="00BE1A79" w:rsidRPr="00AD57A0">
        <w:rPr>
          <w:rFonts w:cs="Courier New"/>
        </w:rPr>
        <w:t xml:space="preserve">the </w:t>
      </w:r>
      <w:r>
        <w:rPr>
          <w:rFonts w:cs="Courier New"/>
        </w:rPr>
        <w:t>north west</w:t>
      </w:r>
      <w:r w:rsidR="00BE1A79" w:rsidRPr="00AD57A0">
        <w:rPr>
          <w:rFonts w:cs="Courier New"/>
        </w:rPr>
        <w:t xml:space="preserve"> preferential transport direction imposed to the plume movement, which makes the DIN influence </w:t>
      </w:r>
      <w:r>
        <w:rPr>
          <w:rFonts w:cs="Courier New"/>
        </w:rPr>
        <w:t>extend</w:t>
      </w:r>
      <w:r w:rsidR="00BE1A79" w:rsidRPr="00AD57A0">
        <w:rPr>
          <w:rFonts w:cs="Courier New"/>
        </w:rPr>
        <w:t xml:space="preserve"> further along the main plume axis. A close look at the individual plume of DIN dispersion for the Hebert, Tully and Johnstone rivers shows that the </w:t>
      </w:r>
      <w:r w:rsidRPr="00AD57A0">
        <w:rPr>
          <w:rFonts w:cs="Courier New"/>
        </w:rPr>
        <w:t xml:space="preserve">northwards </w:t>
      </w:r>
      <w:r w:rsidR="00BE1A79" w:rsidRPr="00AD57A0">
        <w:rPr>
          <w:rFonts w:cs="Courier New"/>
        </w:rPr>
        <w:t xml:space="preserve">DIN transference can contribute to </w:t>
      </w:r>
      <w:r>
        <w:rPr>
          <w:rFonts w:cs="Courier New"/>
        </w:rPr>
        <w:t>increased</w:t>
      </w:r>
      <w:r w:rsidR="00BE1A79" w:rsidRPr="00AD57A0">
        <w:rPr>
          <w:rFonts w:cs="Courier New"/>
        </w:rPr>
        <w:t xml:space="preserve"> DIN yields in areas with reduced loads. Table 4-1</w:t>
      </w:r>
      <w:r w:rsidR="000879E3">
        <w:rPr>
          <w:rFonts w:cs="Courier New"/>
        </w:rPr>
        <w:t>2</w:t>
      </w:r>
      <w:r w:rsidR="00BE1A79" w:rsidRPr="00AD57A0">
        <w:rPr>
          <w:rFonts w:cs="Courier New"/>
        </w:rPr>
        <w:t xml:space="preserve"> presents DIN yield (kg/km</w:t>
      </w:r>
      <w:r w:rsidR="00BE1A79" w:rsidRPr="00AD57A0">
        <w:rPr>
          <w:rFonts w:cs="Courier New"/>
          <w:vertAlign w:val="superscript"/>
        </w:rPr>
        <w:t>2</w:t>
      </w:r>
      <w:r w:rsidR="00BE1A79" w:rsidRPr="00AD57A0">
        <w:rPr>
          <w:rFonts w:cs="Courier New"/>
        </w:rPr>
        <w:t>) at the vicinities of the mouth of these three rivers due to their own 'DIN plumes' and also their contribution to each other</w:t>
      </w:r>
      <w:r>
        <w:rPr>
          <w:rFonts w:cs="Courier New"/>
        </w:rPr>
        <w:t>s</w:t>
      </w:r>
      <w:r w:rsidR="00BE1A79" w:rsidRPr="00AD57A0">
        <w:rPr>
          <w:rFonts w:cs="Courier New"/>
        </w:rPr>
        <w:t xml:space="preserve"> river mouth. These results indicate that the northward plume movement can take 45% and 34% of the Hebert River DIN load to the Tully and Johnstone rivers, respectively. The southward movement is less intense, for example Johnstone River contributes about 21% to the DIN yields at the Tully and Hebert river mouths. These results indicate that the northward plume transport has the potential to increase the pollutant load impact in zones that do not </w:t>
      </w:r>
      <w:r>
        <w:rPr>
          <w:rFonts w:cs="Courier New"/>
        </w:rPr>
        <w:t>contribute</w:t>
      </w:r>
      <w:r w:rsidR="00BE1A79" w:rsidRPr="00AD57A0">
        <w:rPr>
          <w:rFonts w:cs="Courier New"/>
        </w:rPr>
        <w:t xml:space="preserve"> high pollutant load.</w:t>
      </w:r>
    </w:p>
    <w:p w14:paraId="5835B684" w14:textId="73A6D46E" w:rsidR="00BE1A79" w:rsidRPr="00AD57A0" w:rsidRDefault="000879E3" w:rsidP="00BE1A79">
      <w:pPr>
        <w:pStyle w:val="Caption"/>
        <w:keepNext/>
        <w:jc w:val="both"/>
      </w:pPr>
      <w:bookmarkStart w:id="176" w:name="_Toc454304617"/>
      <w:r w:rsidRPr="00AD57A0">
        <w:t xml:space="preserve">Table </w:t>
      </w:r>
      <w:r>
        <w:fldChar w:fldCharType="begin"/>
      </w:r>
      <w:r>
        <w:instrText xml:space="preserve"> STYLEREF 1 \s </w:instrText>
      </w:r>
      <w:r>
        <w:fldChar w:fldCharType="separate"/>
      </w:r>
      <w:r w:rsidR="000E22F3">
        <w:rPr>
          <w:noProof/>
        </w:rPr>
        <w:t>4</w:t>
      </w:r>
      <w:r>
        <w:fldChar w:fldCharType="end"/>
      </w:r>
      <w:r>
        <w:noBreakHyphen/>
      </w:r>
      <w:r>
        <w:fldChar w:fldCharType="begin"/>
      </w:r>
      <w:r>
        <w:instrText xml:space="preserve"> SEQ Table \* ARABIC \s 1 </w:instrText>
      </w:r>
      <w:r>
        <w:fldChar w:fldCharType="separate"/>
      </w:r>
      <w:r w:rsidR="000E22F3">
        <w:rPr>
          <w:noProof/>
        </w:rPr>
        <w:t>12</w:t>
      </w:r>
      <w:r>
        <w:fldChar w:fldCharType="end"/>
      </w:r>
      <w:r w:rsidRPr="00AD57A0">
        <w:t>:</w:t>
      </w:r>
      <w:r w:rsidR="00BE1A79" w:rsidRPr="00AD57A0">
        <w:t xml:space="preserve"> DIN yield (kg/km</w:t>
      </w:r>
      <w:r w:rsidR="00BE1A79" w:rsidRPr="00AD57A0">
        <w:rPr>
          <w:vertAlign w:val="superscript"/>
        </w:rPr>
        <w:t>2</w:t>
      </w:r>
      <w:r w:rsidR="00BE1A79" w:rsidRPr="00AD57A0">
        <w:t>) contribution from (donor) to (receptor) at the vicinities of the river mouth of three catchments in the Wet Tropics NRM regi</w:t>
      </w:r>
      <w:r w:rsidR="002259B1">
        <w:t>on. The m</w:t>
      </w:r>
      <w:r w:rsidR="00BE1A79" w:rsidRPr="00AD57A0">
        <w:t>ain diagonal represents DIN yield at the donor river mouth and other cells are its contribution as yield and as percentage (number in brackets) from the yield at the donor mouth.</w:t>
      </w:r>
      <w:bookmarkEnd w:id="176"/>
    </w:p>
    <w:tbl>
      <w:tblPr>
        <w:tblW w:w="0" w:type="auto"/>
        <w:jc w:val="center"/>
        <w:tblLook w:val="04A0" w:firstRow="1" w:lastRow="0" w:firstColumn="1" w:lastColumn="0" w:noHBand="0" w:noVBand="1"/>
        <w:tblCaption w:val="Table 4-12"/>
        <w:tblDescription w:val="DIN yield (kg/km2) contribution from (donor) to (receptor) at the vicinities of the river mouth of three catchments in the Wet Tropics NRM region. The main diagonal represents DIN yield at the donor river mouth and other cells are its contribution as yield and as percentage (number in brackets) from the yield at the donor mouth."/>
      </w:tblPr>
      <w:tblGrid>
        <w:gridCol w:w="510"/>
        <w:gridCol w:w="1070"/>
        <w:gridCol w:w="830"/>
        <w:gridCol w:w="931"/>
        <w:gridCol w:w="1070"/>
      </w:tblGrid>
      <w:tr w:rsidR="00BE1A79" w:rsidRPr="00CE397A" w14:paraId="51413D89" w14:textId="77777777" w:rsidTr="00103A43">
        <w:trPr>
          <w:trHeight w:val="113"/>
          <w:jc w:val="center"/>
        </w:trPr>
        <w:tc>
          <w:tcPr>
            <w:tcW w:w="0" w:type="auto"/>
            <w:tcBorders>
              <w:top w:val="single" w:sz="4" w:space="0" w:color="auto"/>
            </w:tcBorders>
          </w:tcPr>
          <w:p w14:paraId="1FA7C9C3" w14:textId="77777777" w:rsidR="00BE1A79" w:rsidRPr="00CE397A" w:rsidRDefault="00BE1A79" w:rsidP="00103A43">
            <w:pPr>
              <w:spacing w:before="0" w:after="0" w:line="276" w:lineRule="auto"/>
              <w:rPr>
                <w:rFonts w:ascii="Calibri" w:hAnsi="Calibri" w:cs="Times New Roman"/>
                <w:b/>
                <w:bCs/>
                <w:color w:val="000000"/>
                <w:sz w:val="20"/>
                <w:szCs w:val="20"/>
              </w:rPr>
            </w:pPr>
          </w:p>
        </w:tc>
        <w:tc>
          <w:tcPr>
            <w:tcW w:w="0" w:type="auto"/>
            <w:tcBorders>
              <w:top w:val="single" w:sz="4" w:space="0" w:color="auto"/>
            </w:tcBorders>
            <w:shd w:val="clear" w:color="auto" w:fill="auto"/>
            <w:noWrap/>
            <w:vAlign w:val="center"/>
          </w:tcPr>
          <w:p w14:paraId="02F3EF39" w14:textId="77777777" w:rsidR="00BE1A79" w:rsidRPr="00CE397A" w:rsidRDefault="00BE1A79" w:rsidP="00103A43">
            <w:pPr>
              <w:spacing w:before="0" w:after="0" w:line="276" w:lineRule="auto"/>
              <w:rPr>
                <w:rFonts w:ascii="Calibri" w:hAnsi="Calibri" w:cs="Times New Roman"/>
                <w:b/>
                <w:bCs/>
                <w:color w:val="000000"/>
                <w:sz w:val="20"/>
                <w:szCs w:val="20"/>
              </w:rPr>
            </w:pPr>
          </w:p>
        </w:tc>
        <w:tc>
          <w:tcPr>
            <w:tcW w:w="0" w:type="auto"/>
            <w:gridSpan w:val="3"/>
            <w:tcBorders>
              <w:top w:val="single" w:sz="4" w:space="0" w:color="auto"/>
              <w:left w:val="nil"/>
              <w:bottom w:val="single" w:sz="4" w:space="0" w:color="auto"/>
              <w:right w:val="nil"/>
            </w:tcBorders>
            <w:shd w:val="clear" w:color="auto" w:fill="auto"/>
            <w:noWrap/>
            <w:vAlign w:val="center"/>
          </w:tcPr>
          <w:p w14:paraId="632D05B8" w14:textId="77777777" w:rsidR="00BE1A79" w:rsidRPr="00CE397A" w:rsidRDefault="00BE1A79" w:rsidP="00103A43">
            <w:pPr>
              <w:spacing w:before="0" w:after="0" w:line="276" w:lineRule="auto"/>
              <w:jc w:val="center"/>
              <w:rPr>
                <w:rFonts w:ascii="Calibri" w:hAnsi="Calibri" w:cs="Times New Roman"/>
                <w:b/>
                <w:bCs/>
                <w:color w:val="000000"/>
                <w:sz w:val="20"/>
                <w:szCs w:val="20"/>
              </w:rPr>
            </w:pPr>
            <w:r>
              <w:rPr>
                <w:rFonts w:ascii="Calibri" w:hAnsi="Calibri" w:cs="Times New Roman"/>
                <w:b/>
                <w:bCs/>
                <w:color w:val="000000"/>
                <w:sz w:val="20"/>
                <w:szCs w:val="20"/>
              </w:rPr>
              <w:t>R</w:t>
            </w:r>
            <w:r w:rsidRPr="00CE397A">
              <w:rPr>
                <w:rFonts w:ascii="Calibri" w:hAnsi="Calibri" w:cs="Times New Roman"/>
                <w:b/>
                <w:bCs/>
                <w:color w:val="000000"/>
                <w:sz w:val="20"/>
                <w:szCs w:val="20"/>
              </w:rPr>
              <w:t>eceptor</w:t>
            </w:r>
          </w:p>
        </w:tc>
      </w:tr>
      <w:tr w:rsidR="00BE1A79" w:rsidRPr="00CE397A" w14:paraId="79B3FA4D" w14:textId="77777777" w:rsidTr="00103A43">
        <w:trPr>
          <w:trHeight w:val="113"/>
          <w:jc w:val="center"/>
        </w:trPr>
        <w:tc>
          <w:tcPr>
            <w:tcW w:w="0" w:type="auto"/>
            <w:tcBorders>
              <w:bottom w:val="single" w:sz="4" w:space="0" w:color="auto"/>
            </w:tcBorders>
          </w:tcPr>
          <w:p w14:paraId="4EE28B82" w14:textId="77777777" w:rsidR="00BE1A79" w:rsidRPr="00CE397A" w:rsidRDefault="00BE1A79" w:rsidP="00103A43">
            <w:pPr>
              <w:spacing w:before="0" w:after="0" w:line="276" w:lineRule="auto"/>
              <w:rPr>
                <w:rFonts w:ascii="Calibri" w:hAnsi="Calibri" w:cs="Times New Roman"/>
                <w:b/>
                <w:bCs/>
                <w:color w:val="000000"/>
                <w:sz w:val="20"/>
                <w:szCs w:val="20"/>
              </w:rPr>
            </w:pPr>
          </w:p>
        </w:tc>
        <w:tc>
          <w:tcPr>
            <w:tcW w:w="0" w:type="auto"/>
            <w:tcBorders>
              <w:bottom w:val="single" w:sz="4" w:space="0" w:color="auto"/>
            </w:tcBorders>
            <w:shd w:val="clear" w:color="auto" w:fill="auto"/>
            <w:noWrap/>
            <w:vAlign w:val="center"/>
            <w:hideMark/>
          </w:tcPr>
          <w:p w14:paraId="640ED2CA" w14:textId="77777777" w:rsidR="00BE1A79" w:rsidRPr="00CE397A" w:rsidRDefault="00BE1A79" w:rsidP="00103A43">
            <w:pPr>
              <w:spacing w:before="0" w:after="0" w:line="276" w:lineRule="auto"/>
              <w:rPr>
                <w:rFonts w:ascii="Calibri" w:hAnsi="Calibri" w:cs="Times New Roman"/>
                <w:b/>
                <w:bCs/>
                <w:color w:val="000000"/>
                <w:sz w:val="20"/>
                <w:szCs w:val="20"/>
              </w:rPr>
            </w:pPr>
          </w:p>
        </w:tc>
        <w:tc>
          <w:tcPr>
            <w:tcW w:w="0" w:type="auto"/>
            <w:tcBorders>
              <w:top w:val="single" w:sz="4" w:space="0" w:color="auto"/>
              <w:left w:val="nil"/>
              <w:bottom w:val="single" w:sz="4" w:space="0" w:color="auto"/>
              <w:right w:val="nil"/>
            </w:tcBorders>
            <w:shd w:val="clear" w:color="auto" w:fill="auto"/>
            <w:noWrap/>
            <w:vAlign w:val="center"/>
            <w:hideMark/>
          </w:tcPr>
          <w:p w14:paraId="27B9840C" w14:textId="77777777" w:rsidR="00BE1A79" w:rsidRPr="00CE397A" w:rsidRDefault="00BE1A79" w:rsidP="00103A43">
            <w:pPr>
              <w:spacing w:before="0" w:after="0" w:line="276" w:lineRule="auto"/>
              <w:rPr>
                <w:rFonts w:ascii="Calibri" w:hAnsi="Calibri" w:cs="Times New Roman"/>
                <w:b/>
                <w:bCs/>
                <w:color w:val="000000"/>
                <w:sz w:val="20"/>
                <w:szCs w:val="20"/>
              </w:rPr>
            </w:pPr>
            <w:r w:rsidRPr="00CE397A">
              <w:rPr>
                <w:rFonts w:ascii="Calibri" w:hAnsi="Calibri" w:cs="Times New Roman"/>
                <w:b/>
                <w:bCs/>
                <w:color w:val="000000"/>
                <w:sz w:val="20"/>
                <w:szCs w:val="20"/>
              </w:rPr>
              <w:t>Hebert</w:t>
            </w:r>
          </w:p>
        </w:tc>
        <w:tc>
          <w:tcPr>
            <w:tcW w:w="0" w:type="auto"/>
            <w:tcBorders>
              <w:top w:val="single" w:sz="4" w:space="0" w:color="auto"/>
              <w:left w:val="nil"/>
              <w:bottom w:val="single" w:sz="4" w:space="0" w:color="auto"/>
              <w:right w:val="nil"/>
            </w:tcBorders>
            <w:shd w:val="clear" w:color="auto" w:fill="auto"/>
            <w:noWrap/>
            <w:vAlign w:val="center"/>
            <w:hideMark/>
          </w:tcPr>
          <w:p w14:paraId="130B9315" w14:textId="77777777" w:rsidR="00BE1A79" w:rsidRPr="00CE397A" w:rsidRDefault="00BE1A79" w:rsidP="00103A43">
            <w:pPr>
              <w:spacing w:before="0" w:after="0" w:line="276" w:lineRule="auto"/>
              <w:rPr>
                <w:rFonts w:ascii="Calibri" w:hAnsi="Calibri" w:cs="Times New Roman"/>
                <w:b/>
                <w:bCs/>
                <w:color w:val="000000"/>
                <w:sz w:val="20"/>
                <w:szCs w:val="20"/>
              </w:rPr>
            </w:pPr>
            <w:r w:rsidRPr="00CE397A">
              <w:rPr>
                <w:rFonts w:ascii="Calibri" w:hAnsi="Calibri" w:cs="Times New Roman"/>
                <w:b/>
                <w:bCs/>
                <w:color w:val="000000"/>
                <w:sz w:val="20"/>
                <w:szCs w:val="20"/>
              </w:rPr>
              <w:t>Tully</w:t>
            </w:r>
          </w:p>
        </w:tc>
        <w:tc>
          <w:tcPr>
            <w:tcW w:w="0" w:type="auto"/>
            <w:tcBorders>
              <w:top w:val="single" w:sz="4" w:space="0" w:color="auto"/>
              <w:left w:val="nil"/>
              <w:bottom w:val="single" w:sz="4" w:space="0" w:color="auto"/>
              <w:right w:val="nil"/>
            </w:tcBorders>
            <w:shd w:val="clear" w:color="auto" w:fill="auto"/>
            <w:noWrap/>
            <w:vAlign w:val="center"/>
            <w:hideMark/>
          </w:tcPr>
          <w:p w14:paraId="3E16547C" w14:textId="77777777" w:rsidR="00BE1A79" w:rsidRPr="00CE397A" w:rsidRDefault="00BE1A79" w:rsidP="00103A43">
            <w:pPr>
              <w:spacing w:before="0" w:after="0" w:line="276" w:lineRule="auto"/>
              <w:rPr>
                <w:rFonts w:ascii="Calibri" w:hAnsi="Calibri" w:cs="Times New Roman"/>
                <w:b/>
                <w:bCs/>
                <w:color w:val="000000"/>
                <w:sz w:val="20"/>
                <w:szCs w:val="20"/>
              </w:rPr>
            </w:pPr>
            <w:r w:rsidRPr="00CE397A">
              <w:rPr>
                <w:rFonts w:ascii="Calibri" w:hAnsi="Calibri" w:cs="Times New Roman"/>
                <w:b/>
                <w:bCs/>
                <w:color w:val="000000"/>
                <w:sz w:val="20"/>
                <w:szCs w:val="20"/>
              </w:rPr>
              <w:t>Johnstone</w:t>
            </w:r>
          </w:p>
        </w:tc>
      </w:tr>
      <w:tr w:rsidR="00BE1A79" w:rsidRPr="00CE397A" w14:paraId="77545738" w14:textId="77777777" w:rsidTr="00103A43">
        <w:trPr>
          <w:trHeight w:val="113"/>
          <w:jc w:val="center"/>
        </w:trPr>
        <w:tc>
          <w:tcPr>
            <w:tcW w:w="0" w:type="auto"/>
            <w:vMerge w:val="restart"/>
            <w:tcBorders>
              <w:top w:val="single" w:sz="4" w:space="0" w:color="auto"/>
              <w:left w:val="nil"/>
              <w:right w:val="single" w:sz="4" w:space="0" w:color="auto"/>
            </w:tcBorders>
            <w:textDirection w:val="btLr"/>
          </w:tcPr>
          <w:p w14:paraId="08965356" w14:textId="37D20453" w:rsidR="00BE1A79" w:rsidRPr="00CE397A" w:rsidRDefault="002259B1" w:rsidP="00103A43">
            <w:pPr>
              <w:spacing w:before="0" w:after="0" w:line="276" w:lineRule="auto"/>
              <w:ind w:left="113" w:right="113"/>
              <w:rPr>
                <w:rFonts w:ascii="Calibri" w:hAnsi="Calibri" w:cs="Times New Roman"/>
                <w:b/>
                <w:color w:val="000000"/>
                <w:sz w:val="20"/>
                <w:szCs w:val="20"/>
              </w:rPr>
            </w:pPr>
            <w:r>
              <w:rPr>
                <w:rFonts w:ascii="Calibri" w:hAnsi="Calibri" w:cs="Times New Roman"/>
                <w:b/>
                <w:color w:val="000000"/>
                <w:sz w:val="20"/>
                <w:szCs w:val="20"/>
              </w:rPr>
              <w:t>D</w:t>
            </w:r>
            <w:r w:rsidR="00BE1A79" w:rsidRPr="00CE397A">
              <w:rPr>
                <w:rFonts w:ascii="Calibri" w:hAnsi="Calibri" w:cs="Times New Roman"/>
                <w:b/>
                <w:color w:val="000000"/>
                <w:sz w:val="20"/>
                <w:szCs w:val="20"/>
              </w:rPr>
              <w:t>onor</w:t>
            </w:r>
          </w:p>
        </w:tc>
        <w:tc>
          <w:tcPr>
            <w:tcW w:w="0" w:type="auto"/>
            <w:tcBorders>
              <w:top w:val="single" w:sz="4" w:space="0" w:color="auto"/>
              <w:left w:val="single" w:sz="4" w:space="0" w:color="auto"/>
              <w:bottom w:val="nil"/>
              <w:right w:val="nil"/>
            </w:tcBorders>
            <w:shd w:val="clear" w:color="auto" w:fill="auto"/>
            <w:noWrap/>
            <w:vAlign w:val="center"/>
            <w:hideMark/>
          </w:tcPr>
          <w:p w14:paraId="0A07CB5C" w14:textId="77777777" w:rsidR="00BE1A79" w:rsidRPr="00CE397A" w:rsidRDefault="00BE1A79" w:rsidP="00103A43">
            <w:pPr>
              <w:spacing w:before="0" w:after="0" w:line="276" w:lineRule="auto"/>
              <w:rPr>
                <w:rFonts w:ascii="Calibri" w:hAnsi="Calibri" w:cs="Times New Roman"/>
                <w:b/>
                <w:color w:val="000000"/>
                <w:sz w:val="20"/>
                <w:szCs w:val="20"/>
              </w:rPr>
            </w:pPr>
            <w:r w:rsidRPr="00CE397A">
              <w:rPr>
                <w:rFonts w:ascii="Calibri" w:hAnsi="Calibri" w:cs="Times New Roman"/>
                <w:b/>
                <w:color w:val="000000"/>
                <w:sz w:val="20"/>
                <w:szCs w:val="20"/>
              </w:rPr>
              <w:t>Hebert</w:t>
            </w:r>
          </w:p>
        </w:tc>
        <w:tc>
          <w:tcPr>
            <w:tcW w:w="0" w:type="auto"/>
            <w:tcBorders>
              <w:top w:val="nil"/>
              <w:left w:val="nil"/>
              <w:bottom w:val="nil"/>
              <w:right w:val="nil"/>
            </w:tcBorders>
            <w:shd w:val="clear" w:color="auto" w:fill="auto"/>
            <w:noWrap/>
            <w:vAlign w:val="center"/>
            <w:hideMark/>
          </w:tcPr>
          <w:p w14:paraId="681135FA" w14:textId="77777777" w:rsidR="00BE1A79" w:rsidRPr="00CE397A" w:rsidRDefault="00BE1A79" w:rsidP="00103A43">
            <w:pPr>
              <w:spacing w:before="0" w:after="0"/>
              <w:jc w:val="center"/>
              <w:rPr>
                <w:rFonts w:ascii="Calibri" w:hAnsi="Calibri"/>
                <w:color w:val="000000"/>
                <w:sz w:val="20"/>
                <w:szCs w:val="20"/>
              </w:rPr>
            </w:pPr>
            <w:r w:rsidRPr="00CE397A">
              <w:rPr>
                <w:rFonts w:ascii="Calibri" w:hAnsi="Calibri"/>
                <w:color w:val="000000"/>
                <w:sz w:val="20"/>
                <w:szCs w:val="20"/>
              </w:rPr>
              <w:t>56</w:t>
            </w:r>
          </w:p>
        </w:tc>
        <w:tc>
          <w:tcPr>
            <w:tcW w:w="0" w:type="auto"/>
            <w:tcBorders>
              <w:top w:val="nil"/>
              <w:left w:val="nil"/>
              <w:bottom w:val="nil"/>
              <w:right w:val="nil"/>
            </w:tcBorders>
            <w:shd w:val="clear" w:color="auto" w:fill="auto"/>
            <w:noWrap/>
            <w:vAlign w:val="center"/>
            <w:hideMark/>
          </w:tcPr>
          <w:p w14:paraId="7750A271" w14:textId="77777777" w:rsidR="00BE1A79" w:rsidRPr="00CE397A" w:rsidRDefault="00BE1A79" w:rsidP="00103A43">
            <w:pPr>
              <w:spacing w:before="0" w:after="0"/>
              <w:jc w:val="center"/>
              <w:rPr>
                <w:rFonts w:ascii="Calibri" w:hAnsi="Calibri"/>
                <w:color w:val="000000"/>
                <w:sz w:val="20"/>
                <w:szCs w:val="20"/>
              </w:rPr>
            </w:pPr>
            <w:r w:rsidRPr="00CE397A">
              <w:rPr>
                <w:rFonts w:ascii="Calibri" w:hAnsi="Calibri"/>
                <w:color w:val="000000"/>
                <w:sz w:val="20"/>
                <w:szCs w:val="20"/>
              </w:rPr>
              <w:t>25 (45%)</w:t>
            </w:r>
          </w:p>
        </w:tc>
        <w:tc>
          <w:tcPr>
            <w:tcW w:w="0" w:type="auto"/>
            <w:tcBorders>
              <w:top w:val="nil"/>
              <w:left w:val="nil"/>
              <w:bottom w:val="nil"/>
              <w:right w:val="nil"/>
            </w:tcBorders>
            <w:shd w:val="clear" w:color="auto" w:fill="auto"/>
            <w:noWrap/>
            <w:vAlign w:val="center"/>
            <w:hideMark/>
          </w:tcPr>
          <w:p w14:paraId="6B74B518" w14:textId="77777777" w:rsidR="00BE1A79" w:rsidRPr="00CE397A" w:rsidRDefault="00BE1A79" w:rsidP="00103A43">
            <w:pPr>
              <w:spacing w:before="0" w:after="0"/>
              <w:jc w:val="center"/>
              <w:rPr>
                <w:rFonts w:ascii="Calibri" w:hAnsi="Calibri"/>
                <w:color w:val="000000"/>
                <w:sz w:val="20"/>
                <w:szCs w:val="20"/>
              </w:rPr>
            </w:pPr>
            <w:r w:rsidRPr="00CE397A">
              <w:rPr>
                <w:rFonts w:ascii="Calibri" w:hAnsi="Calibri"/>
                <w:color w:val="000000"/>
                <w:sz w:val="20"/>
                <w:szCs w:val="20"/>
              </w:rPr>
              <w:t>19 (34%)</w:t>
            </w:r>
          </w:p>
        </w:tc>
      </w:tr>
      <w:tr w:rsidR="00BE1A79" w:rsidRPr="00CE397A" w14:paraId="156A5F1B" w14:textId="77777777" w:rsidTr="00103A43">
        <w:trPr>
          <w:trHeight w:val="113"/>
          <w:jc w:val="center"/>
        </w:trPr>
        <w:tc>
          <w:tcPr>
            <w:tcW w:w="0" w:type="auto"/>
            <w:vMerge/>
            <w:tcBorders>
              <w:left w:val="nil"/>
              <w:right w:val="single" w:sz="4" w:space="0" w:color="auto"/>
            </w:tcBorders>
          </w:tcPr>
          <w:p w14:paraId="79A30922" w14:textId="77777777" w:rsidR="00BE1A79" w:rsidRPr="00CE397A" w:rsidRDefault="00BE1A79" w:rsidP="00103A43">
            <w:pPr>
              <w:spacing w:before="0" w:after="0" w:line="276" w:lineRule="auto"/>
              <w:rPr>
                <w:rFonts w:ascii="Calibri" w:hAnsi="Calibri" w:cs="Times New Roman"/>
                <w:b/>
                <w:color w:val="000000"/>
                <w:sz w:val="20"/>
                <w:szCs w:val="20"/>
              </w:rPr>
            </w:pPr>
          </w:p>
        </w:tc>
        <w:tc>
          <w:tcPr>
            <w:tcW w:w="0" w:type="auto"/>
            <w:tcBorders>
              <w:top w:val="nil"/>
              <w:left w:val="single" w:sz="4" w:space="0" w:color="auto"/>
              <w:bottom w:val="nil"/>
              <w:right w:val="nil"/>
            </w:tcBorders>
            <w:shd w:val="clear" w:color="auto" w:fill="auto"/>
            <w:noWrap/>
            <w:vAlign w:val="center"/>
            <w:hideMark/>
          </w:tcPr>
          <w:p w14:paraId="7EA25F0D" w14:textId="77777777" w:rsidR="00BE1A79" w:rsidRPr="00CE397A" w:rsidRDefault="00BE1A79" w:rsidP="00103A43">
            <w:pPr>
              <w:spacing w:before="0" w:after="0" w:line="276" w:lineRule="auto"/>
              <w:rPr>
                <w:rFonts w:ascii="Calibri" w:hAnsi="Calibri" w:cs="Times New Roman"/>
                <w:b/>
                <w:color w:val="000000"/>
                <w:sz w:val="20"/>
                <w:szCs w:val="20"/>
              </w:rPr>
            </w:pPr>
            <w:r w:rsidRPr="00CE397A">
              <w:rPr>
                <w:rFonts w:ascii="Calibri" w:hAnsi="Calibri" w:cs="Times New Roman"/>
                <w:b/>
                <w:color w:val="000000"/>
                <w:sz w:val="20"/>
                <w:szCs w:val="20"/>
              </w:rPr>
              <w:t>Tully</w:t>
            </w:r>
          </w:p>
        </w:tc>
        <w:tc>
          <w:tcPr>
            <w:tcW w:w="0" w:type="auto"/>
            <w:tcBorders>
              <w:top w:val="nil"/>
              <w:left w:val="nil"/>
              <w:bottom w:val="nil"/>
              <w:right w:val="nil"/>
            </w:tcBorders>
            <w:shd w:val="clear" w:color="auto" w:fill="auto"/>
            <w:noWrap/>
            <w:vAlign w:val="center"/>
            <w:hideMark/>
          </w:tcPr>
          <w:p w14:paraId="36255FBF" w14:textId="77777777" w:rsidR="00BE1A79" w:rsidRPr="00CE397A" w:rsidRDefault="00BE1A79" w:rsidP="00103A43">
            <w:pPr>
              <w:spacing w:before="0" w:after="0"/>
              <w:jc w:val="center"/>
              <w:rPr>
                <w:rFonts w:ascii="Calibri" w:hAnsi="Calibri"/>
                <w:color w:val="000000"/>
                <w:sz w:val="20"/>
                <w:szCs w:val="20"/>
              </w:rPr>
            </w:pPr>
            <w:r w:rsidRPr="00CE397A">
              <w:rPr>
                <w:rFonts w:ascii="Calibri" w:hAnsi="Calibri"/>
                <w:color w:val="000000"/>
                <w:sz w:val="20"/>
                <w:szCs w:val="20"/>
              </w:rPr>
              <w:t>9 (20%)</w:t>
            </w:r>
          </w:p>
        </w:tc>
        <w:tc>
          <w:tcPr>
            <w:tcW w:w="0" w:type="auto"/>
            <w:tcBorders>
              <w:top w:val="nil"/>
              <w:left w:val="nil"/>
              <w:bottom w:val="nil"/>
              <w:right w:val="nil"/>
            </w:tcBorders>
            <w:shd w:val="clear" w:color="auto" w:fill="auto"/>
            <w:noWrap/>
            <w:vAlign w:val="center"/>
            <w:hideMark/>
          </w:tcPr>
          <w:p w14:paraId="52D6FD20" w14:textId="77777777" w:rsidR="00BE1A79" w:rsidRPr="00CE397A" w:rsidRDefault="00BE1A79" w:rsidP="00103A43">
            <w:pPr>
              <w:spacing w:before="0" w:after="0"/>
              <w:jc w:val="center"/>
              <w:rPr>
                <w:rFonts w:ascii="Calibri" w:hAnsi="Calibri"/>
                <w:color w:val="000000"/>
                <w:sz w:val="20"/>
                <w:szCs w:val="20"/>
              </w:rPr>
            </w:pPr>
            <w:r w:rsidRPr="00CE397A">
              <w:rPr>
                <w:rFonts w:ascii="Calibri" w:hAnsi="Calibri"/>
                <w:color w:val="000000"/>
                <w:sz w:val="20"/>
                <w:szCs w:val="20"/>
              </w:rPr>
              <w:t>46</w:t>
            </w:r>
          </w:p>
        </w:tc>
        <w:tc>
          <w:tcPr>
            <w:tcW w:w="0" w:type="auto"/>
            <w:tcBorders>
              <w:top w:val="nil"/>
              <w:left w:val="nil"/>
              <w:bottom w:val="nil"/>
              <w:right w:val="nil"/>
            </w:tcBorders>
            <w:shd w:val="clear" w:color="auto" w:fill="auto"/>
            <w:noWrap/>
            <w:vAlign w:val="center"/>
            <w:hideMark/>
          </w:tcPr>
          <w:p w14:paraId="1CB98D31" w14:textId="77777777" w:rsidR="00BE1A79" w:rsidRPr="00CE397A" w:rsidRDefault="00BE1A79" w:rsidP="00103A43">
            <w:pPr>
              <w:spacing w:before="0" w:after="0"/>
              <w:jc w:val="center"/>
              <w:rPr>
                <w:rFonts w:ascii="Calibri" w:hAnsi="Calibri"/>
                <w:color w:val="000000"/>
                <w:sz w:val="20"/>
                <w:szCs w:val="20"/>
              </w:rPr>
            </w:pPr>
            <w:r w:rsidRPr="00CE397A">
              <w:rPr>
                <w:rFonts w:ascii="Calibri" w:hAnsi="Calibri"/>
                <w:color w:val="000000"/>
                <w:sz w:val="20"/>
                <w:szCs w:val="20"/>
              </w:rPr>
              <w:t>19 (41%)</w:t>
            </w:r>
          </w:p>
        </w:tc>
      </w:tr>
      <w:tr w:rsidR="00BE1A79" w:rsidRPr="00CE397A" w14:paraId="4697FA6C" w14:textId="77777777" w:rsidTr="00103A43">
        <w:trPr>
          <w:trHeight w:val="113"/>
          <w:jc w:val="center"/>
        </w:trPr>
        <w:tc>
          <w:tcPr>
            <w:tcW w:w="0" w:type="auto"/>
            <w:vMerge/>
            <w:tcBorders>
              <w:left w:val="nil"/>
              <w:bottom w:val="single" w:sz="4" w:space="0" w:color="auto"/>
              <w:right w:val="single" w:sz="4" w:space="0" w:color="auto"/>
            </w:tcBorders>
          </w:tcPr>
          <w:p w14:paraId="2CCF3B2B" w14:textId="77777777" w:rsidR="00BE1A79" w:rsidRPr="00CE397A" w:rsidRDefault="00BE1A79" w:rsidP="00103A43">
            <w:pPr>
              <w:spacing w:before="0" w:after="0" w:line="276" w:lineRule="auto"/>
              <w:rPr>
                <w:rFonts w:ascii="Calibri" w:hAnsi="Calibri" w:cs="Times New Roman"/>
                <w:b/>
                <w:color w:val="000000"/>
                <w:sz w:val="20"/>
                <w:szCs w:val="20"/>
              </w:rPr>
            </w:pPr>
          </w:p>
        </w:tc>
        <w:tc>
          <w:tcPr>
            <w:tcW w:w="0" w:type="auto"/>
            <w:tcBorders>
              <w:top w:val="nil"/>
              <w:left w:val="single" w:sz="4" w:space="0" w:color="auto"/>
              <w:bottom w:val="single" w:sz="4" w:space="0" w:color="auto"/>
              <w:right w:val="nil"/>
            </w:tcBorders>
            <w:shd w:val="clear" w:color="auto" w:fill="auto"/>
            <w:noWrap/>
            <w:vAlign w:val="center"/>
            <w:hideMark/>
          </w:tcPr>
          <w:p w14:paraId="251DA87B" w14:textId="77777777" w:rsidR="00BE1A79" w:rsidRPr="00CE397A" w:rsidRDefault="00BE1A79" w:rsidP="00103A43">
            <w:pPr>
              <w:spacing w:before="0" w:after="0" w:line="276" w:lineRule="auto"/>
              <w:rPr>
                <w:rFonts w:ascii="Calibri" w:hAnsi="Calibri" w:cs="Times New Roman"/>
                <w:b/>
                <w:color w:val="000000"/>
                <w:sz w:val="20"/>
                <w:szCs w:val="20"/>
              </w:rPr>
            </w:pPr>
            <w:r w:rsidRPr="00CE397A">
              <w:rPr>
                <w:rFonts w:ascii="Calibri" w:hAnsi="Calibri" w:cs="Times New Roman"/>
                <w:b/>
                <w:color w:val="000000"/>
                <w:sz w:val="20"/>
                <w:szCs w:val="20"/>
              </w:rPr>
              <w:t>Johnstone</w:t>
            </w:r>
          </w:p>
        </w:tc>
        <w:tc>
          <w:tcPr>
            <w:tcW w:w="0" w:type="auto"/>
            <w:tcBorders>
              <w:top w:val="nil"/>
              <w:left w:val="nil"/>
              <w:bottom w:val="single" w:sz="4" w:space="0" w:color="auto"/>
              <w:right w:val="nil"/>
            </w:tcBorders>
            <w:shd w:val="clear" w:color="auto" w:fill="auto"/>
            <w:noWrap/>
            <w:vAlign w:val="center"/>
            <w:hideMark/>
          </w:tcPr>
          <w:p w14:paraId="7DD53193" w14:textId="77777777" w:rsidR="00BE1A79" w:rsidRPr="00CE397A" w:rsidRDefault="00BE1A79" w:rsidP="00103A43">
            <w:pPr>
              <w:spacing w:before="0" w:after="0"/>
              <w:jc w:val="center"/>
              <w:rPr>
                <w:rFonts w:ascii="Calibri" w:hAnsi="Calibri"/>
                <w:color w:val="000000"/>
                <w:sz w:val="20"/>
                <w:szCs w:val="20"/>
              </w:rPr>
            </w:pPr>
            <w:r w:rsidRPr="00CE397A">
              <w:rPr>
                <w:rFonts w:ascii="Calibri" w:hAnsi="Calibri"/>
                <w:color w:val="000000"/>
                <w:sz w:val="20"/>
                <w:szCs w:val="20"/>
              </w:rPr>
              <w:t>7 (21%)</w:t>
            </w:r>
          </w:p>
        </w:tc>
        <w:tc>
          <w:tcPr>
            <w:tcW w:w="0" w:type="auto"/>
            <w:tcBorders>
              <w:top w:val="nil"/>
              <w:left w:val="nil"/>
              <w:bottom w:val="single" w:sz="4" w:space="0" w:color="auto"/>
              <w:right w:val="nil"/>
            </w:tcBorders>
            <w:shd w:val="clear" w:color="auto" w:fill="auto"/>
            <w:noWrap/>
            <w:vAlign w:val="center"/>
            <w:hideMark/>
          </w:tcPr>
          <w:p w14:paraId="76DBCBC3" w14:textId="77777777" w:rsidR="00BE1A79" w:rsidRPr="00CE397A" w:rsidRDefault="00BE1A79" w:rsidP="00103A43">
            <w:pPr>
              <w:spacing w:before="0" w:after="0"/>
              <w:jc w:val="center"/>
              <w:rPr>
                <w:rFonts w:ascii="Calibri" w:hAnsi="Calibri"/>
                <w:color w:val="000000"/>
                <w:sz w:val="20"/>
                <w:szCs w:val="20"/>
              </w:rPr>
            </w:pPr>
            <w:r w:rsidRPr="00CE397A">
              <w:rPr>
                <w:rFonts w:ascii="Calibri" w:hAnsi="Calibri"/>
                <w:color w:val="000000"/>
                <w:sz w:val="20"/>
                <w:szCs w:val="20"/>
              </w:rPr>
              <w:t>7 (21%)</w:t>
            </w:r>
          </w:p>
        </w:tc>
        <w:tc>
          <w:tcPr>
            <w:tcW w:w="0" w:type="auto"/>
            <w:tcBorders>
              <w:top w:val="nil"/>
              <w:left w:val="nil"/>
              <w:bottom w:val="single" w:sz="4" w:space="0" w:color="auto"/>
              <w:right w:val="nil"/>
            </w:tcBorders>
            <w:shd w:val="clear" w:color="auto" w:fill="auto"/>
            <w:noWrap/>
            <w:vAlign w:val="center"/>
            <w:hideMark/>
          </w:tcPr>
          <w:p w14:paraId="6924DF50" w14:textId="77777777" w:rsidR="00BE1A79" w:rsidRPr="00CE397A" w:rsidRDefault="00BE1A79" w:rsidP="00103A43">
            <w:pPr>
              <w:spacing w:before="0" w:after="0"/>
              <w:jc w:val="center"/>
              <w:rPr>
                <w:rFonts w:ascii="Calibri" w:hAnsi="Calibri"/>
                <w:color w:val="000000"/>
                <w:sz w:val="20"/>
                <w:szCs w:val="20"/>
              </w:rPr>
            </w:pPr>
            <w:r w:rsidRPr="00CE397A">
              <w:rPr>
                <w:rFonts w:ascii="Calibri" w:hAnsi="Calibri"/>
                <w:color w:val="000000"/>
                <w:sz w:val="20"/>
                <w:szCs w:val="20"/>
              </w:rPr>
              <w:t>34</w:t>
            </w:r>
          </w:p>
        </w:tc>
      </w:tr>
    </w:tbl>
    <w:p w14:paraId="4E4BB2FD" w14:textId="31087DF7" w:rsidR="00B46AF9" w:rsidRPr="00AD57A0" w:rsidRDefault="00B46AF9" w:rsidP="00B46AF9">
      <w:pPr>
        <w:pStyle w:val="Heading2"/>
      </w:pPr>
      <w:bookmarkStart w:id="177" w:name="_Toc443299482"/>
      <w:bookmarkStart w:id="178" w:name="_Toc443299695"/>
      <w:bookmarkStart w:id="179" w:name="_Toc454304715"/>
      <w:r w:rsidRPr="00AD57A0">
        <w:t xml:space="preserve">Data analysis – </w:t>
      </w:r>
      <w:r w:rsidR="00BE1A79">
        <w:t>Load dispersion maps</w:t>
      </w:r>
      <w:bookmarkEnd w:id="177"/>
      <w:bookmarkEnd w:id="178"/>
      <w:r w:rsidR="000879E3">
        <w:t>, TSS</w:t>
      </w:r>
      <w:bookmarkEnd w:id="179"/>
    </w:p>
    <w:p w14:paraId="491E6DD3" w14:textId="066F2B37" w:rsidR="00B46AF9" w:rsidRPr="00AD57A0" w:rsidRDefault="00B46AF9" w:rsidP="00B46AF9">
      <w:r w:rsidRPr="00AD57A0">
        <w:rPr>
          <w:rFonts w:cs="Courier New"/>
        </w:rPr>
        <w:t>After excluding outliers, a total of 439 match-ups were extracted for TSS measured in flood plume waters over 12 wet seasons (c.a., December to April, inclusive) form 2002</w:t>
      </w:r>
      <w:r w:rsidR="00445BD2">
        <w:rPr>
          <w:rFonts w:cs="Courier New"/>
        </w:rPr>
        <w:t>-20</w:t>
      </w:r>
      <w:r w:rsidRPr="00AD57A0">
        <w:rPr>
          <w:rFonts w:cs="Courier New"/>
        </w:rPr>
        <w:t>03 to 2013</w:t>
      </w:r>
      <w:r w:rsidR="00445BD2">
        <w:rPr>
          <w:rFonts w:cs="Courier New"/>
        </w:rPr>
        <w:t>-20</w:t>
      </w:r>
      <w:r w:rsidRPr="00AD57A0">
        <w:rPr>
          <w:rFonts w:cs="Courier New"/>
        </w:rPr>
        <w:t>14 under flow exceeding the 75</w:t>
      </w:r>
      <w:r w:rsidRPr="00AD57A0">
        <w:rPr>
          <w:rFonts w:cs="Courier New"/>
          <w:vertAlign w:val="superscript"/>
        </w:rPr>
        <w:t>th</w:t>
      </w:r>
      <w:r w:rsidRPr="00AD57A0">
        <w:rPr>
          <w:rFonts w:cs="Courier New"/>
        </w:rPr>
        <w:t xml:space="preserve"> percentile of long-term flow from 1970 to 2000. A summary of the in-situ TSS concentration per colour class is presented in Figure 4-1</w:t>
      </w:r>
      <w:r w:rsidR="000879E3">
        <w:rPr>
          <w:rFonts w:cs="Courier New"/>
        </w:rPr>
        <w:t>1</w:t>
      </w:r>
      <w:r w:rsidRPr="00AD57A0">
        <w:rPr>
          <w:rFonts w:cs="Courier New"/>
        </w:rPr>
        <w:t xml:space="preserve"> and Table 4-1</w:t>
      </w:r>
      <w:r w:rsidR="000879E3">
        <w:rPr>
          <w:rFonts w:cs="Courier New"/>
        </w:rPr>
        <w:t>3</w:t>
      </w:r>
      <w:r w:rsidRPr="00AD57A0">
        <w:t xml:space="preserve">. </w:t>
      </w:r>
    </w:p>
    <w:p w14:paraId="7745ED94" w14:textId="77777777" w:rsidR="00316965" w:rsidRDefault="00316965" w:rsidP="00B46AF9">
      <w:pPr>
        <w:pStyle w:val="Caption"/>
        <w:tabs>
          <w:tab w:val="clear" w:pos="1134"/>
          <w:tab w:val="left" w:pos="-90"/>
        </w:tabs>
        <w:ind w:left="0" w:firstLine="0"/>
      </w:pPr>
      <w:bookmarkStart w:id="180" w:name="_Toc434607156"/>
      <w:bookmarkStart w:id="181" w:name="_Toc454303916"/>
    </w:p>
    <w:p w14:paraId="4645E284" w14:textId="71D994B9" w:rsidR="00B46AF9" w:rsidRPr="00AD57A0" w:rsidRDefault="00316965" w:rsidP="00B46AF9">
      <w:pPr>
        <w:pStyle w:val="Caption"/>
        <w:tabs>
          <w:tab w:val="clear" w:pos="1134"/>
          <w:tab w:val="left" w:pos="-90"/>
        </w:tabs>
        <w:ind w:left="0" w:firstLine="0"/>
      </w:pPr>
      <w:r w:rsidRPr="00AD57A0">
        <w:rPr>
          <w:noProof/>
          <w:lang w:val="en-AU" w:eastAsia="en-AU"/>
        </w:rPr>
        <w:drawing>
          <wp:anchor distT="0" distB="0" distL="114300" distR="114300" simplePos="0" relativeHeight="251804672" behindDoc="0" locked="0" layoutInCell="1" allowOverlap="1" wp14:anchorId="73393B7A" wp14:editId="2306A7A1">
            <wp:simplePos x="0" y="0"/>
            <wp:positionH relativeFrom="column">
              <wp:posOffset>1035050</wp:posOffset>
            </wp:positionH>
            <wp:positionV relativeFrom="paragraph">
              <wp:posOffset>48260</wp:posOffset>
            </wp:positionV>
            <wp:extent cx="3067050" cy="2682875"/>
            <wp:effectExtent l="0" t="0" r="0" b="3175"/>
            <wp:wrapTopAndBottom/>
            <wp:docPr id="7" name="Picture 7" descr=" Regression model adjusted to the in-situ total suspended solids concentration (TSS, mg/L) sampled over 12 wet seasons (c.a., December to April inclusive) from 2002/03 to 2013/14 per colour class. Dashed lines stand for CI 95%, red dots are outliers and nudge was applied to data on x-axis for better visualisation." title="Figure 4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9" cstate="screen">
                      <a:extLst>
                        <a:ext uri="{28A0092B-C50C-407E-A947-70E740481C1C}">
                          <a14:useLocalDpi xmlns:a14="http://schemas.microsoft.com/office/drawing/2010/main"/>
                        </a:ext>
                      </a:extLst>
                    </a:blip>
                    <a:stretch>
                      <a:fillRect/>
                    </a:stretch>
                  </pic:blipFill>
                  <pic:spPr>
                    <a:xfrm>
                      <a:off x="0" y="0"/>
                      <a:ext cx="3067050" cy="2682875"/>
                    </a:xfrm>
                    <a:prstGeom prst="rect">
                      <a:avLst/>
                    </a:prstGeom>
                  </pic:spPr>
                </pic:pic>
              </a:graphicData>
            </a:graphic>
            <wp14:sizeRelH relativeFrom="page">
              <wp14:pctWidth>0</wp14:pctWidth>
            </wp14:sizeRelH>
            <wp14:sizeRelV relativeFrom="page">
              <wp14:pctHeight>0</wp14:pctHeight>
            </wp14:sizeRelV>
          </wp:anchor>
        </w:drawing>
      </w:r>
      <w:r w:rsidR="00B46AF9" w:rsidRPr="00AD57A0">
        <w:t xml:space="preserve">Figure </w:t>
      </w:r>
      <w:r w:rsidR="009F4CB0">
        <w:fldChar w:fldCharType="begin"/>
      </w:r>
      <w:r w:rsidR="009F4CB0">
        <w:instrText xml:space="preserve"> STYLEREF 1 \s </w:instrText>
      </w:r>
      <w:r w:rsidR="009F4CB0">
        <w:fldChar w:fldCharType="separate"/>
      </w:r>
      <w:r w:rsidR="000E22F3">
        <w:rPr>
          <w:noProof/>
        </w:rPr>
        <w:t>4</w:t>
      </w:r>
      <w:r w:rsidR="009F4CB0">
        <w:fldChar w:fldCharType="end"/>
      </w:r>
      <w:r w:rsidR="009F4CB0">
        <w:noBreakHyphen/>
      </w:r>
      <w:r w:rsidR="009F4CB0">
        <w:fldChar w:fldCharType="begin"/>
      </w:r>
      <w:r w:rsidR="009F4CB0">
        <w:instrText xml:space="preserve"> SEQ Figure \* ARABIC \s 1 </w:instrText>
      </w:r>
      <w:r w:rsidR="009F4CB0">
        <w:fldChar w:fldCharType="separate"/>
      </w:r>
      <w:r w:rsidR="000E22F3">
        <w:rPr>
          <w:noProof/>
        </w:rPr>
        <w:t>11</w:t>
      </w:r>
      <w:r w:rsidR="009F4CB0">
        <w:fldChar w:fldCharType="end"/>
      </w:r>
      <w:r w:rsidR="00B46AF9" w:rsidRPr="00AD57A0">
        <w:t xml:space="preserve">:  </w:t>
      </w:r>
      <w:bookmarkEnd w:id="180"/>
      <w:r w:rsidR="00B46AF9" w:rsidRPr="00AD57A0">
        <w:t>Regression model adjusted to the in-situ total suspended solids concentration (TSS, mg/L) sampled over 12 wet seasons (c.a., December to April inclusive) from 2002/03 to 2013/14 per colour class. Dashed lines stand for CI 95%, red dots are outliers and nudge was applied to data on x-axis for better visuali</w:t>
      </w:r>
      <w:r w:rsidR="00CE397A">
        <w:t>s</w:t>
      </w:r>
      <w:r w:rsidR="00B46AF9" w:rsidRPr="00AD57A0">
        <w:t>ation.</w:t>
      </w:r>
      <w:bookmarkEnd w:id="181"/>
    </w:p>
    <w:p w14:paraId="2EF4FFD1" w14:textId="2FDE8893" w:rsidR="00B46AF9" w:rsidRPr="00AD57A0" w:rsidRDefault="00B46AF9" w:rsidP="00B46AF9">
      <w:pPr>
        <w:pStyle w:val="Caption"/>
      </w:pPr>
      <w:bookmarkStart w:id="182" w:name="_Toc434607196"/>
      <w:bookmarkStart w:id="183" w:name="_Toc454304618"/>
      <w:r w:rsidRPr="00AD57A0">
        <w:lastRenderedPageBreak/>
        <w:t xml:space="preserve">Table </w:t>
      </w:r>
      <w:r w:rsidR="000879E3">
        <w:fldChar w:fldCharType="begin"/>
      </w:r>
      <w:r w:rsidR="000879E3">
        <w:instrText xml:space="preserve"> STYLEREF 1 \s </w:instrText>
      </w:r>
      <w:r w:rsidR="000879E3">
        <w:fldChar w:fldCharType="separate"/>
      </w:r>
      <w:r w:rsidR="000E22F3">
        <w:rPr>
          <w:noProof/>
        </w:rPr>
        <w:t>4</w:t>
      </w:r>
      <w:r w:rsidR="000879E3">
        <w:fldChar w:fldCharType="end"/>
      </w:r>
      <w:r w:rsidR="000879E3">
        <w:noBreakHyphen/>
      </w:r>
      <w:r w:rsidR="000879E3">
        <w:fldChar w:fldCharType="begin"/>
      </w:r>
      <w:r w:rsidR="000879E3">
        <w:instrText xml:space="preserve"> SEQ Table \* ARABIC \s 1 </w:instrText>
      </w:r>
      <w:r w:rsidR="000879E3">
        <w:fldChar w:fldCharType="separate"/>
      </w:r>
      <w:r w:rsidR="000E22F3">
        <w:rPr>
          <w:noProof/>
        </w:rPr>
        <w:t>13</w:t>
      </w:r>
      <w:r w:rsidR="000879E3">
        <w:fldChar w:fldCharType="end"/>
      </w:r>
      <w:r w:rsidRPr="00AD57A0">
        <w:t xml:space="preserve">: </w:t>
      </w:r>
      <w:bookmarkEnd w:id="182"/>
      <w:r w:rsidRPr="00AD57A0">
        <w:t>Summary of the in-situ TSS concentrations (mean ± 1 SD, in mg/L), sampled over 12 wet seasons (c.a., December to April inclusive) from 2002/03 to 2013/14, within each colour class (n stands for the number of observations after excluding outliers).</w:t>
      </w:r>
      <w:bookmarkEnd w:id="183"/>
    </w:p>
    <w:tbl>
      <w:tblPr>
        <w:tblW w:w="0" w:type="auto"/>
        <w:jc w:val="center"/>
        <w:tblLook w:val="04A0" w:firstRow="1" w:lastRow="0" w:firstColumn="1" w:lastColumn="0" w:noHBand="0" w:noVBand="1"/>
        <w:tblCaption w:val="Table 4-13"/>
        <w:tblDescription w:val="Summary of the in-situ TSS concentrations (mean ± 1 SD, in mg/L), sampled over 12 wet seasons (c.a., December to April inclusive) from 2002/03 to 2013/14, within each colour class (n stands for the number of observations after excluding outliers)."/>
      </w:tblPr>
      <w:tblGrid>
        <w:gridCol w:w="1658"/>
        <w:gridCol w:w="2139"/>
      </w:tblGrid>
      <w:tr w:rsidR="00B46AF9" w:rsidRPr="00B00A3B" w14:paraId="2BCF9361" w14:textId="77777777" w:rsidTr="00B46AF9">
        <w:trPr>
          <w:trHeight w:val="300"/>
          <w:jc w:val="center"/>
        </w:trPr>
        <w:tc>
          <w:tcPr>
            <w:tcW w:w="0" w:type="auto"/>
            <w:tcBorders>
              <w:top w:val="single" w:sz="4" w:space="0" w:color="auto"/>
              <w:left w:val="nil"/>
              <w:bottom w:val="single" w:sz="4" w:space="0" w:color="auto"/>
              <w:right w:val="nil"/>
            </w:tcBorders>
            <w:shd w:val="clear" w:color="auto" w:fill="auto"/>
            <w:noWrap/>
            <w:vAlign w:val="bottom"/>
            <w:hideMark/>
          </w:tcPr>
          <w:p w14:paraId="0806D2AB" w14:textId="77777777" w:rsidR="00B46AF9" w:rsidRPr="00B00A3B" w:rsidRDefault="00B46AF9" w:rsidP="00B46AF9">
            <w:pPr>
              <w:spacing w:before="0" w:after="0"/>
              <w:jc w:val="left"/>
              <w:rPr>
                <w:rFonts w:ascii="Calibri" w:hAnsi="Calibri" w:cs="Times New Roman"/>
                <w:color w:val="000000"/>
                <w:sz w:val="20"/>
                <w:szCs w:val="20"/>
              </w:rPr>
            </w:pPr>
            <w:r w:rsidRPr="00B00A3B">
              <w:rPr>
                <w:rFonts w:ascii="Calibri" w:hAnsi="Calibri" w:cs="Times New Roman"/>
                <w:color w:val="000000"/>
                <w:sz w:val="20"/>
                <w:szCs w:val="20"/>
              </w:rPr>
              <w:t>Plume water type</w:t>
            </w:r>
          </w:p>
        </w:tc>
        <w:tc>
          <w:tcPr>
            <w:tcW w:w="0" w:type="auto"/>
            <w:tcBorders>
              <w:top w:val="single" w:sz="4" w:space="0" w:color="auto"/>
              <w:left w:val="nil"/>
              <w:bottom w:val="single" w:sz="4" w:space="0" w:color="auto"/>
              <w:right w:val="nil"/>
            </w:tcBorders>
            <w:shd w:val="clear" w:color="auto" w:fill="auto"/>
            <w:noWrap/>
            <w:vAlign w:val="bottom"/>
            <w:hideMark/>
          </w:tcPr>
          <w:p w14:paraId="08CC9728" w14:textId="77777777" w:rsidR="00B46AF9" w:rsidRPr="00B00A3B" w:rsidRDefault="00B46AF9" w:rsidP="00B46AF9">
            <w:pPr>
              <w:spacing w:before="0" w:after="0"/>
              <w:jc w:val="center"/>
              <w:rPr>
                <w:rFonts w:ascii="Calibri" w:hAnsi="Calibri" w:cs="Times New Roman"/>
                <w:color w:val="000000"/>
                <w:sz w:val="20"/>
                <w:szCs w:val="20"/>
              </w:rPr>
            </w:pPr>
            <w:r w:rsidRPr="00B00A3B">
              <w:rPr>
                <w:rFonts w:ascii="Calibri" w:hAnsi="Calibri" w:cs="Times New Roman"/>
                <w:color w:val="000000"/>
                <w:sz w:val="20"/>
                <w:szCs w:val="20"/>
              </w:rPr>
              <w:t>TSS (mg/L, mean ±1 SE)</w:t>
            </w:r>
          </w:p>
        </w:tc>
      </w:tr>
      <w:tr w:rsidR="00B46AF9" w:rsidRPr="00B00A3B" w14:paraId="40612DE0" w14:textId="77777777" w:rsidTr="00B46AF9">
        <w:trPr>
          <w:trHeight w:val="288"/>
          <w:jc w:val="center"/>
        </w:trPr>
        <w:tc>
          <w:tcPr>
            <w:tcW w:w="0" w:type="auto"/>
            <w:tcBorders>
              <w:top w:val="nil"/>
              <w:left w:val="nil"/>
              <w:bottom w:val="nil"/>
              <w:right w:val="nil"/>
            </w:tcBorders>
            <w:shd w:val="clear" w:color="auto" w:fill="auto"/>
            <w:noWrap/>
            <w:vAlign w:val="bottom"/>
            <w:hideMark/>
          </w:tcPr>
          <w:p w14:paraId="5555AC68" w14:textId="77777777" w:rsidR="00B46AF9" w:rsidRPr="00B00A3B" w:rsidRDefault="00B46AF9" w:rsidP="00B46AF9">
            <w:pPr>
              <w:spacing w:before="0" w:after="0"/>
              <w:jc w:val="left"/>
              <w:rPr>
                <w:rFonts w:ascii="Calibri" w:hAnsi="Calibri" w:cs="Times New Roman"/>
                <w:color w:val="000000"/>
                <w:sz w:val="20"/>
                <w:szCs w:val="20"/>
              </w:rPr>
            </w:pPr>
            <w:r w:rsidRPr="00B00A3B">
              <w:rPr>
                <w:rFonts w:ascii="Calibri" w:hAnsi="Calibri" w:cs="Times New Roman"/>
                <w:color w:val="000000"/>
                <w:sz w:val="20"/>
                <w:szCs w:val="20"/>
              </w:rPr>
              <w:t>model stats</w:t>
            </w:r>
          </w:p>
        </w:tc>
        <w:tc>
          <w:tcPr>
            <w:tcW w:w="0" w:type="auto"/>
            <w:tcBorders>
              <w:top w:val="nil"/>
              <w:left w:val="nil"/>
              <w:bottom w:val="nil"/>
              <w:right w:val="nil"/>
            </w:tcBorders>
            <w:shd w:val="clear" w:color="auto" w:fill="auto"/>
            <w:noWrap/>
            <w:vAlign w:val="bottom"/>
            <w:hideMark/>
          </w:tcPr>
          <w:p w14:paraId="52C3E626" w14:textId="77777777" w:rsidR="00B46AF9" w:rsidRPr="00B00A3B" w:rsidRDefault="00B46AF9" w:rsidP="00B46AF9">
            <w:pPr>
              <w:spacing w:before="0" w:after="0"/>
              <w:jc w:val="center"/>
              <w:rPr>
                <w:rFonts w:ascii="Calibri" w:hAnsi="Calibri" w:cs="Times New Roman"/>
                <w:color w:val="000000"/>
                <w:sz w:val="20"/>
                <w:szCs w:val="20"/>
              </w:rPr>
            </w:pPr>
            <w:r w:rsidRPr="00B00A3B">
              <w:rPr>
                <w:rFonts w:ascii="Calibri" w:hAnsi="Calibri" w:cs="Times New Roman"/>
                <w:color w:val="000000"/>
                <w:sz w:val="20"/>
                <w:szCs w:val="20"/>
              </w:rPr>
              <w:t>Adj.r-sq = 0.23, p &lt; 0.02</w:t>
            </w:r>
          </w:p>
        </w:tc>
      </w:tr>
      <w:tr w:rsidR="00B46AF9" w:rsidRPr="00B00A3B" w14:paraId="4D973AA5" w14:textId="77777777" w:rsidTr="00B46AF9">
        <w:trPr>
          <w:trHeight w:val="288"/>
          <w:jc w:val="center"/>
        </w:trPr>
        <w:tc>
          <w:tcPr>
            <w:tcW w:w="0" w:type="auto"/>
            <w:tcBorders>
              <w:top w:val="nil"/>
              <w:left w:val="nil"/>
              <w:bottom w:val="nil"/>
              <w:right w:val="nil"/>
            </w:tcBorders>
            <w:shd w:val="clear" w:color="auto" w:fill="auto"/>
            <w:noWrap/>
            <w:vAlign w:val="bottom"/>
            <w:hideMark/>
          </w:tcPr>
          <w:p w14:paraId="6B29BDB1" w14:textId="77777777" w:rsidR="00B46AF9" w:rsidRPr="00B00A3B" w:rsidRDefault="00B46AF9" w:rsidP="00B46AF9">
            <w:pPr>
              <w:spacing w:before="0" w:after="0"/>
              <w:jc w:val="left"/>
              <w:rPr>
                <w:rFonts w:ascii="Calibri" w:hAnsi="Calibri" w:cs="Times New Roman"/>
                <w:color w:val="000000"/>
                <w:sz w:val="20"/>
                <w:szCs w:val="20"/>
              </w:rPr>
            </w:pPr>
            <w:r w:rsidRPr="00B00A3B">
              <w:rPr>
                <w:rFonts w:ascii="Calibri" w:hAnsi="Calibri" w:cs="Times New Roman"/>
                <w:color w:val="000000"/>
                <w:sz w:val="20"/>
                <w:szCs w:val="20"/>
              </w:rPr>
              <w:t>1</w:t>
            </w:r>
          </w:p>
        </w:tc>
        <w:tc>
          <w:tcPr>
            <w:tcW w:w="0" w:type="auto"/>
            <w:tcBorders>
              <w:top w:val="nil"/>
              <w:left w:val="nil"/>
              <w:bottom w:val="nil"/>
              <w:right w:val="nil"/>
            </w:tcBorders>
            <w:shd w:val="clear" w:color="auto" w:fill="auto"/>
            <w:noWrap/>
            <w:vAlign w:val="bottom"/>
            <w:hideMark/>
          </w:tcPr>
          <w:p w14:paraId="3B5F2EE7" w14:textId="77777777" w:rsidR="00B46AF9" w:rsidRPr="00B00A3B" w:rsidRDefault="00B46AF9" w:rsidP="00B46AF9">
            <w:pPr>
              <w:spacing w:before="0" w:after="0"/>
              <w:jc w:val="center"/>
              <w:rPr>
                <w:rFonts w:ascii="Calibri" w:hAnsi="Calibri" w:cs="Times New Roman"/>
                <w:color w:val="000000"/>
                <w:sz w:val="20"/>
                <w:szCs w:val="20"/>
              </w:rPr>
            </w:pPr>
            <w:r w:rsidRPr="00B00A3B">
              <w:rPr>
                <w:rFonts w:ascii="Calibri" w:hAnsi="Calibri" w:cs="Times New Roman"/>
                <w:color w:val="000000"/>
                <w:sz w:val="20"/>
                <w:szCs w:val="20"/>
              </w:rPr>
              <w:t>16.95 ± 1.13 (n = 41)</w:t>
            </w:r>
          </w:p>
        </w:tc>
      </w:tr>
      <w:tr w:rsidR="00B46AF9" w:rsidRPr="00B00A3B" w14:paraId="7C0C9343" w14:textId="77777777" w:rsidTr="00B46AF9">
        <w:trPr>
          <w:trHeight w:val="288"/>
          <w:jc w:val="center"/>
        </w:trPr>
        <w:tc>
          <w:tcPr>
            <w:tcW w:w="0" w:type="auto"/>
            <w:tcBorders>
              <w:top w:val="nil"/>
              <w:left w:val="nil"/>
              <w:bottom w:val="nil"/>
              <w:right w:val="nil"/>
            </w:tcBorders>
            <w:shd w:val="clear" w:color="auto" w:fill="auto"/>
            <w:noWrap/>
            <w:vAlign w:val="bottom"/>
            <w:hideMark/>
          </w:tcPr>
          <w:p w14:paraId="3DB1A6E8" w14:textId="77777777" w:rsidR="00B46AF9" w:rsidRPr="00B00A3B" w:rsidRDefault="00B46AF9" w:rsidP="00B46AF9">
            <w:pPr>
              <w:spacing w:before="0" w:after="0"/>
              <w:jc w:val="left"/>
              <w:rPr>
                <w:rFonts w:ascii="Calibri" w:hAnsi="Calibri" w:cs="Times New Roman"/>
                <w:color w:val="000000"/>
                <w:sz w:val="20"/>
                <w:szCs w:val="20"/>
              </w:rPr>
            </w:pPr>
            <w:r w:rsidRPr="00B00A3B">
              <w:rPr>
                <w:rFonts w:ascii="Calibri" w:hAnsi="Calibri" w:cs="Times New Roman"/>
                <w:color w:val="000000"/>
                <w:sz w:val="20"/>
                <w:szCs w:val="20"/>
              </w:rPr>
              <w:t>2</w:t>
            </w:r>
          </w:p>
        </w:tc>
        <w:tc>
          <w:tcPr>
            <w:tcW w:w="0" w:type="auto"/>
            <w:tcBorders>
              <w:top w:val="nil"/>
              <w:left w:val="nil"/>
              <w:bottom w:val="nil"/>
              <w:right w:val="nil"/>
            </w:tcBorders>
            <w:shd w:val="clear" w:color="auto" w:fill="auto"/>
            <w:noWrap/>
            <w:vAlign w:val="bottom"/>
            <w:hideMark/>
          </w:tcPr>
          <w:p w14:paraId="635CD963" w14:textId="77777777" w:rsidR="00B46AF9" w:rsidRPr="00B00A3B" w:rsidRDefault="00B46AF9" w:rsidP="00B46AF9">
            <w:pPr>
              <w:spacing w:before="0" w:after="0"/>
              <w:jc w:val="center"/>
              <w:rPr>
                <w:rFonts w:ascii="Calibri" w:hAnsi="Calibri" w:cs="Times New Roman"/>
                <w:color w:val="000000"/>
                <w:sz w:val="20"/>
                <w:szCs w:val="20"/>
              </w:rPr>
            </w:pPr>
            <w:r w:rsidRPr="00B00A3B">
              <w:rPr>
                <w:rFonts w:ascii="Calibri" w:hAnsi="Calibri" w:cs="Times New Roman"/>
                <w:color w:val="000000"/>
                <w:sz w:val="20"/>
                <w:szCs w:val="20"/>
              </w:rPr>
              <w:t>8.53 ± 1.2 (n = 37)</w:t>
            </w:r>
          </w:p>
        </w:tc>
      </w:tr>
      <w:tr w:rsidR="00B46AF9" w:rsidRPr="00B00A3B" w14:paraId="24821AA1" w14:textId="77777777" w:rsidTr="00B46AF9">
        <w:trPr>
          <w:trHeight w:val="288"/>
          <w:jc w:val="center"/>
        </w:trPr>
        <w:tc>
          <w:tcPr>
            <w:tcW w:w="0" w:type="auto"/>
            <w:tcBorders>
              <w:top w:val="nil"/>
              <w:left w:val="nil"/>
              <w:bottom w:val="nil"/>
              <w:right w:val="nil"/>
            </w:tcBorders>
            <w:shd w:val="clear" w:color="auto" w:fill="auto"/>
            <w:noWrap/>
            <w:vAlign w:val="bottom"/>
            <w:hideMark/>
          </w:tcPr>
          <w:p w14:paraId="097A6B8D" w14:textId="77777777" w:rsidR="00B46AF9" w:rsidRPr="00B00A3B" w:rsidRDefault="00B46AF9" w:rsidP="00B46AF9">
            <w:pPr>
              <w:spacing w:before="0" w:after="0"/>
              <w:jc w:val="left"/>
              <w:rPr>
                <w:rFonts w:ascii="Calibri" w:hAnsi="Calibri" w:cs="Times New Roman"/>
                <w:color w:val="000000"/>
                <w:sz w:val="20"/>
                <w:szCs w:val="20"/>
              </w:rPr>
            </w:pPr>
            <w:r w:rsidRPr="00B00A3B">
              <w:rPr>
                <w:rFonts w:ascii="Calibri" w:hAnsi="Calibri" w:cs="Times New Roman"/>
                <w:color w:val="000000"/>
                <w:sz w:val="20"/>
                <w:szCs w:val="20"/>
              </w:rPr>
              <w:t>3</w:t>
            </w:r>
          </w:p>
        </w:tc>
        <w:tc>
          <w:tcPr>
            <w:tcW w:w="0" w:type="auto"/>
            <w:tcBorders>
              <w:top w:val="nil"/>
              <w:left w:val="nil"/>
              <w:bottom w:val="nil"/>
              <w:right w:val="nil"/>
            </w:tcBorders>
            <w:shd w:val="clear" w:color="auto" w:fill="auto"/>
            <w:noWrap/>
            <w:vAlign w:val="bottom"/>
            <w:hideMark/>
          </w:tcPr>
          <w:p w14:paraId="387CBD97" w14:textId="77777777" w:rsidR="00B46AF9" w:rsidRPr="00B00A3B" w:rsidRDefault="00B46AF9" w:rsidP="00B46AF9">
            <w:pPr>
              <w:spacing w:before="0" w:after="0"/>
              <w:jc w:val="center"/>
              <w:rPr>
                <w:rFonts w:ascii="Calibri" w:hAnsi="Calibri" w:cs="Times New Roman"/>
                <w:color w:val="000000"/>
                <w:sz w:val="20"/>
                <w:szCs w:val="20"/>
              </w:rPr>
            </w:pPr>
            <w:r w:rsidRPr="00B00A3B">
              <w:rPr>
                <w:rFonts w:ascii="Calibri" w:hAnsi="Calibri" w:cs="Times New Roman"/>
                <w:color w:val="000000"/>
                <w:sz w:val="20"/>
                <w:szCs w:val="20"/>
              </w:rPr>
              <w:t>6.17 ± 1.2 (n = 33)</w:t>
            </w:r>
          </w:p>
        </w:tc>
      </w:tr>
      <w:tr w:rsidR="00B46AF9" w:rsidRPr="00B00A3B" w14:paraId="6D3F158A" w14:textId="77777777" w:rsidTr="00B46AF9">
        <w:trPr>
          <w:trHeight w:val="288"/>
          <w:jc w:val="center"/>
        </w:trPr>
        <w:tc>
          <w:tcPr>
            <w:tcW w:w="0" w:type="auto"/>
            <w:tcBorders>
              <w:top w:val="nil"/>
              <w:left w:val="nil"/>
              <w:bottom w:val="nil"/>
              <w:right w:val="nil"/>
            </w:tcBorders>
            <w:shd w:val="clear" w:color="auto" w:fill="auto"/>
            <w:noWrap/>
            <w:vAlign w:val="bottom"/>
            <w:hideMark/>
          </w:tcPr>
          <w:p w14:paraId="2E4464FC" w14:textId="77777777" w:rsidR="00B46AF9" w:rsidRPr="00B00A3B" w:rsidRDefault="00B46AF9" w:rsidP="00B46AF9">
            <w:pPr>
              <w:spacing w:before="0" w:after="0"/>
              <w:jc w:val="left"/>
              <w:rPr>
                <w:rFonts w:ascii="Calibri" w:hAnsi="Calibri" w:cs="Times New Roman"/>
                <w:color w:val="000000"/>
                <w:sz w:val="20"/>
                <w:szCs w:val="20"/>
              </w:rPr>
            </w:pPr>
            <w:r w:rsidRPr="00B00A3B">
              <w:rPr>
                <w:rFonts w:ascii="Calibri" w:hAnsi="Calibri" w:cs="Times New Roman"/>
                <w:color w:val="000000"/>
                <w:sz w:val="20"/>
                <w:szCs w:val="20"/>
              </w:rPr>
              <w:t>4</w:t>
            </w:r>
          </w:p>
        </w:tc>
        <w:tc>
          <w:tcPr>
            <w:tcW w:w="0" w:type="auto"/>
            <w:tcBorders>
              <w:top w:val="nil"/>
              <w:left w:val="nil"/>
              <w:bottom w:val="nil"/>
              <w:right w:val="nil"/>
            </w:tcBorders>
            <w:shd w:val="clear" w:color="auto" w:fill="auto"/>
            <w:noWrap/>
            <w:vAlign w:val="bottom"/>
            <w:hideMark/>
          </w:tcPr>
          <w:p w14:paraId="10E2F0DD" w14:textId="77777777" w:rsidR="00B46AF9" w:rsidRPr="00B00A3B" w:rsidRDefault="00B46AF9" w:rsidP="00B46AF9">
            <w:pPr>
              <w:spacing w:before="0" w:after="0"/>
              <w:jc w:val="center"/>
              <w:rPr>
                <w:rFonts w:ascii="Calibri" w:hAnsi="Calibri" w:cs="Times New Roman"/>
                <w:color w:val="000000"/>
                <w:sz w:val="20"/>
                <w:szCs w:val="20"/>
              </w:rPr>
            </w:pPr>
            <w:r w:rsidRPr="00B00A3B">
              <w:rPr>
                <w:rFonts w:ascii="Calibri" w:hAnsi="Calibri" w:cs="Times New Roman"/>
                <w:color w:val="000000"/>
                <w:sz w:val="20"/>
                <w:szCs w:val="20"/>
              </w:rPr>
              <w:t>4.71 ± 1.15 (n = 133)</w:t>
            </w:r>
          </w:p>
        </w:tc>
      </w:tr>
      <w:tr w:rsidR="00B46AF9" w:rsidRPr="00B00A3B" w14:paraId="303A11AF" w14:textId="77777777" w:rsidTr="00B46AF9">
        <w:trPr>
          <w:trHeight w:val="288"/>
          <w:jc w:val="center"/>
        </w:trPr>
        <w:tc>
          <w:tcPr>
            <w:tcW w:w="0" w:type="auto"/>
            <w:tcBorders>
              <w:top w:val="nil"/>
              <w:left w:val="nil"/>
              <w:bottom w:val="nil"/>
              <w:right w:val="nil"/>
            </w:tcBorders>
            <w:shd w:val="clear" w:color="auto" w:fill="auto"/>
            <w:noWrap/>
            <w:vAlign w:val="bottom"/>
            <w:hideMark/>
          </w:tcPr>
          <w:p w14:paraId="282A455F" w14:textId="77777777" w:rsidR="00B46AF9" w:rsidRPr="00B00A3B" w:rsidRDefault="00B46AF9" w:rsidP="00B46AF9">
            <w:pPr>
              <w:spacing w:before="0" w:after="0"/>
              <w:jc w:val="left"/>
              <w:rPr>
                <w:rFonts w:ascii="Calibri" w:hAnsi="Calibri" w:cs="Times New Roman"/>
                <w:color w:val="000000"/>
                <w:sz w:val="20"/>
                <w:szCs w:val="20"/>
              </w:rPr>
            </w:pPr>
            <w:r w:rsidRPr="00B00A3B">
              <w:rPr>
                <w:rFonts w:ascii="Calibri" w:hAnsi="Calibri" w:cs="Times New Roman"/>
                <w:color w:val="000000"/>
                <w:sz w:val="20"/>
                <w:szCs w:val="20"/>
              </w:rPr>
              <w:t>5</w:t>
            </w:r>
          </w:p>
        </w:tc>
        <w:tc>
          <w:tcPr>
            <w:tcW w:w="0" w:type="auto"/>
            <w:tcBorders>
              <w:top w:val="nil"/>
              <w:left w:val="nil"/>
              <w:bottom w:val="nil"/>
              <w:right w:val="nil"/>
            </w:tcBorders>
            <w:shd w:val="clear" w:color="auto" w:fill="auto"/>
            <w:noWrap/>
            <w:vAlign w:val="bottom"/>
            <w:hideMark/>
          </w:tcPr>
          <w:p w14:paraId="78B41943" w14:textId="77777777" w:rsidR="00B46AF9" w:rsidRPr="00B00A3B" w:rsidRDefault="00B46AF9" w:rsidP="00B46AF9">
            <w:pPr>
              <w:spacing w:before="0" w:after="0"/>
              <w:jc w:val="center"/>
              <w:rPr>
                <w:rFonts w:ascii="Calibri" w:hAnsi="Calibri" w:cs="Times New Roman"/>
                <w:color w:val="000000"/>
                <w:sz w:val="20"/>
                <w:szCs w:val="20"/>
              </w:rPr>
            </w:pPr>
            <w:r w:rsidRPr="00B00A3B">
              <w:rPr>
                <w:rFonts w:ascii="Calibri" w:hAnsi="Calibri" w:cs="Times New Roman"/>
                <w:color w:val="000000"/>
                <w:sz w:val="20"/>
                <w:szCs w:val="20"/>
              </w:rPr>
              <w:t>4.43 ± 1.15 (n = 168)</w:t>
            </w:r>
          </w:p>
        </w:tc>
      </w:tr>
      <w:tr w:rsidR="00B46AF9" w:rsidRPr="00B00A3B" w14:paraId="2DEC4F96" w14:textId="77777777" w:rsidTr="00B46AF9">
        <w:trPr>
          <w:trHeight w:val="288"/>
          <w:jc w:val="center"/>
        </w:trPr>
        <w:tc>
          <w:tcPr>
            <w:tcW w:w="0" w:type="auto"/>
            <w:tcBorders>
              <w:top w:val="nil"/>
              <w:left w:val="nil"/>
              <w:bottom w:val="single" w:sz="4" w:space="0" w:color="auto"/>
              <w:right w:val="nil"/>
            </w:tcBorders>
            <w:shd w:val="clear" w:color="auto" w:fill="auto"/>
            <w:noWrap/>
            <w:vAlign w:val="bottom"/>
            <w:hideMark/>
          </w:tcPr>
          <w:p w14:paraId="3EC5213E" w14:textId="77777777" w:rsidR="00B46AF9" w:rsidRPr="00B00A3B" w:rsidRDefault="00B46AF9" w:rsidP="00B46AF9">
            <w:pPr>
              <w:spacing w:before="0" w:after="0"/>
              <w:jc w:val="left"/>
              <w:rPr>
                <w:rFonts w:ascii="Calibri" w:hAnsi="Calibri" w:cs="Times New Roman"/>
                <w:color w:val="000000"/>
                <w:sz w:val="20"/>
                <w:szCs w:val="20"/>
              </w:rPr>
            </w:pPr>
            <w:r w:rsidRPr="00B00A3B">
              <w:rPr>
                <w:rFonts w:ascii="Calibri" w:hAnsi="Calibri" w:cs="Times New Roman"/>
                <w:color w:val="000000"/>
                <w:sz w:val="20"/>
                <w:szCs w:val="20"/>
              </w:rPr>
              <w:t>6</w:t>
            </w:r>
          </w:p>
        </w:tc>
        <w:tc>
          <w:tcPr>
            <w:tcW w:w="0" w:type="auto"/>
            <w:tcBorders>
              <w:top w:val="nil"/>
              <w:left w:val="nil"/>
              <w:bottom w:val="single" w:sz="4" w:space="0" w:color="auto"/>
              <w:right w:val="nil"/>
            </w:tcBorders>
            <w:shd w:val="clear" w:color="auto" w:fill="auto"/>
            <w:noWrap/>
            <w:vAlign w:val="bottom"/>
            <w:hideMark/>
          </w:tcPr>
          <w:p w14:paraId="2B9929FB" w14:textId="77777777" w:rsidR="00B46AF9" w:rsidRPr="00B00A3B" w:rsidRDefault="00B46AF9" w:rsidP="00B46AF9">
            <w:pPr>
              <w:spacing w:before="0" w:after="0"/>
              <w:jc w:val="center"/>
              <w:rPr>
                <w:rFonts w:ascii="Calibri" w:hAnsi="Calibri" w:cs="Times New Roman"/>
                <w:color w:val="000000"/>
                <w:sz w:val="20"/>
                <w:szCs w:val="20"/>
              </w:rPr>
            </w:pPr>
            <w:r w:rsidRPr="00B00A3B">
              <w:rPr>
                <w:rFonts w:ascii="Calibri" w:hAnsi="Calibri" w:cs="Times New Roman"/>
                <w:color w:val="000000"/>
                <w:sz w:val="20"/>
                <w:szCs w:val="20"/>
              </w:rPr>
              <w:t>2.97 ± 1.22 (n = 27)</w:t>
            </w:r>
          </w:p>
        </w:tc>
      </w:tr>
    </w:tbl>
    <w:p w14:paraId="5DB5F951" w14:textId="77777777" w:rsidR="00B46AF9" w:rsidRPr="00AD57A0" w:rsidRDefault="00B46AF9" w:rsidP="00B46AF9"/>
    <w:p w14:paraId="292A91BD" w14:textId="0BA21571" w:rsidR="00B46AF9" w:rsidRPr="00AD57A0" w:rsidRDefault="00AD1ED7" w:rsidP="00B46AF9">
      <w:r w:rsidRPr="00AD57A0">
        <w:rPr>
          <w:noProof/>
        </w:rPr>
        <w:t xml:space="preserve">A colour class 7 was not attributed to the TSS model because it rerepsents two-week load dispersion, so it was assumed </w:t>
      </w:r>
      <w:r w:rsidR="006C4A6B">
        <w:rPr>
          <w:noProof/>
        </w:rPr>
        <w:t xml:space="preserve">that </w:t>
      </w:r>
      <w:r w:rsidRPr="00AD57A0">
        <w:rPr>
          <w:noProof/>
        </w:rPr>
        <w:t xml:space="preserve">it would be constrained to the plume outer edge. </w:t>
      </w:r>
      <w:r w:rsidR="00B46AF9" w:rsidRPr="00AD57A0">
        <w:rPr>
          <w:noProof/>
        </w:rPr>
        <w:t>TSS</w:t>
      </w:r>
      <w:r w:rsidR="00B46AF9" w:rsidRPr="00AD57A0">
        <w:t xml:space="preserve"> </w:t>
      </w:r>
      <w:r w:rsidR="006C4A6B">
        <w:t>is deposited</w:t>
      </w:r>
      <w:r w:rsidR="00B46AF9" w:rsidRPr="00AD57A0">
        <w:t xml:space="preserve"> faster mainly within classes 1 to 2 and </w:t>
      </w:r>
      <w:r w:rsidR="006C4A6B">
        <w:t xml:space="preserve">then </w:t>
      </w:r>
      <w:r w:rsidR="00B46AF9" w:rsidRPr="00AD57A0">
        <w:t xml:space="preserve">seems to </w:t>
      </w:r>
      <w:r w:rsidR="006C4A6B">
        <w:t>become</w:t>
      </w:r>
      <w:r w:rsidR="00B46AF9" w:rsidRPr="00AD57A0">
        <w:t xml:space="preserve"> stable. The faster reduction in TSS is due to sedimentation,</w:t>
      </w:r>
      <w:r w:rsidR="006C4A6B">
        <w:t xml:space="preserve"> with the</w:t>
      </w:r>
      <w:r w:rsidR="00B46AF9" w:rsidRPr="00AD57A0">
        <w:t xml:space="preserve"> heavier particles </w:t>
      </w:r>
      <w:r w:rsidR="006C4A6B">
        <w:t>settling</w:t>
      </w:r>
      <w:r w:rsidR="00B46AF9" w:rsidRPr="00AD57A0">
        <w:t xml:space="preserve"> out</w:t>
      </w:r>
      <w:r w:rsidR="006C4A6B">
        <w:t xml:space="preserve"> of suspension</w:t>
      </w:r>
      <w:r w:rsidR="00B46AF9" w:rsidRPr="00AD57A0">
        <w:t>. However, it is possible for the smaller particles to move further, resulting in TSS been detected in plume colour class 6. There is also the additional source of TSS</w:t>
      </w:r>
      <w:r w:rsidR="006C4A6B">
        <w:t xml:space="preserve"> due to resuspension caused by wind and w</w:t>
      </w:r>
      <w:r w:rsidR="00B46AF9" w:rsidRPr="00AD57A0">
        <w:t>aves, therefore, the equation used to describe the movement of TSS through the river plume account</w:t>
      </w:r>
      <w:r w:rsidR="006C4A6B">
        <w:t>s</w:t>
      </w:r>
      <w:r w:rsidR="00B46AF9" w:rsidRPr="00AD57A0">
        <w:t xml:space="preserve"> for these process.</w:t>
      </w:r>
    </w:p>
    <w:p w14:paraId="0751C63D" w14:textId="49B60D36" w:rsidR="00B00A3B" w:rsidRPr="00AD57A0" w:rsidRDefault="00B00A3B" w:rsidP="00B00A3B">
      <w:pPr>
        <w:rPr>
          <w:lang w:val="en-US"/>
        </w:rPr>
      </w:pPr>
      <w:r>
        <w:rPr>
          <w:lang w:val="en-US"/>
        </w:rPr>
        <w:t>As described in Section 3.2.1, t</w:t>
      </w:r>
      <w:r w:rsidR="00B46AF9" w:rsidRPr="00AD57A0">
        <w:rPr>
          <w:lang w:val="en-US"/>
        </w:rPr>
        <w:t>he passage of Cyclone Ita led to moderate flows in the Wet Tropics</w:t>
      </w:r>
      <w:r w:rsidR="006C4A6B">
        <w:rPr>
          <w:lang w:val="en-US"/>
        </w:rPr>
        <w:t xml:space="preserve"> rivers</w:t>
      </w:r>
      <w:r w:rsidR="00B46AF9" w:rsidRPr="00AD57A0">
        <w:rPr>
          <w:lang w:val="en-US"/>
        </w:rPr>
        <w:t xml:space="preserve"> in what was otherw</w:t>
      </w:r>
      <w:r w:rsidR="006C4A6B">
        <w:rPr>
          <w:lang w:val="en-US"/>
        </w:rPr>
        <w:t>ise a relatively low flow year. This led to</w:t>
      </w:r>
      <w:r w:rsidR="00B46AF9" w:rsidRPr="00AD57A0">
        <w:rPr>
          <w:lang w:val="en-US"/>
        </w:rPr>
        <w:t xml:space="preserve"> moderate to high TSS loads being dispersed into the GBR lagoon in the Wet Tropics NRM region, particularly out of the Herbert River. The passage of Ex-tropical cyclone Ita produced an increased signal on the flow records for the Normanby, Russell-Mulgrave and Herbert Rivers, but it did not </w:t>
      </w:r>
      <w:r w:rsidR="006C4A6B">
        <w:rPr>
          <w:lang w:val="en-US"/>
        </w:rPr>
        <w:t xml:space="preserve">strongly influence </w:t>
      </w:r>
      <w:r w:rsidR="00B46AF9" w:rsidRPr="00AD57A0">
        <w:rPr>
          <w:lang w:val="en-US"/>
        </w:rPr>
        <w:t xml:space="preserve">the Tully River discharge. The Daintree was the only main river that </w:t>
      </w:r>
      <w:r w:rsidR="006C4A6B">
        <w:rPr>
          <w:lang w:val="en-US"/>
        </w:rPr>
        <w:t>had</w:t>
      </w:r>
      <w:r w:rsidR="00B46AF9" w:rsidRPr="00AD57A0">
        <w:rPr>
          <w:lang w:val="en-US"/>
        </w:rPr>
        <w:t xml:space="preserve"> discharge exceeding &gt;2 times the long-term median.</w:t>
      </w:r>
      <w:r>
        <w:rPr>
          <w:lang w:val="en-US"/>
        </w:rPr>
        <w:t xml:space="preserve"> </w:t>
      </w:r>
      <w:bookmarkStart w:id="184" w:name="_Toc434607160"/>
    </w:p>
    <w:bookmarkEnd w:id="184"/>
    <w:p w14:paraId="31D15642" w14:textId="5972FAB5" w:rsidR="00A01F38" w:rsidRDefault="00B46AF9" w:rsidP="00A01F38">
      <w:pPr>
        <w:rPr>
          <w:lang w:val="en-US"/>
        </w:rPr>
      </w:pPr>
      <w:r w:rsidRPr="00AD57A0">
        <w:rPr>
          <w:lang w:val="en-US"/>
        </w:rPr>
        <w:t xml:space="preserve">Using the method described above, </w:t>
      </w:r>
      <w:r w:rsidR="00A01F38">
        <w:rPr>
          <w:lang w:val="en-US"/>
        </w:rPr>
        <w:t xml:space="preserve">and the </w:t>
      </w:r>
      <w:r w:rsidR="00A01F38" w:rsidRPr="00B433B0">
        <w:rPr>
          <w:lang w:val="en-US"/>
        </w:rPr>
        <w:t xml:space="preserve">sediment load data from Great Barrier Reef Catchment </w:t>
      </w:r>
      <w:r w:rsidR="006C4A6B">
        <w:rPr>
          <w:lang w:val="en-US"/>
        </w:rPr>
        <w:t>Load Monitoring P</w:t>
      </w:r>
      <w:r w:rsidR="00A01F38" w:rsidRPr="00B433B0">
        <w:rPr>
          <w:lang w:val="en-US"/>
        </w:rPr>
        <w:t>rogram</w:t>
      </w:r>
      <w:r w:rsidR="00A01F38">
        <w:rPr>
          <w:lang w:val="en-US"/>
        </w:rPr>
        <w:t xml:space="preserve">, </w:t>
      </w:r>
      <w:r w:rsidR="00A01F38" w:rsidRPr="00B433B0">
        <w:rPr>
          <w:lang w:val="en-US"/>
        </w:rPr>
        <w:t xml:space="preserve">the </w:t>
      </w:r>
      <w:r w:rsidR="00A01F38">
        <w:rPr>
          <w:lang w:val="en-US"/>
        </w:rPr>
        <w:t>dispersion</w:t>
      </w:r>
      <w:r w:rsidR="00A01F38" w:rsidRPr="00B433B0">
        <w:rPr>
          <w:lang w:val="en-US"/>
        </w:rPr>
        <w:t xml:space="preserve"> of sediment associated with </w:t>
      </w:r>
      <w:r w:rsidR="00A01F38">
        <w:rPr>
          <w:lang w:val="en-US"/>
        </w:rPr>
        <w:t>the passage of the E</w:t>
      </w:r>
      <w:r w:rsidR="00A01F38" w:rsidRPr="00B433B0">
        <w:rPr>
          <w:lang w:val="en-US"/>
        </w:rPr>
        <w:t xml:space="preserve">x-Tropical Cyclone Ita </w:t>
      </w:r>
      <w:r w:rsidR="006C4A6B">
        <w:rPr>
          <w:lang w:val="en-US"/>
        </w:rPr>
        <w:t xml:space="preserve">was modelled </w:t>
      </w:r>
      <w:r w:rsidR="00A01F38" w:rsidRPr="00B433B0">
        <w:rPr>
          <w:lang w:val="en-US"/>
        </w:rPr>
        <w:t>over a 19</w:t>
      </w:r>
      <w:r w:rsidR="00A01F38">
        <w:rPr>
          <w:lang w:val="en-US"/>
        </w:rPr>
        <w:t>-day</w:t>
      </w:r>
      <w:r w:rsidR="00A01F38" w:rsidRPr="00B433B0">
        <w:rPr>
          <w:lang w:val="en-US"/>
        </w:rPr>
        <w:t xml:space="preserve"> period </w:t>
      </w:r>
      <w:r w:rsidR="00A01F38">
        <w:rPr>
          <w:lang w:val="en-US"/>
        </w:rPr>
        <w:t>in April 2014 to show the extent of influence of the river plume and TSS surface loading</w:t>
      </w:r>
      <w:r w:rsidR="006C4A6B">
        <w:rPr>
          <w:lang w:val="en-US"/>
        </w:rPr>
        <w:t xml:space="preserve"> in this event</w:t>
      </w:r>
      <w:r w:rsidR="00A01F38">
        <w:rPr>
          <w:lang w:val="en-US"/>
        </w:rPr>
        <w:t xml:space="preserve">. Sediment dispersion over the GBR and its contribution to each NRM region is presented in </w:t>
      </w:r>
      <w:r w:rsidR="00A01F38" w:rsidRPr="00AD57A0">
        <w:rPr>
          <w:lang w:val="en-US"/>
        </w:rPr>
        <w:t>Table 4</w:t>
      </w:r>
      <w:r w:rsidR="00A01F38">
        <w:rPr>
          <w:lang w:val="en-US"/>
        </w:rPr>
        <w:t>-</w:t>
      </w:r>
      <w:r w:rsidR="00A01F38" w:rsidRPr="00AD57A0">
        <w:rPr>
          <w:lang w:val="en-US"/>
        </w:rPr>
        <w:t>1</w:t>
      </w:r>
      <w:r w:rsidR="00B41693">
        <w:rPr>
          <w:lang w:val="en-US"/>
        </w:rPr>
        <w:t>4</w:t>
      </w:r>
      <w:r w:rsidR="00A01F38">
        <w:rPr>
          <w:lang w:val="en-US"/>
        </w:rPr>
        <w:t xml:space="preserve"> and Figure 4-12. This indicates that a large proportion of the load was derived from the Herbert River which is consistent with previous understanding (e.g. Hateley et al. 2014).</w:t>
      </w:r>
    </w:p>
    <w:p w14:paraId="7169BCA3" w14:textId="3A068534" w:rsidR="00B46AF9" w:rsidRPr="00AD57A0" w:rsidRDefault="00B46AF9" w:rsidP="00B46AF9">
      <w:pPr>
        <w:pStyle w:val="Caption"/>
        <w:spacing w:before="0" w:after="0"/>
        <w:ind w:left="1138" w:hanging="1138"/>
        <w:rPr>
          <w:lang w:val="en-US"/>
        </w:rPr>
      </w:pPr>
      <w:bookmarkStart w:id="185" w:name="_Toc434607198"/>
      <w:bookmarkStart w:id="186" w:name="_Toc454304619"/>
      <w:r w:rsidRPr="00AD57A0">
        <w:t xml:space="preserve">Table </w:t>
      </w:r>
      <w:r w:rsidR="00445BD2">
        <w:fldChar w:fldCharType="begin"/>
      </w:r>
      <w:r w:rsidR="00445BD2">
        <w:instrText xml:space="preserve"> STYLEREF 1 \s </w:instrText>
      </w:r>
      <w:r w:rsidR="00445BD2">
        <w:fldChar w:fldCharType="separate"/>
      </w:r>
      <w:r w:rsidR="000E22F3">
        <w:rPr>
          <w:noProof/>
        </w:rPr>
        <w:t>4</w:t>
      </w:r>
      <w:r w:rsidR="00445BD2">
        <w:fldChar w:fldCharType="end"/>
      </w:r>
      <w:r w:rsidR="00445BD2">
        <w:noBreakHyphen/>
      </w:r>
      <w:r w:rsidR="00445BD2">
        <w:fldChar w:fldCharType="begin"/>
      </w:r>
      <w:r w:rsidR="00445BD2">
        <w:instrText xml:space="preserve"> SEQ Table \* ARABIC \s 1 </w:instrText>
      </w:r>
      <w:r w:rsidR="00445BD2">
        <w:fldChar w:fldCharType="separate"/>
      </w:r>
      <w:r w:rsidR="000E22F3">
        <w:rPr>
          <w:noProof/>
        </w:rPr>
        <w:t>14</w:t>
      </w:r>
      <w:r w:rsidR="00445BD2">
        <w:fldChar w:fldCharType="end"/>
      </w:r>
      <w:r w:rsidRPr="00AD57A0">
        <w:t xml:space="preserve">: </w:t>
      </w:r>
      <w:r w:rsidRPr="00AD57A0">
        <w:rPr>
          <w:lang w:val="en-US"/>
        </w:rPr>
        <w:t>Total sediment discharged by the major Wet Tropics' rivers due to the 19-day passage of ex-Tropical Cyclone Ita and its mass contribution to each NRM region.</w:t>
      </w:r>
      <w:bookmarkEnd w:id="185"/>
      <w:bookmarkEnd w:id="186"/>
    </w:p>
    <w:tbl>
      <w:tblPr>
        <w:tblW w:w="0" w:type="auto"/>
        <w:tblInd w:w="93" w:type="dxa"/>
        <w:tblLook w:val="04A0" w:firstRow="1" w:lastRow="0" w:firstColumn="1" w:lastColumn="0" w:noHBand="0" w:noVBand="1"/>
        <w:tblCaption w:val="Table 4-14"/>
        <w:tblDescription w:val="Total sediment discharged by the major Wet Tropics' rivers due to the 19-day passage of ex-Tropical Cyclone Ita and its mass contribution to each NRM region."/>
      </w:tblPr>
      <w:tblGrid>
        <w:gridCol w:w="1924"/>
        <w:gridCol w:w="2409"/>
        <w:gridCol w:w="2148"/>
        <w:gridCol w:w="2495"/>
      </w:tblGrid>
      <w:tr w:rsidR="00B46AF9" w:rsidRPr="00AD57A0" w14:paraId="11C01ED4" w14:textId="77777777" w:rsidTr="0051672D">
        <w:trPr>
          <w:trHeight w:val="340"/>
        </w:trPr>
        <w:tc>
          <w:tcPr>
            <w:tcW w:w="0" w:type="auto"/>
            <w:tcBorders>
              <w:top w:val="single" w:sz="4" w:space="0" w:color="auto"/>
              <w:left w:val="nil"/>
              <w:bottom w:val="single" w:sz="4" w:space="0" w:color="auto"/>
              <w:right w:val="nil"/>
            </w:tcBorders>
            <w:shd w:val="clear" w:color="auto" w:fill="auto"/>
            <w:vAlign w:val="center"/>
            <w:hideMark/>
          </w:tcPr>
          <w:p w14:paraId="0076BD64" w14:textId="77777777" w:rsidR="00B46AF9" w:rsidRPr="00AD57A0" w:rsidRDefault="00B46AF9" w:rsidP="0051672D">
            <w:pPr>
              <w:spacing w:before="0" w:after="0"/>
              <w:jc w:val="center"/>
              <w:rPr>
                <w:rFonts w:ascii="Calibri" w:hAnsi="Calibri" w:cs="Times New Roman"/>
                <w:b/>
                <w:color w:val="000000"/>
              </w:rPr>
            </w:pPr>
            <w:r w:rsidRPr="00AD57A0">
              <w:rPr>
                <w:rFonts w:ascii="Calibri" w:hAnsi="Calibri" w:cs="Times New Roman"/>
                <w:b/>
                <w:color w:val="000000"/>
              </w:rPr>
              <w:t>Wet Tropics' rivers</w:t>
            </w:r>
          </w:p>
        </w:tc>
        <w:tc>
          <w:tcPr>
            <w:tcW w:w="0" w:type="auto"/>
            <w:tcBorders>
              <w:top w:val="single" w:sz="4" w:space="0" w:color="auto"/>
              <w:left w:val="nil"/>
              <w:bottom w:val="single" w:sz="4" w:space="0" w:color="auto"/>
              <w:right w:val="nil"/>
            </w:tcBorders>
            <w:shd w:val="clear" w:color="auto" w:fill="auto"/>
            <w:vAlign w:val="center"/>
            <w:hideMark/>
          </w:tcPr>
          <w:p w14:paraId="664C68B0" w14:textId="77777777" w:rsidR="00B46AF9" w:rsidRPr="00AD57A0" w:rsidRDefault="00B46AF9" w:rsidP="0051672D">
            <w:pPr>
              <w:spacing w:before="0" w:after="0"/>
              <w:jc w:val="center"/>
              <w:rPr>
                <w:rFonts w:ascii="Calibri" w:hAnsi="Calibri" w:cs="Times New Roman"/>
                <w:b/>
                <w:color w:val="000000"/>
              </w:rPr>
            </w:pPr>
            <w:r w:rsidRPr="00AD57A0">
              <w:rPr>
                <w:rFonts w:ascii="Calibri" w:hAnsi="Calibri" w:cs="Times New Roman"/>
                <w:b/>
                <w:color w:val="000000"/>
              </w:rPr>
              <w:t>Sediment sourced  (ton)</w:t>
            </w:r>
          </w:p>
        </w:tc>
        <w:tc>
          <w:tcPr>
            <w:tcW w:w="0" w:type="auto"/>
            <w:tcBorders>
              <w:top w:val="single" w:sz="4" w:space="0" w:color="auto"/>
              <w:left w:val="nil"/>
              <w:bottom w:val="single" w:sz="4" w:space="0" w:color="auto"/>
              <w:right w:val="nil"/>
            </w:tcBorders>
            <w:shd w:val="clear" w:color="auto" w:fill="auto"/>
            <w:vAlign w:val="center"/>
            <w:hideMark/>
          </w:tcPr>
          <w:p w14:paraId="1C590D18" w14:textId="77777777" w:rsidR="00B46AF9" w:rsidRPr="00AD57A0" w:rsidRDefault="00B46AF9" w:rsidP="0051672D">
            <w:pPr>
              <w:spacing w:before="0" w:after="0"/>
              <w:jc w:val="center"/>
              <w:rPr>
                <w:rFonts w:ascii="Calibri" w:hAnsi="Calibri" w:cs="Times New Roman"/>
                <w:b/>
                <w:color w:val="000000"/>
              </w:rPr>
            </w:pPr>
            <w:r w:rsidRPr="00AD57A0">
              <w:rPr>
                <w:rFonts w:ascii="Calibri" w:hAnsi="Calibri" w:cs="Times New Roman"/>
                <w:b/>
                <w:color w:val="000000"/>
                <w:lang w:val="en-US"/>
              </w:rPr>
              <w:t>NRM regions</w:t>
            </w:r>
          </w:p>
        </w:tc>
        <w:tc>
          <w:tcPr>
            <w:tcW w:w="0" w:type="auto"/>
            <w:tcBorders>
              <w:top w:val="single" w:sz="4" w:space="0" w:color="auto"/>
              <w:left w:val="nil"/>
              <w:bottom w:val="single" w:sz="4" w:space="0" w:color="auto"/>
              <w:right w:val="nil"/>
            </w:tcBorders>
            <w:shd w:val="clear" w:color="auto" w:fill="auto"/>
            <w:vAlign w:val="center"/>
            <w:hideMark/>
          </w:tcPr>
          <w:p w14:paraId="1F5818E7" w14:textId="3D42A541" w:rsidR="00B46AF9" w:rsidRPr="00AD57A0" w:rsidRDefault="00B46AF9" w:rsidP="00A75759">
            <w:pPr>
              <w:spacing w:before="0" w:after="0"/>
              <w:jc w:val="center"/>
              <w:rPr>
                <w:rFonts w:ascii="Calibri" w:hAnsi="Calibri" w:cs="Times New Roman"/>
                <w:b/>
                <w:color w:val="000000"/>
              </w:rPr>
            </w:pPr>
            <w:r w:rsidRPr="00AD57A0">
              <w:rPr>
                <w:rFonts w:ascii="Calibri" w:hAnsi="Calibri" w:cs="Times New Roman"/>
                <w:b/>
                <w:color w:val="000000"/>
                <w:lang w:val="en-US"/>
              </w:rPr>
              <w:t xml:space="preserve">Sediment </w:t>
            </w:r>
            <w:r w:rsidR="00A75759">
              <w:rPr>
                <w:rFonts w:ascii="Calibri" w:hAnsi="Calibri" w:cs="Times New Roman"/>
                <w:b/>
                <w:color w:val="000000"/>
                <w:lang w:val="en-US"/>
              </w:rPr>
              <w:t>delivered</w:t>
            </w:r>
            <w:r w:rsidRPr="00AD57A0">
              <w:rPr>
                <w:rFonts w:ascii="Calibri" w:hAnsi="Calibri" w:cs="Times New Roman"/>
                <w:b/>
                <w:color w:val="000000"/>
                <w:lang w:val="en-US"/>
              </w:rPr>
              <w:t xml:space="preserve"> (ton)</w:t>
            </w:r>
          </w:p>
        </w:tc>
      </w:tr>
      <w:tr w:rsidR="00B46AF9" w:rsidRPr="00AD57A0" w14:paraId="3CEF92C0" w14:textId="77777777" w:rsidTr="0051672D">
        <w:trPr>
          <w:trHeight w:val="170"/>
        </w:trPr>
        <w:tc>
          <w:tcPr>
            <w:tcW w:w="0" w:type="auto"/>
            <w:tcBorders>
              <w:top w:val="nil"/>
              <w:left w:val="nil"/>
              <w:bottom w:val="nil"/>
              <w:right w:val="nil"/>
            </w:tcBorders>
            <w:shd w:val="clear" w:color="auto" w:fill="auto"/>
            <w:noWrap/>
            <w:vAlign w:val="bottom"/>
            <w:hideMark/>
          </w:tcPr>
          <w:p w14:paraId="126B5461" w14:textId="77777777" w:rsidR="00B46AF9" w:rsidRPr="00AD57A0" w:rsidRDefault="00B46AF9" w:rsidP="0051672D">
            <w:pPr>
              <w:spacing w:before="0" w:after="0"/>
              <w:jc w:val="left"/>
              <w:rPr>
                <w:rFonts w:ascii="Calibri" w:hAnsi="Calibri" w:cs="Times New Roman"/>
                <w:color w:val="000000"/>
              </w:rPr>
            </w:pPr>
          </w:p>
        </w:tc>
        <w:tc>
          <w:tcPr>
            <w:tcW w:w="0" w:type="auto"/>
            <w:tcBorders>
              <w:top w:val="nil"/>
              <w:left w:val="nil"/>
              <w:bottom w:val="nil"/>
              <w:right w:val="nil"/>
            </w:tcBorders>
            <w:shd w:val="clear" w:color="auto" w:fill="auto"/>
            <w:noWrap/>
            <w:vAlign w:val="bottom"/>
            <w:hideMark/>
          </w:tcPr>
          <w:p w14:paraId="3A90CAE8" w14:textId="77777777" w:rsidR="00B46AF9" w:rsidRPr="00AD57A0" w:rsidRDefault="00B46AF9" w:rsidP="0051672D">
            <w:pPr>
              <w:spacing w:before="0" w:after="0"/>
              <w:jc w:val="left"/>
              <w:rPr>
                <w:rFonts w:ascii="Calibri" w:hAnsi="Calibri" w:cs="Times New Roman"/>
                <w:color w:val="000000"/>
              </w:rPr>
            </w:pPr>
          </w:p>
        </w:tc>
        <w:tc>
          <w:tcPr>
            <w:tcW w:w="0" w:type="auto"/>
            <w:tcBorders>
              <w:top w:val="nil"/>
              <w:left w:val="nil"/>
              <w:bottom w:val="nil"/>
              <w:right w:val="nil"/>
            </w:tcBorders>
            <w:shd w:val="clear" w:color="auto" w:fill="auto"/>
            <w:noWrap/>
            <w:vAlign w:val="bottom"/>
            <w:hideMark/>
          </w:tcPr>
          <w:p w14:paraId="5FC4EC90" w14:textId="77777777" w:rsidR="00B46AF9" w:rsidRPr="00AD57A0" w:rsidRDefault="00B46AF9" w:rsidP="0051672D">
            <w:pPr>
              <w:spacing w:before="0" w:after="0"/>
              <w:jc w:val="left"/>
              <w:rPr>
                <w:rFonts w:ascii="Calibri" w:hAnsi="Calibri" w:cs="Times New Roman"/>
                <w:color w:val="000000"/>
              </w:rPr>
            </w:pPr>
          </w:p>
        </w:tc>
        <w:tc>
          <w:tcPr>
            <w:tcW w:w="0" w:type="auto"/>
            <w:tcBorders>
              <w:top w:val="nil"/>
              <w:left w:val="nil"/>
              <w:bottom w:val="nil"/>
              <w:right w:val="nil"/>
            </w:tcBorders>
            <w:shd w:val="clear" w:color="auto" w:fill="auto"/>
            <w:noWrap/>
            <w:vAlign w:val="bottom"/>
            <w:hideMark/>
          </w:tcPr>
          <w:p w14:paraId="20B438B1" w14:textId="77777777" w:rsidR="00B46AF9" w:rsidRPr="00AD57A0" w:rsidRDefault="00B46AF9" w:rsidP="0051672D">
            <w:pPr>
              <w:spacing w:before="0" w:after="0"/>
              <w:jc w:val="left"/>
              <w:rPr>
                <w:rFonts w:ascii="Calibri" w:hAnsi="Calibri" w:cs="Times New Roman"/>
                <w:color w:val="000000"/>
              </w:rPr>
            </w:pPr>
          </w:p>
        </w:tc>
      </w:tr>
      <w:tr w:rsidR="00B46AF9" w:rsidRPr="00AD57A0" w14:paraId="7FA77404" w14:textId="77777777" w:rsidTr="0051672D">
        <w:trPr>
          <w:trHeight w:val="170"/>
        </w:trPr>
        <w:tc>
          <w:tcPr>
            <w:tcW w:w="0" w:type="auto"/>
            <w:tcBorders>
              <w:top w:val="single" w:sz="4" w:space="0" w:color="auto"/>
              <w:left w:val="single" w:sz="4" w:space="0" w:color="auto"/>
              <w:bottom w:val="nil"/>
              <w:right w:val="nil"/>
            </w:tcBorders>
            <w:shd w:val="clear" w:color="000000" w:fill="F2F2F2"/>
            <w:noWrap/>
            <w:vAlign w:val="bottom"/>
            <w:hideMark/>
          </w:tcPr>
          <w:p w14:paraId="4DDDAF48" w14:textId="77777777" w:rsidR="00B46AF9" w:rsidRPr="00AD57A0" w:rsidRDefault="00B46AF9" w:rsidP="0051672D">
            <w:pPr>
              <w:spacing w:before="0" w:after="0"/>
              <w:jc w:val="left"/>
              <w:rPr>
                <w:rFonts w:ascii="Calibri" w:hAnsi="Calibri" w:cs="Times New Roman"/>
                <w:color w:val="000000"/>
              </w:rPr>
            </w:pPr>
            <w:r w:rsidRPr="00AD57A0">
              <w:rPr>
                <w:rFonts w:ascii="Calibri" w:hAnsi="Calibri" w:cs="Times New Roman"/>
                <w:color w:val="000000"/>
              </w:rPr>
              <w:t>Barron</w:t>
            </w:r>
          </w:p>
        </w:tc>
        <w:tc>
          <w:tcPr>
            <w:tcW w:w="0" w:type="auto"/>
            <w:tcBorders>
              <w:top w:val="single" w:sz="4" w:space="0" w:color="auto"/>
              <w:left w:val="nil"/>
              <w:bottom w:val="nil"/>
              <w:right w:val="single" w:sz="4" w:space="0" w:color="auto"/>
            </w:tcBorders>
            <w:shd w:val="clear" w:color="000000" w:fill="F2F2F2"/>
            <w:noWrap/>
            <w:vAlign w:val="bottom"/>
            <w:hideMark/>
          </w:tcPr>
          <w:p w14:paraId="4C9A4DB3" w14:textId="77777777" w:rsidR="00B46AF9" w:rsidRPr="00AD57A0" w:rsidRDefault="00B46AF9" w:rsidP="0051672D">
            <w:pPr>
              <w:spacing w:before="0" w:after="0"/>
              <w:jc w:val="left"/>
              <w:rPr>
                <w:rFonts w:ascii="Calibri" w:hAnsi="Calibri" w:cs="Times New Roman"/>
                <w:color w:val="000000"/>
              </w:rPr>
            </w:pPr>
            <w:r w:rsidRPr="00AD57A0">
              <w:rPr>
                <w:rFonts w:ascii="Calibri" w:hAnsi="Calibri" w:cs="Times New Roman"/>
                <w:color w:val="000000"/>
              </w:rPr>
              <w:t xml:space="preserve">            47,000 </w:t>
            </w:r>
          </w:p>
        </w:tc>
        <w:tc>
          <w:tcPr>
            <w:tcW w:w="0" w:type="auto"/>
            <w:tcBorders>
              <w:top w:val="nil"/>
              <w:left w:val="nil"/>
              <w:bottom w:val="nil"/>
              <w:right w:val="nil"/>
            </w:tcBorders>
            <w:shd w:val="clear" w:color="auto" w:fill="auto"/>
            <w:noWrap/>
            <w:vAlign w:val="center"/>
            <w:hideMark/>
          </w:tcPr>
          <w:p w14:paraId="56A39F1F" w14:textId="77777777" w:rsidR="00B46AF9" w:rsidRPr="00AD57A0" w:rsidRDefault="00B46AF9" w:rsidP="0051672D">
            <w:pPr>
              <w:spacing w:before="0" w:after="0"/>
              <w:jc w:val="center"/>
              <w:rPr>
                <w:rFonts w:ascii="Calibri" w:hAnsi="Calibri" w:cs="Times New Roman"/>
                <w:color w:val="000000"/>
              </w:rPr>
            </w:pPr>
            <w:r w:rsidRPr="00AD57A0">
              <w:rPr>
                <w:rFonts w:ascii="Calibri" w:hAnsi="Calibri" w:cs="Times New Roman"/>
                <w:color w:val="000000"/>
                <w:lang w:val="en-US"/>
              </w:rPr>
              <w:t>Cape York</w:t>
            </w:r>
          </w:p>
        </w:tc>
        <w:tc>
          <w:tcPr>
            <w:tcW w:w="0" w:type="auto"/>
            <w:tcBorders>
              <w:top w:val="nil"/>
              <w:left w:val="nil"/>
              <w:bottom w:val="nil"/>
              <w:right w:val="nil"/>
            </w:tcBorders>
            <w:shd w:val="clear" w:color="auto" w:fill="auto"/>
            <w:noWrap/>
            <w:vAlign w:val="center"/>
            <w:hideMark/>
          </w:tcPr>
          <w:p w14:paraId="5E1C52F5" w14:textId="77777777" w:rsidR="00B46AF9" w:rsidRPr="00AD57A0" w:rsidRDefault="00B46AF9" w:rsidP="0051672D">
            <w:pPr>
              <w:spacing w:before="0" w:after="0"/>
              <w:rPr>
                <w:rFonts w:ascii="Calibri" w:hAnsi="Calibri" w:cs="Times New Roman"/>
                <w:color w:val="000000"/>
              </w:rPr>
            </w:pPr>
            <w:r w:rsidRPr="00AD57A0">
              <w:rPr>
                <w:rFonts w:ascii="Calibri" w:hAnsi="Calibri" w:cs="Times New Roman"/>
                <w:color w:val="000000"/>
                <w:lang w:val="en-US"/>
              </w:rPr>
              <w:t xml:space="preserve">                 -   </w:t>
            </w:r>
          </w:p>
        </w:tc>
      </w:tr>
      <w:tr w:rsidR="00B46AF9" w:rsidRPr="00AD57A0" w14:paraId="15A21FF2" w14:textId="77777777" w:rsidTr="0051672D">
        <w:trPr>
          <w:trHeight w:val="170"/>
        </w:trPr>
        <w:tc>
          <w:tcPr>
            <w:tcW w:w="0" w:type="auto"/>
            <w:tcBorders>
              <w:top w:val="nil"/>
              <w:left w:val="single" w:sz="4" w:space="0" w:color="auto"/>
              <w:bottom w:val="nil"/>
              <w:right w:val="nil"/>
            </w:tcBorders>
            <w:shd w:val="clear" w:color="000000" w:fill="F2F2F2"/>
            <w:noWrap/>
            <w:vAlign w:val="bottom"/>
            <w:hideMark/>
          </w:tcPr>
          <w:p w14:paraId="561AB6B0" w14:textId="77777777" w:rsidR="00B46AF9" w:rsidRPr="00AD57A0" w:rsidRDefault="00B46AF9" w:rsidP="0051672D">
            <w:pPr>
              <w:spacing w:before="0" w:after="0"/>
              <w:jc w:val="left"/>
              <w:rPr>
                <w:rFonts w:ascii="Calibri" w:hAnsi="Calibri" w:cs="Times New Roman"/>
                <w:color w:val="000000"/>
              </w:rPr>
            </w:pPr>
            <w:r w:rsidRPr="00AD57A0">
              <w:rPr>
                <w:rFonts w:ascii="Calibri" w:hAnsi="Calibri" w:cs="Times New Roman"/>
                <w:color w:val="000000"/>
              </w:rPr>
              <w:t>Russel-Mulgrave</w:t>
            </w:r>
          </w:p>
        </w:tc>
        <w:tc>
          <w:tcPr>
            <w:tcW w:w="0" w:type="auto"/>
            <w:tcBorders>
              <w:top w:val="nil"/>
              <w:left w:val="nil"/>
              <w:bottom w:val="nil"/>
              <w:right w:val="single" w:sz="4" w:space="0" w:color="auto"/>
            </w:tcBorders>
            <w:shd w:val="clear" w:color="000000" w:fill="F2F2F2"/>
            <w:noWrap/>
            <w:vAlign w:val="bottom"/>
            <w:hideMark/>
          </w:tcPr>
          <w:p w14:paraId="59DF53E1" w14:textId="77777777" w:rsidR="00B46AF9" w:rsidRPr="00AD57A0" w:rsidRDefault="00B46AF9" w:rsidP="0051672D">
            <w:pPr>
              <w:spacing w:before="0" w:after="0"/>
              <w:jc w:val="left"/>
              <w:rPr>
                <w:rFonts w:ascii="Calibri" w:hAnsi="Calibri" w:cs="Times New Roman"/>
                <w:color w:val="000000"/>
              </w:rPr>
            </w:pPr>
            <w:r w:rsidRPr="00AD57A0">
              <w:rPr>
                <w:rFonts w:ascii="Calibri" w:hAnsi="Calibri" w:cs="Times New Roman"/>
                <w:color w:val="000000"/>
              </w:rPr>
              <w:t xml:space="preserve">            77,000 </w:t>
            </w:r>
          </w:p>
        </w:tc>
        <w:tc>
          <w:tcPr>
            <w:tcW w:w="0" w:type="auto"/>
            <w:tcBorders>
              <w:top w:val="single" w:sz="4" w:space="0" w:color="auto"/>
              <w:left w:val="nil"/>
              <w:bottom w:val="single" w:sz="4" w:space="0" w:color="auto"/>
              <w:right w:val="single" w:sz="4" w:space="0" w:color="auto"/>
            </w:tcBorders>
            <w:shd w:val="clear" w:color="000000" w:fill="F2F2F2"/>
            <w:noWrap/>
            <w:vAlign w:val="center"/>
            <w:hideMark/>
          </w:tcPr>
          <w:p w14:paraId="67A1C5B0" w14:textId="77777777" w:rsidR="00B46AF9" w:rsidRPr="00AD57A0" w:rsidRDefault="00B46AF9" w:rsidP="0051672D">
            <w:pPr>
              <w:spacing w:before="0" w:after="0"/>
              <w:jc w:val="center"/>
              <w:rPr>
                <w:rFonts w:ascii="Calibri" w:hAnsi="Calibri" w:cs="Times New Roman"/>
                <w:color w:val="000000"/>
              </w:rPr>
            </w:pPr>
            <w:r w:rsidRPr="00AD57A0">
              <w:rPr>
                <w:rFonts w:ascii="Calibri" w:hAnsi="Calibri" w:cs="Times New Roman"/>
                <w:color w:val="000000"/>
                <w:lang w:val="en-US"/>
              </w:rPr>
              <w:t>Wet Tropics</w:t>
            </w:r>
          </w:p>
        </w:tc>
        <w:tc>
          <w:tcPr>
            <w:tcW w:w="0" w:type="auto"/>
            <w:tcBorders>
              <w:top w:val="nil"/>
              <w:left w:val="nil"/>
              <w:bottom w:val="nil"/>
              <w:right w:val="nil"/>
            </w:tcBorders>
            <w:shd w:val="clear" w:color="auto" w:fill="auto"/>
            <w:noWrap/>
            <w:vAlign w:val="center"/>
            <w:hideMark/>
          </w:tcPr>
          <w:p w14:paraId="4429E0CE" w14:textId="77777777" w:rsidR="00B46AF9" w:rsidRPr="00AD57A0" w:rsidRDefault="00B46AF9" w:rsidP="0051672D">
            <w:pPr>
              <w:spacing w:before="0" w:after="0"/>
              <w:rPr>
                <w:rFonts w:ascii="Calibri" w:hAnsi="Calibri" w:cs="Times New Roman"/>
                <w:color w:val="000000"/>
              </w:rPr>
            </w:pPr>
            <w:r w:rsidRPr="00AD57A0">
              <w:rPr>
                <w:rFonts w:ascii="Calibri" w:hAnsi="Calibri" w:cs="Times New Roman"/>
                <w:color w:val="000000"/>
                <w:lang w:val="en-US"/>
              </w:rPr>
              <w:t xml:space="preserve">      491,148 </w:t>
            </w:r>
          </w:p>
        </w:tc>
      </w:tr>
      <w:tr w:rsidR="00B46AF9" w:rsidRPr="00AD57A0" w14:paraId="0FE13318" w14:textId="77777777" w:rsidTr="0051672D">
        <w:trPr>
          <w:trHeight w:val="170"/>
        </w:trPr>
        <w:tc>
          <w:tcPr>
            <w:tcW w:w="0" w:type="auto"/>
            <w:tcBorders>
              <w:top w:val="nil"/>
              <w:left w:val="single" w:sz="4" w:space="0" w:color="auto"/>
              <w:bottom w:val="nil"/>
              <w:right w:val="nil"/>
            </w:tcBorders>
            <w:shd w:val="clear" w:color="000000" w:fill="F2F2F2"/>
            <w:noWrap/>
            <w:vAlign w:val="bottom"/>
            <w:hideMark/>
          </w:tcPr>
          <w:p w14:paraId="07B049FB" w14:textId="77777777" w:rsidR="00B46AF9" w:rsidRPr="00AD57A0" w:rsidRDefault="00B46AF9" w:rsidP="0051672D">
            <w:pPr>
              <w:spacing w:before="0" w:after="0"/>
              <w:jc w:val="left"/>
              <w:rPr>
                <w:rFonts w:ascii="Calibri" w:hAnsi="Calibri" w:cs="Times New Roman"/>
                <w:color w:val="000000"/>
              </w:rPr>
            </w:pPr>
            <w:r w:rsidRPr="00AD57A0">
              <w:rPr>
                <w:rFonts w:ascii="Calibri" w:hAnsi="Calibri" w:cs="Times New Roman"/>
                <w:color w:val="000000"/>
              </w:rPr>
              <w:t>Johnstone</w:t>
            </w:r>
          </w:p>
        </w:tc>
        <w:tc>
          <w:tcPr>
            <w:tcW w:w="0" w:type="auto"/>
            <w:tcBorders>
              <w:top w:val="nil"/>
              <w:left w:val="nil"/>
              <w:bottom w:val="nil"/>
              <w:right w:val="single" w:sz="4" w:space="0" w:color="auto"/>
            </w:tcBorders>
            <w:shd w:val="clear" w:color="000000" w:fill="F2F2F2"/>
            <w:noWrap/>
            <w:vAlign w:val="bottom"/>
            <w:hideMark/>
          </w:tcPr>
          <w:p w14:paraId="1112C51A" w14:textId="77777777" w:rsidR="00B46AF9" w:rsidRPr="00AD57A0" w:rsidRDefault="00B46AF9" w:rsidP="0051672D">
            <w:pPr>
              <w:spacing w:before="0" w:after="0"/>
              <w:jc w:val="left"/>
              <w:rPr>
                <w:rFonts w:ascii="Calibri" w:hAnsi="Calibri" w:cs="Times New Roman"/>
                <w:color w:val="000000"/>
              </w:rPr>
            </w:pPr>
            <w:r w:rsidRPr="00AD57A0">
              <w:rPr>
                <w:rFonts w:ascii="Calibri" w:hAnsi="Calibri" w:cs="Times New Roman"/>
                <w:color w:val="000000"/>
              </w:rPr>
              <w:t xml:space="preserve">              7,100 </w:t>
            </w:r>
          </w:p>
        </w:tc>
        <w:tc>
          <w:tcPr>
            <w:tcW w:w="0" w:type="auto"/>
            <w:tcBorders>
              <w:top w:val="nil"/>
              <w:left w:val="nil"/>
              <w:bottom w:val="nil"/>
              <w:right w:val="nil"/>
            </w:tcBorders>
            <w:shd w:val="clear" w:color="auto" w:fill="auto"/>
            <w:noWrap/>
            <w:vAlign w:val="center"/>
            <w:hideMark/>
          </w:tcPr>
          <w:p w14:paraId="182042A6" w14:textId="77777777" w:rsidR="00B46AF9" w:rsidRPr="00AD57A0" w:rsidRDefault="00B46AF9" w:rsidP="0051672D">
            <w:pPr>
              <w:spacing w:before="0" w:after="0"/>
              <w:jc w:val="center"/>
              <w:rPr>
                <w:rFonts w:ascii="Calibri" w:hAnsi="Calibri" w:cs="Times New Roman"/>
                <w:color w:val="000000"/>
              </w:rPr>
            </w:pPr>
            <w:r w:rsidRPr="00AD57A0">
              <w:rPr>
                <w:rFonts w:ascii="Calibri" w:hAnsi="Calibri" w:cs="Times New Roman"/>
                <w:color w:val="000000"/>
                <w:lang w:val="en-US"/>
              </w:rPr>
              <w:t>Burdekin</w:t>
            </w:r>
          </w:p>
        </w:tc>
        <w:tc>
          <w:tcPr>
            <w:tcW w:w="0" w:type="auto"/>
            <w:tcBorders>
              <w:top w:val="nil"/>
              <w:left w:val="nil"/>
              <w:bottom w:val="nil"/>
              <w:right w:val="nil"/>
            </w:tcBorders>
            <w:shd w:val="clear" w:color="auto" w:fill="auto"/>
            <w:noWrap/>
            <w:vAlign w:val="center"/>
            <w:hideMark/>
          </w:tcPr>
          <w:p w14:paraId="28A9A9BB" w14:textId="77777777" w:rsidR="00B46AF9" w:rsidRPr="00AD57A0" w:rsidRDefault="00B46AF9" w:rsidP="0051672D">
            <w:pPr>
              <w:spacing w:before="0" w:after="0"/>
              <w:rPr>
                <w:rFonts w:ascii="Calibri" w:hAnsi="Calibri" w:cs="Times New Roman"/>
                <w:color w:val="000000"/>
              </w:rPr>
            </w:pPr>
            <w:r w:rsidRPr="00AD57A0">
              <w:rPr>
                <w:rFonts w:ascii="Calibri" w:hAnsi="Calibri" w:cs="Times New Roman"/>
                <w:color w:val="000000"/>
                <w:lang w:val="en-US"/>
              </w:rPr>
              <w:t xml:space="preserve">        74,343 </w:t>
            </w:r>
          </w:p>
        </w:tc>
      </w:tr>
      <w:tr w:rsidR="00B46AF9" w:rsidRPr="00AD57A0" w14:paraId="45B85A64" w14:textId="77777777" w:rsidTr="0051672D">
        <w:trPr>
          <w:trHeight w:val="170"/>
        </w:trPr>
        <w:tc>
          <w:tcPr>
            <w:tcW w:w="0" w:type="auto"/>
            <w:tcBorders>
              <w:top w:val="nil"/>
              <w:left w:val="single" w:sz="4" w:space="0" w:color="auto"/>
              <w:bottom w:val="nil"/>
              <w:right w:val="nil"/>
            </w:tcBorders>
            <w:shd w:val="clear" w:color="000000" w:fill="F2F2F2"/>
            <w:noWrap/>
            <w:vAlign w:val="bottom"/>
            <w:hideMark/>
          </w:tcPr>
          <w:p w14:paraId="4D71D01F" w14:textId="77777777" w:rsidR="00B46AF9" w:rsidRPr="00AD57A0" w:rsidRDefault="00B46AF9" w:rsidP="0051672D">
            <w:pPr>
              <w:spacing w:before="0" w:after="0"/>
              <w:jc w:val="left"/>
              <w:rPr>
                <w:rFonts w:ascii="Calibri" w:hAnsi="Calibri" w:cs="Times New Roman"/>
                <w:color w:val="000000"/>
              </w:rPr>
            </w:pPr>
            <w:r w:rsidRPr="00AD57A0">
              <w:rPr>
                <w:rFonts w:ascii="Calibri" w:hAnsi="Calibri" w:cs="Times New Roman"/>
                <w:color w:val="000000"/>
              </w:rPr>
              <w:t>Tully-Murray</w:t>
            </w:r>
          </w:p>
        </w:tc>
        <w:tc>
          <w:tcPr>
            <w:tcW w:w="0" w:type="auto"/>
            <w:tcBorders>
              <w:top w:val="nil"/>
              <w:left w:val="nil"/>
              <w:bottom w:val="nil"/>
              <w:right w:val="single" w:sz="4" w:space="0" w:color="auto"/>
            </w:tcBorders>
            <w:shd w:val="clear" w:color="000000" w:fill="F2F2F2"/>
            <w:noWrap/>
            <w:vAlign w:val="bottom"/>
            <w:hideMark/>
          </w:tcPr>
          <w:p w14:paraId="224A1C24" w14:textId="77777777" w:rsidR="00B46AF9" w:rsidRPr="00AD57A0" w:rsidRDefault="00B46AF9" w:rsidP="0051672D">
            <w:pPr>
              <w:spacing w:before="0" w:after="0"/>
              <w:jc w:val="left"/>
              <w:rPr>
                <w:rFonts w:ascii="Calibri" w:hAnsi="Calibri" w:cs="Times New Roman"/>
                <w:color w:val="000000"/>
              </w:rPr>
            </w:pPr>
            <w:r w:rsidRPr="00AD57A0">
              <w:rPr>
                <w:rFonts w:ascii="Calibri" w:hAnsi="Calibri" w:cs="Times New Roman"/>
                <w:color w:val="000000"/>
              </w:rPr>
              <w:t xml:space="preserve">            26,000 </w:t>
            </w:r>
          </w:p>
        </w:tc>
        <w:tc>
          <w:tcPr>
            <w:tcW w:w="0" w:type="auto"/>
            <w:tcBorders>
              <w:top w:val="nil"/>
              <w:left w:val="nil"/>
              <w:bottom w:val="nil"/>
              <w:right w:val="nil"/>
            </w:tcBorders>
            <w:shd w:val="clear" w:color="auto" w:fill="auto"/>
            <w:noWrap/>
            <w:vAlign w:val="center"/>
            <w:hideMark/>
          </w:tcPr>
          <w:p w14:paraId="1026539E" w14:textId="77777777" w:rsidR="00B46AF9" w:rsidRPr="00AD57A0" w:rsidRDefault="00B46AF9" w:rsidP="0051672D">
            <w:pPr>
              <w:spacing w:before="0" w:after="0"/>
              <w:jc w:val="center"/>
              <w:rPr>
                <w:rFonts w:ascii="Calibri" w:hAnsi="Calibri" w:cs="Times New Roman"/>
                <w:color w:val="000000"/>
              </w:rPr>
            </w:pPr>
            <w:r w:rsidRPr="00AD57A0">
              <w:rPr>
                <w:rFonts w:ascii="Calibri" w:hAnsi="Calibri" w:cs="Times New Roman"/>
                <w:color w:val="000000"/>
                <w:lang w:val="en-US"/>
              </w:rPr>
              <w:t>Mackay - Whitsunday</w:t>
            </w:r>
          </w:p>
        </w:tc>
        <w:tc>
          <w:tcPr>
            <w:tcW w:w="0" w:type="auto"/>
            <w:tcBorders>
              <w:top w:val="nil"/>
              <w:left w:val="nil"/>
              <w:bottom w:val="nil"/>
              <w:right w:val="nil"/>
            </w:tcBorders>
            <w:shd w:val="clear" w:color="auto" w:fill="auto"/>
            <w:noWrap/>
            <w:vAlign w:val="center"/>
            <w:hideMark/>
          </w:tcPr>
          <w:p w14:paraId="29629344" w14:textId="77777777" w:rsidR="00B46AF9" w:rsidRPr="00AD57A0" w:rsidRDefault="00B46AF9" w:rsidP="0051672D">
            <w:pPr>
              <w:spacing w:before="0" w:after="0"/>
              <w:rPr>
                <w:rFonts w:ascii="Calibri" w:hAnsi="Calibri" w:cs="Times New Roman"/>
                <w:color w:val="000000"/>
              </w:rPr>
            </w:pPr>
            <w:r w:rsidRPr="00AD57A0">
              <w:rPr>
                <w:rFonts w:ascii="Calibri" w:hAnsi="Calibri" w:cs="Times New Roman"/>
                <w:color w:val="000000"/>
                <w:lang w:val="en-US"/>
              </w:rPr>
              <w:t xml:space="preserve">                 -   </w:t>
            </w:r>
          </w:p>
        </w:tc>
      </w:tr>
      <w:tr w:rsidR="00B46AF9" w:rsidRPr="00AD57A0" w14:paraId="708A6498" w14:textId="77777777" w:rsidTr="0051672D">
        <w:trPr>
          <w:trHeight w:val="170"/>
        </w:trPr>
        <w:tc>
          <w:tcPr>
            <w:tcW w:w="0" w:type="auto"/>
            <w:tcBorders>
              <w:top w:val="nil"/>
              <w:left w:val="single" w:sz="4" w:space="0" w:color="auto"/>
              <w:bottom w:val="single" w:sz="4" w:space="0" w:color="auto"/>
              <w:right w:val="nil"/>
            </w:tcBorders>
            <w:shd w:val="clear" w:color="000000" w:fill="F2F2F2"/>
            <w:noWrap/>
            <w:vAlign w:val="bottom"/>
            <w:hideMark/>
          </w:tcPr>
          <w:p w14:paraId="4C707B21" w14:textId="77777777" w:rsidR="00B46AF9" w:rsidRPr="00AD57A0" w:rsidRDefault="00B46AF9" w:rsidP="0051672D">
            <w:pPr>
              <w:spacing w:before="0" w:after="0"/>
              <w:jc w:val="left"/>
              <w:rPr>
                <w:rFonts w:ascii="Calibri" w:hAnsi="Calibri" w:cs="Times New Roman"/>
                <w:color w:val="000000"/>
              </w:rPr>
            </w:pPr>
            <w:r w:rsidRPr="00AD57A0">
              <w:rPr>
                <w:rFonts w:ascii="Calibri" w:hAnsi="Calibri" w:cs="Times New Roman"/>
                <w:color w:val="000000"/>
              </w:rPr>
              <w:t>Herbert</w:t>
            </w:r>
          </w:p>
        </w:tc>
        <w:tc>
          <w:tcPr>
            <w:tcW w:w="0" w:type="auto"/>
            <w:tcBorders>
              <w:top w:val="nil"/>
              <w:left w:val="nil"/>
              <w:bottom w:val="single" w:sz="4" w:space="0" w:color="auto"/>
              <w:right w:val="single" w:sz="4" w:space="0" w:color="auto"/>
            </w:tcBorders>
            <w:shd w:val="clear" w:color="000000" w:fill="F2F2F2"/>
            <w:noWrap/>
            <w:vAlign w:val="bottom"/>
            <w:hideMark/>
          </w:tcPr>
          <w:p w14:paraId="123081CC" w14:textId="77777777" w:rsidR="00B46AF9" w:rsidRPr="00AD57A0" w:rsidRDefault="00B46AF9" w:rsidP="0051672D">
            <w:pPr>
              <w:spacing w:before="0" w:after="0"/>
              <w:jc w:val="left"/>
              <w:rPr>
                <w:rFonts w:ascii="Calibri" w:hAnsi="Calibri" w:cs="Times New Roman"/>
                <w:color w:val="000000"/>
              </w:rPr>
            </w:pPr>
            <w:r w:rsidRPr="00AD57A0">
              <w:rPr>
                <w:rFonts w:ascii="Calibri" w:hAnsi="Calibri" w:cs="Times New Roman"/>
                <w:color w:val="000000"/>
              </w:rPr>
              <w:t xml:space="preserve">          410,000 </w:t>
            </w:r>
          </w:p>
        </w:tc>
        <w:tc>
          <w:tcPr>
            <w:tcW w:w="0" w:type="auto"/>
            <w:tcBorders>
              <w:top w:val="nil"/>
              <w:left w:val="nil"/>
              <w:bottom w:val="nil"/>
              <w:right w:val="nil"/>
            </w:tcBorders>
            <w:shd w:val="clear" w:color="auto" w:fill="auto"/>
            <w:noWrap/>
            <w:vAlign w:val="center"/>
            <w:hideMark/>
          </w:tcPr>
          <w:p w14:paraId="69F03CA8" w14:textId="77777777" w:rsidR="00B46AF9" w:rsidRPr="00AD57A0" w:rsidRDefault="00B46AF9" w:rsidP="0051672D">
            <w:pPr>
              <w:spacing w:before="0" w:after="0"/>
              <w:jc w:val="center"/>
              <w:rPr>
                <w:rFonts w:ascii="Calibri" w:hAnsi="Calibri" w:cs="Times New Roman"/>
                <w:color w:val="000000"/>
              </w:rPr>
            </w:pPr>
            <w:r w:rsidRPr="00AD57A0">
              <w:rPr>
                <w:rFonts w:ascii="Calibri" w:hAnsi="Calibri" w:cs="Times New Roman"/>
                <w:color w:val="000000"/>
                <w:lang w:val="en-US"/>
              </w:rPr>
              <w:t>Fitzroy</w:t>
            </w:r>
          </w:p>
        </w:tc>
        <w:tc>
          <w:tcPr>
            <w:tcW w:w="0" w:type="auto"/>
            <w:tcBorders>
              <w:top w:val="nil"/>
              <w:left w:val="nil"/>
              <w:bottom w:val="nil"/>
              <w:right w:val="nil"/>
            </w:tcBorders>
            <w:shd w:val="clear" w:color="auto" w:fill="auto"/>
            <w:noWrap/>
            <w:vAlign w:val="center"/>
            <w:hideMark/>
          </w:tcPr>
          <w:p w14:paraId="4053F929" w14:textId="77777777" w:rsidR="00B46AF9" w:rsidRPr="00AD57A0" w:rsidRDefault="00B46AF9" w:rsidP="0051672D">
            <w:pPr>
              <w:spacing w:before="0" w:after="0"/>
              <w:rPr>
                <w:rFonts w:ascii="Calibri" w:hAnsi="Calibri" w:cs="Times New Roman"/>
                <w:color w:val="000000"/>
              </w:rPr>
            </w:pPr>
            <w:r w:rsidRPr="00AD57A0">
              <w:rPr>
                <w:rFonts w:ascii="Calibri" w:hAnsi="Calibri" w:cs="Times New Roman"/>
                <w:color w:val="000000"/>
                <w:lang w:val="en-US"/>
              </w:rPr>
              <w:t xml:space="preserve">                 -   </w:t>
            </w:r>
          </w:p>
        </w:tc>
      </w:tr>
      <w:tr w:rsidR="00B46AF9" w:rsidRPr="00AD57A0" w14:paraId="7FA41EB0" w14:textId="77777777" w:rsidTr="0051672D">
        <w:trPr>
          <w:trHeight w:val="170"/>
        </w:trPr>
        <w:tc>
          <w:tcPr>
            <w:tcW w:w="0" w:type="auto"/>
            <w:tcBorders>
              <w:top w:val="nil"/>
              <w:left w:val="nil"/>
              <w:bottom w:val="single" w:sz="4" w:space="0" w:color="auto"/>
              <w:right w:val="nil"/>
            </w:tcBorders>
            <w:shd w:val="clear" w:color="auto" w:fill="auto"/>
            <w:noWrap/>
            <w:vAlign w:val="bottom"/>
            <w:hideMark/>
          </w:tcPr>
          <w:p w14:paraId="08421F19" w14:textId="77777777" w:rsidR="00B46AF9" w:rsidRPr="00AD57A0" w:rsidRDefault="00B46AF9" w:rsidP="0051672D">
            <w:pPr>
              <w:spacing w:before="0" w:after="0"/>
              <w:jc w:val="left"/>
              <w:rPr>
                <w:rFonts w:ascii="Calibri" w:hAnsi="Calibri" w:cs="Times New Roman"/>
                <w:color w:val="000000"/>
              </w:rPr>
            </w:pPr>
            <w:r w:rsidRPr="00AD57A0">
              <w:rPr>
                <w:rFonts w:ascii="Calibri" w:hAnsi="Calibri" w:cs="Times New Roman"/>
                <w:color w:val="000000"/>
              </w:rPr>
              <w:t> </w:t>
            </w:r>
          </w:p>
        </w:tc>
        <w:tc>
          <w:tcPr>
            <w:tcW w:w="0" w:type="auto"/>
            <w:tcBorders>
              <w:top w:val="nil"/>
              <w:left w:val="nil"/>
              <w:bottom w:val="single" w:sz="4" w:space="0" w:color="auto"/>
              <w:right w:val="nil"/>
            </w:tcBorders>
            <w:shd w:val="clear" w:color="auto" w:fill="auto"/>
            <w:noWrap/>
            <w:vAlign w:val="bottom"/>
            <w:hideMark/>
          </w:tcPr>
          <w:p w14:paraId="6BAFA991" w14:textId="77777777" w:rsidR="00B46AF9" w:rsidRPr="00AD57A0" w:rsidRDefault="00B46AF9" w:rsidP="0051672D">
            <w:pPr>
              <w:spacing w:before="0" w:after="0"/>
              <w:jc w:val="left"/>
              <w:rPr>
                <w:rFonts w:ascii="Calibri" w:hAnsi="Calibri" w:cs="Times New Roman"/>
                <w:color w:val="000000"/>
              </w:rPr>
            </w:pPr>
            <w:r w:rsidRPr="00AD57A0">
              <w:rPr>
                <w:rFonts w:ascii="Calibri" w:hAnsi="Calibri" w:cs="Times New Roman"/>
                <w:color w:val="000000"/>
              </w:rPr>
              <w:t> </w:t>
            </w:r>
          </w:p>
        </w:tc>
        <w:tc>
          <w:tcPr>
            <w:tcW w:w="0" w:type="auto"/>
            <w:tcBorders>
              <w:top w:val="nil"/>
              <w:left w:val="nil"/>
              <w:bottom w:val="single" w:sz="4" w:space="0" w:color="auto"/>
              <w:right w:val="nil"/>
            </w:tcBorders>
            <w:shd w:val="clear" w:color="auto" w:fill="auto"/>
            <w:noWrap/>
            <w:vAlign w:val="center"/>
            <w:hideMark/>
          </w:tcPr>
          <w:p w14:paraId="4D091550" w14:textId="77777777" w:rsidR="00B46AF9" w:rsidRPr="00AD57A0" w:rsidRDefault="00B46AF9" w:rsidP="0051672D">
            <w:pPr>
              <w:spacing w:before="0" w:after="0"/>
              <w:jc w:val="center"/>
              <w:rPr>
                <w:rFonts w:ascii="Calibri" w:hAnsi="Calibri" w:cs="Times New Roman"/>
                <w:color w:val="000000"/>
              </w:rPr>
            </w:pPr>
            <w:r w:rsidRPr="00AD57A0">
              <w:rPr>
                <w:rFonts w:ascii="Calibri" w:hAnsi="Calibri" w:cs="Times New Roman"/>
                <w:color w:val="000000"/>
                <w:lang w:val="en-US"/>
              </w:rPr>
              <w:t>Burnett-Mary</w:t>
            </w:r>
          </w:p>
        </w:tc>
        <w:tc>
          <w:tcPr>
            <w:tcW w:w="0" w:type="auto"/>
            <w:tcBorders>
              <w:top w:val="nil"/>
              <w:left w:val="nil"/>
              <w:bottom w:val="single" w:sz="4" w:space="0" w:color="auto"/>
              <w:right w:val="nil"/>
            </w:tcBorders>
            <w:shd w:val="clear" w:color="auto" w:fill="auto"/>
            <w:noWrap/>
            <w:vAlign w:val="center"/>
            <w:hideMark/>
          </w:tcPr>
          <w:p w14:paraId="70837ECB" w14:textId="77777777" w:rsidR="00B46AF9" w:rsidRPr="00AD57A0" w:rsidRDefault="00B46AF9" w:rsidP="0051672D">
            <w:pPr>
              <w:spacing w:before="0" w:after="0"/>
              <w:rPr>
                <w:rFonts w:ascii="Calibri" w:hAnsi="Calibri" w:cs="Times New Roman"/>
                <w:color w:val="000000"/>
              </w:rPr>
            </w:pPr>
            <w:r w:rsidRPr="00AD57A0">
              <w:rPr>
                <w:rFonts w:ascii="Calibri" w:hAnsi="Calibri" w:cs="Times New Roman"/>
                <w:color w:val="000000"/>
                <w:lang w:val="en-US"/>
              </w:rPr>
              <w:t xml:space="preserve">                 -   </w:t>
            </w:r>
          </w:p>
        </w:tc>
      </w:tr>
    </w:tbl>
    <w:p w14:paraId="563A4A56" w14:textId="77777777" w:rsidR="00B46AF9" w:rsidRPr="00AD57A0" w:rsidRDefault="00B46AF9" w:rsidP="00B46AF9">
      <w:pPr>
        <w:pStyle w:val="Default"/>
        <w:rPr>
          <w:lang w:eastAsia="en-AU"/>
        </w:rPr>
      </w:pPr>
    </w:p>
    <w:p w14:paraId="37A43CE3" w14:textId="77777777" w:rsidR="00B46AF9" w:rsidRPr="00AD57A0" w:rsidRDefault="00B46AF9" w:rsidP="00B46AF9">
      <w:pPr>
        <w:pStyle w:val="Default"/>
        <w:jc w:val="center"/>
        <w:rPr>
          <w:lang w:eastAsia="en-AU"/>
        </w:rPr>
      </w:pPr>
      <w:r w:rsidRPr="00AD57A0">
        <w:rPr>
          <w:noProof/>
          <w:lang w:val="en-AU" w:eastAsia="en-AU"/>
        </w:rPr>
        <w:lastRenderedPageBreak/>
        <w:drawing>
          <wp:inline distT="0" distB="0" distL="0" distR="0" wp14:anchorId="680F166D" wp14:editId="4AB35499">
            <wp:extent cx="5441575" cy="5803271"/>
            <wp:effectExtent l="0" t="0" r="6985" b="6985"/>
            <wp:docPr id="17" name="Picture 17" descr="Total suspended solids (TSS) in tons/km2 over the GBR lagoon due to the passage of ex-Tropical Cyclone Ita, April 2014. Contour line indicates TSS equals to 50 ton/km2 as a point of reference only." title="Figure 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90" cstate="print">
                      <a:extLst>
                        <a:ext uri="{28A0092B-C50C-407E-A947-70E740481C1C}">
                          <a14:useLocalDpi xmlns:a14="http://schemas.microsoft.com/office/drawing/2010/main"/>
                        </a:ext>
                      </a:extLst>
                    </a:blip>
                    <a:stretch>
                      <a:fillRect/>
                    </a:stretch>
                  </pic:blipFill>
                  <pic:spPr bwMode="auto">
                    <a:xfrm>
                      <a:off x="0" y="0"/>
                      <a:ext cx="5456094" cy="5818755"/>
                    </a:xfrm>
                    <a:prstGeom prst="rect">
                      <a:avLst/>
                    </a:prstGeom>
                    <a:noFill/>
                    <a:ln>
                      <a:noFill/>
                    </a:ln>
                  </pic:spPr>
                </pic:pic>
              </a:graphicData>
            </a:graphic>
          </wp:inline>
        </w:drawing>
      </w:r>
    </w:p>
    <w:p w14:paraId="32C0AF8D" w14:textId="245F5C1D" w:rsidR="00B46AF9" w:rsidRPr="00AD57A0" w:rsidRDefault="00B46AF9" w:rsidP="00B46AF9">
      <w:pPr>
        <w:pStyle w:val="Caption"/>
      </w:pPr>
      <w:bookmarkStart w:id="187" w:name="_Toc434607161"/>
      <w:bookmarkStart w:id="188" w:name="_Toc454303917"/>
      <w:r w:rsidRPr="00AD57A0">
        <w:t xml:space="preserve">Figure </w:t>
      </w:r>
      <w:r w:rsidR="009F4CB0">
        <w:fldChar w:fldCharType="begin"/>
      </w:r>
      <w:r w:rsidR="009F4CB0">
        <w:instrText xml:space="preserve"> STYLEREF 1 \s </w:instrText>
      </w:r>
      <w:r w:rsidR="009F4CB0">
        <w:fldChar w:fldCharType="separate"/>
      </w:r>
      <w:r w:rsidR="000E22F3">
        <w:rPr>
          <w:noProof/>
        </w:rPr>
        <w:t>4</w:t>
      </w:r>
      <w:r w:rsidR="009F4CB0">
        <w:fldChar w:fldCharType="end"/>
      </w:r>
      <w:r w:rsidR="009F4CB0">
        <w:noBreakHyphen/>
      </w:r>
      <w:r w:rsidR="009F4CB0">
        <w:fldChar w:fldCharType="begin"/>
      </w:r>
      <w:r w:rsidR="009F4CB0">
        <w:instrText xml:space="preserve"> SEQ Figure \* ARABIC \s 1 </w:instrText>
      </w:r>
      <w:r w:rsidR="009F4CB0">
        <w:fldChar w:fldCharType="separate"/>
      </w:r>
      <w:r w:rsidR="000E22F3">
        <w:rPr>
          <w:noProof/>
        </w:rPr>
        <w:t>12</w:t>
      </w:r>
      <w:r w:rsidR="009F4CB0">
        <w:fldChar w:fldCharType="end"/>
      </w:r>
      <w:r w:rsidRPr="00AD57A0">
        <w:t xml:space="preserve">: </w:t>
      </w:r>
      <w:r w:rsidRPr="00AD57A0">
        <w:rPr>
          <w:rStyle w:val="A16"/>
          <w:rFonts w:ascii="Calibri" w:hAnsi="Calibri" w:cs="Times New Roman"/>
          <w:color w:val="17365D" w:themeColor="text2" w:themeShade="BF"/>
          <w:sz w:val="22"/>
          <w:szCs w:val="20"/>
        </w:rPr>
        <w:t>Total suspended solids (TSS) in tons/km</w:t>
      </w:r>
      <w:r w:rsidRPr="00AD57A0">
        <w:rPr>
          <w:rStyle w:val="A17"/>
          <w:rFonts w:ascii="Calibri" w:hAnsi="Calibri" w:cs="Times New Roman"/>
          <w:color w:val="17365D" w:themeColor="text2" w:themeShade="BF"/>
          <w:sz w:val="22"/>
          <w:szCs w:val="20"/>
          <w:vertAlign w:val="superscript"/>
        </w:rPr>
        <w:t>2</w:t>
      </w:r>
      <w:r w:rsidRPr="00AD57A0">
        <w:rPr>
          <w:rStyle w:val="A17"/>
          <w:rFonts w:ascii="Calibri" w:hAnsi="Calibri" w:cs="Times New Roman"/>
          <w:color w:val="17365D" w:themeColor="text2" w:themeShade="BF"/>
          <w:sz w:val="22"/>
          <w:szCs w:val="20"/>
        </w:rPr>
        <w:t xml:space="preserve"> </w:t>
      </w:r>
      <w:r w:rsidRPr="00AD57A0">
        <w:rPr>
          <w:rStyle w:val="A16"/>
          <w:rFonts w:ascii="Calibri" w:hAnsi="Calibri" w:cs="Times New Roman"/>
          <w:color w:val="17365D" w:themeColor="text2" w:themeShade="BF"/>
          <w:sz w:val="22"/>
          <w:szCs w:val="20"/>
        </w:rPr>
        <w:t>over the GBR lagoon due to the passage of ex-</w:t>
      </w:r>
      <w:r w:rsidR="00A01F38">
        <w:rPr>
          <w:rStyle w:val="A16"/>
          <w:rFonts w:ascii="Calibri" w:hAnsi="Calibri" w:cs="Times New Roman"/>
          <w:color w:val="17365D" w:themeColor="text2" w:themeShade="BF"/>
          <w:sz w:val="22"/>
          <w:szCs w:val="20"/>
        </w:rPr>
        <w:t>Tropical Cyclone</w:t>
      </w:r>
      <w:r w:rsidRPr="00AD57A0">
        <w:rPr>
          <w:rStyle w:val="A16"/>
          <w:rFonts w:ascii="Calibri" w:hAnsi="Calibri" w:cs="Times New Roman"/>
          <w:color w:val="17365D" w:themeColor="text2" w:themeShade="BF"/>
          <w:sz w:val="22"/>
          <w:szCs w:val="20"/>
        </w:rPr>
        <w:t xml:space="preserve"> Ita</w:t>
      </w:r>
      <w:r w:rsidR="00A01F38">
        <w:rPr>
          <w:rStyle w:val="A16"/>
          <w:rFonts w:ascii="Calibri" w:hAnsi="Calibri" w:cs="Times New Roman"/>
          <w:color w:val="17365D" w:themeColor="text2" w:themeShade="BF"/>
          <w:sz w:val="22"/>
          <w:szCs w:val="20"/>
        </w:rPr>
        <w:t>, April 2014</w:t>
      </w:r>
      <w:r w:rsidRPr="00AD57A0">
        <w:rPr>
          <w:rStyle w:val="A16"/>
          <w:rFonts w:ascii="Calibri" w:hAnsi="Calibri" w:cs="Times New Roman"/>
          <w:color w:val="17365D" w:themeColor="text2" w:themeShade="BF"/>
          <w:sz w:val="22"/>
          <w:szCs w:val="20"/>
        </w:rPr>
        <w:t>.</w:t>
      </w:r>
      <w:bookmarkEnd w:id="187"/>
      <w:r w:rsidRPr="00AD57A0">
        <w:t xml:space="preserve"> Contour line indicates TSS equals to 50 ton/km</w:t>
      </w:r>
      <w:r w:rsidRPr="00AD57A0">
        <w:rPr>
          <w:vertAlign w:val="superscript"/>
        </w:rPr>
        <w:t>2</w:t>
      </w:r>
      <w:r w:rsidR="00A01F38">
        <w:rPr>
          <w:rStyle w:val="A16"/>
          <w:rFonts w:ascii="Calibri" w:hAnsi="Calibri" w:cs="Times New Roman"/>
          <w:color w:val="17365D" w:themeColor="text2" w:themeShade="BF"/>
          <w:sz w:val="22"/>
          <w:szCs w:val="20"/>
        </w:rPr>
        <w:t xml:space="preserve"> as a point of reference only.</w:t>
      </w:r>
      <w:bookmarkEnd w:id="188"/>
    </w:p>
    <w:p w14:paraId="251B7AF5" w14:textId="77777777" w:rsidR="00703EC1" w:rsidRPr="00D47A52" w:rsidRDefault="00EB770E" w:rsidP="00D47A52">
      <w:pPr>
        <w:pStyle w:val="Heading1"/>
        <w:numPr>
          <w:ilvl w:val="0"/>
          <w:numId w:val="3"/>
        </w:numPr>
        <w:spacing w:after="240" w:line="80" w:lineRule="atLeast"/>
        <w:rPr>
          <w:i/>
          <w:caps w:val="0"/>
        </w:rPr>
      </w:pPr>
      <w:bookmarkStart w:id="189" w:name="_Toc443299485"/>
      <w:bookmarkStart w:id="190" w:name="_Toc443299698"/>
      <w:bookmarkStart w:id="191" w:name="_Toc454304716"/>
      <w:bookmarkEnd w:id="115"/>
      <w:r w:rsidRPr="00D47A52">
        <w:rPr>
          <w:i/>
          <w:caps w:val="0"/>
        </w:rPr>
        <w:lastRenderedPageBreak/>
        <w:t>Mapping of river plumes</w:t>
      </w:r>
      <w:bookmarkEnd w:id="189"/>
      <w:bookmarkEnd w:id="190"/>
      <w:bookmarkEnd w:id="191"/>
    </w:p>
    <w:p w14:paraId="2A48CE77" w14:textId="1EE147E2" w:rsidR="00131E41" w:rsidRPr="00D47A52" w:rsidRDefault="00131E41" w:rsidP="00B46AF9">
      <w:pPr>
        <w:pStyle w:val="Heading2"/>
        <w:numPr>
          <w:ilvl w:val="1"/>
          <w:numId w:val="3"/>
        </w:numPr>
      </w:pPr>
      <w:bookmarkStart w:id="192" w:name="_Toc420329339"/>
      <w:bookmarkStart w:id="193" w:name="_Toc443299486"/>
      <w:bookmarkStart w:id="194" w:name="_Toc443299699"/>
      <w:bookmarkStart w:id="195" w:name="_Toc454304717"/>
      <w:bookmarkStart w:id="196" w:name="_Toc416533947"/>
      <w:bookmarkEnd w:id="192"/>
      <w:r w:rsidRPr="00D47A52">
        <w:t>Method</w:t>
      </w:r>
      <w:r w:rsidR="001C068B">
        <w:t>ology</w:t>
      </w:r>
      <w:bookmarkEnd w:id="193"/>
      <w:bookmarkEnd w:id="194"/>
      <w:bookmarkEnd w:id="195"/>
    </w:p>
    <w:p w14:paraId="396C857A" w14:textId="4F5C6174" w:rsidR="00B84AB3" w:rsidRPr="007629C0" w:rsidRDefault="00F532DE" w:rsidP="00B46AF9">
      <w:pPr>
        <w:pStyle w:val="Heading2"/>
      </w:pPr>
      <w:bookmarkStart w:id="197" w:name="_Toc454304718"/>
      <w:bookmarkStart w:id="198" w:name="_Toc416533902"/>
      <w:r>
        <w:t>Introduction to r</w:t>
      </w:r>
      <w:r w:rsidR="00121711">
        <w:t>emote sensing products</w:t>
      </w:r>
      <w:bookmarkEnd w:id="197"/>
    </w:p>
    <w:p w14:paraId="134975C9" w14:textId="329B326E" w:rsidR="00B84AB3" w:rsidRDefault="001520B2" w:rsidP="00B84AB3">
      <w:pPr>
        <w:rPr>
          <w:rFonts w:ascii="Calibri" w:eastAsia="Calibri" w:hAnsi="Calibri" w:cs="Times New Roman"/>
          <w:color w:val="000000" w:themeColor="text1"/>
          <w:lang w:eastAsia="en-US"/>
        </w:rPr>
      </w:pPr>
      <w:r>
        <w:rPr>
          <w:rFonts w:ascii="Calibri" w:eastAsia="Calibri" w:hAnsi="Calibri" w:cs="Times New Roman"/>
          <w:color w:val="000000" w:themeColor="text1"/>
          <w:lang w:eastAsia="en-US"/>
        </w:rPr>
        <w:t>The l</w:t>
      </w:r>
      <w:r w:rsidR="00B84AB3" w:rsidRPr="00C97CC0">
        <w:rPr>
          <w:rFonts w:ascii="Calibri" w:eastAsia="Calibri" w:hAnsi="Calibri" w:cs="Times New Roman"/>
          <w:color w:val="000000" w:themeColor="text1"/>
          <w:lang w:eastAsia="en-US"/>
        </w:rPr>
        <w:t xml:space="preserve">evel of exposure of GBR ecosystems (including the coral reefs and seagrass meadows) to river plumes and land-sourced contaminants is spatially and temporally dependent of the different land-uses in the GBR catchments, the local transports of contaminants, and the distance of respective ecosystems to the river mouths (Brodie et al., 2013). Understanding the exposure of the GBR ecosystems and resulting changes in ecosystem health conditions is important to facilitate management of the GBR to respond to anthropogenic pressures under a changing climate. The main objective of the </w:t>
      </w:r>
      <w:r w:rsidR="00B84AB3" w:rsidRPr="00036408">
        <w:rPr>
          <w:rFonts w:ascii="Calibri" w:eastAsia="Calibri" w:hAnsi="Calibri" w:cs="Times New Roman"/>
          <w:color w:val="000000" w:themeColor="text1"/>
          <w:lang w:eastAsia="en-US"/>
        </w:rPr>
        <w:t xml:space="preserve">remote sensing </w:t>
      </w:r>
      <w:r w:rsidR="00B84AB3" w:rsidRPr="00C97CC0">
        <w:rPr>
          <w:rFonts w:ascii="Calibri" w:eastAsia="Calibri" w:hAnsi="Calibri" w:cs="Times New Roman"/>
          <w:color w:val="000000" w:themeColor="text1"/>
          <w:lang w:eastAsia="en-US"/>
        </w:rPr>
        <w:t>component of the wet season monitoring under the MMP is to produce maps of river plumes, models that summari</w:t>
      </w:r>
      <w:r w:rsidR="00E30A69">
        <w:rPr>
          <w:rFonts w:ascii="Calibri" w:eastAsia="Calibri" w:hAnsi="Calibri" w:cs="Times New Roman"/>
          <w:color w:val="000000" w:themeColor="text1"/>
          <w:lang w:eastAsia="en-US"/>
        </w:rPr>
        <w:t>s</w:t>
      </w:r>
      <w:r w:rsidR="00B84AB3" w:rsidRPr="00C97CC0">
        <w:rPr>
          <w:rFonts w:ascii="Calibri" w:eastAsia="Calibri" w:hAnsi="Calibri" w:cs="Times New Roman"/>
          <w:color w:val="000000" w:themeColor="text1"/>
          <w:lang w:eastAsia="en-US"/>
        </w:rPr>
        <w:t>e land-sourced contaminants transport, describe water quality concentrations within wet season conditions, and to integrate all these methods to evaluate the susceptibility of GBR key ecosystems to the river plume/pollutants exposure i.e. to model the risk of GBR ecosystem due to exposure to river plumes (</w:t>
      </w:r>
      <w:r w:rsidR="005935D5">
        <w:rPr>
          <w:rFonts w:ascii="Calibri" w:eastAsia="Calibri" w:hAnsi="Calibri" w:cs="Times New Roman"/>
          <w:color w:val="000000" w:themeColor="text1"/>
          <w:lang w:eastAsia="en-US"/>
        </w:rPr>
        <w:fldChar w:fldCharType="begin"/>
      </w:r>
      <w:r w:rsidR="00B84AB3">
        <w:rPr>
          <w:rFonts w:ascii="Calibri" w:eastAsia="Calibri" w:hAnsi="Calibri" w:cs="Times New Roman"/>
          <w:color w:val="000000" w:themeColor="text1"/>
          <w:lang w:eastAsia="en-US"/>
        </w:rPr>
        <w:instrText xml:space="preserve"> REF _Ref428881339 \h </w:instrText>
      </w:r>
      <w:r w:rsidR="005935D5">
        <w:rPr>
          <w:rFonts w:ascii="Calibri" w:eastAsia="Calibri" w:hAnsi="Calibri" w:cs="Times New Roman"/>
          <w:color w:val="000000" w:themeColor="text1"/>
          <w:lang w:eastAsia="en-US"/>
        </w:rPr>
      </w:r>
      <w:r w:rsidR="005935D5">
        <w:rPr>
          <w:rFonts w:ascii="Calibri" w:eastAsia="Calibri" w:hAnsi="Calibri" w:cs="Times New Roman"/>
          <w:color w:val="000000" w:themeColor="text1"/>
          <w:lang w:eastAsia="en-US"/>
        </w:rPr>
        <w:fldChar w:fldCharType="separate"/>
      </w:r>
      <w:r w:rsidR="000E22F3">
        <w:t xml:space="preserve">Figure </w:t>
      </w:r>
      <w:r w:rsidR="000E22F3">
        <w:rPr>
          <w:noProof/>
        </w:rPr>
        <w:t>5</w:t>
      </w:r>
      <w:r w:rsidR="000E22F3">
        <w:noBreakHyphen/>
      </w:r>
      <w:r w:rsidR="000E22F3">
        <w:rPr>
          <w:noProof/>
        </w:rPr>
        <w:t>1</w:t>
      </w:r>
      <w:r w:rsidR="005935D5">
        <w:rPr>
          <w:rFonts w:ascii="Calibri" w:eastAsia="Calibri" w:hAnsi="Calibri" w:cs="Times New Roman"/>
          <w:color w:val="000000" w:themeColor="text1"/>
          <w:lang w:eastAsia="en-US"/>
        </w:rPr>
        <w:fldChar w:fldCharType="end"/>
      </w:r>
      <w:r w:rsidR="00B84AB3" w:rsidRPr="00C97CC0">
        <w:rPr>
          <w:rFonts w:ascii="Calibri" w:eastAsia="Calibri" w:hAnsi="Calibri" w:cs="Times New Roman"/>
          <w:color w:val="000000" w:themeColor="text1"/>
          <w:lang w:eastAsia="en-US"/>
        </w:rPr>
        <w:t>).</w:t>
      </w:r>
    </w:p>
    <w:p w14:paraId="0F4A6C99" w14:textId="77777777" w:rsidR="00131E41" w:rsidRDefault="00131E41" w:rsidP="00131E41">
      <w:r w:rsidRPr="009B0AE8">
        <w:rPr>
          <w:rFonts w:eastAsia="Calibri"/>
          <w:noProof/>
        </w:rPr>
        <w:drawing>
          <wp:inline distT="0" distB="0" distL="0" distR="0" wp14:anchorId="0EA4C6E0" wp14:editId="3930EC99">
            <wp:extent cx="5805377" cy="4369981"/>
            <wp:effectExtent l="0" t="0" r="0" b="12065"/>
            <wp:docPr id="76" name="Diagram 76" descr="Remote sensing products designed in order to model the risk of GBR ecosystems due to river plumes during the wet season." title="Figure 5-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1" r:lo="rId92" r:qs="rId93" r:cs="rId94"/>
              </a:graphicData>
            </a:graphic>
          </wp:inline>
        </w:drawing>
      </w:r>
    </w:p>
    <w:p w14:paraId="3534EEAB" w14:textId="63780629" w:rsidR="00131E41" w:rsidRDefault="00131E41" w:rsidP="00131E41">
      <w:pPr>
        <w:pStyle w:val="Caption"/>
        <w:rPr>
          <w:rFonts w:eastAsia="Calibri"/>
        </w:rPr>
      </w:pPr>
      <w:bookmarkStart w:id="199" w:name="_Ref428881339"/>
      <w:bookmarkStart w:id="200" w:name="_Toc427833268"/>
      <w:bookmarkStart w:id="201" w:name="_Toc454303918"/>
      <w:r>
        <w:t xml:space="preserve">Figure </w:t>
      </w:r>
      <w:r w:rsidR="009F4CB0">
        <w:fldChar w:fldCharType="begin"/>
      </w:r>
      <w:r w:rsidR="009F4CB0">
        <w:instrText xml:space="preserve"> STYLEREF 1 \s </w:instrText>
      </w:r>
      <w:r w:rsidR="009F4CB0">
        <w:fldChar w:fldCharType="separate"/>
      </w:r>
      <w:r w:rsidR="000E22F3">
        <w:rPr>
          <w:noProof/>
        </w:rPr>
        <w:t>5</w:t>
      </w:r>
      <w:r w:rsidR="009F4CB0">
        <w:fldChar w:fldCharType="end"/>
      </w:r>
      <w:r w:rsidR="009F4CB0">
        <w:noBreakHyphen/>
      </w:r>
      <w:r w:rsidR="009F4CB0">
        <w:fldChar w:fldCharType="begin"/>
      </w:r>
      <w:r w:rsidR="009F4CB0">
        <w:instrText xml:space="preserve"> SEQ Figure \* ARABIC \s 1 </w:instrText>
      </w:r>
      <w:r w:rsidR="009F4CB0">
        <w:fldChar w:fldCharType="separate"/>
      </w:r>
      <w:r w:rsidR="000E22F3">
        <w:rPr>
          <w:noProof/>
        </w:rPr>
        <w:t>1</w:t>
      </w:r>
      <w:r w:rsidR="009F4CB0">
        <w:fldChar w:fldCharType="end"/>
      </w:r>
      <w:bookmarkEnd w:id="199"/>
      <w:r>
        <w:t xml:space="preserve">: </w:t>
      </w:r>
      <w:r w:rsidRPr="00C97CC0">
        <w:rPr>
          <w:rFonts w:eastAsia="Calibri"/>
        </w:rPr>
        <w:t>Remote sensing products designed in order to model the risk of GBR ecosystems due to river plumes during the wet season.</w:t>
      </w:r>
      <w:bookmarkEnd w:id="200"/>
      <w:bookmarkEnd w:id="201"/>
    </w:p>
    <w:p w14:paraId="4AB4DBBB" w14:textId="77777777" w:rsidR="00131E41" w:rsidRDefault="00131E41" w:rsidP="00131E41">
      <w:pPr>
        <w:rPr>
          <w:rFonts w:eastAsia="Calibri"/>
          <w:lang w:val="en-GB" w:eastAsia="en-US"/>
        </w:rPr>
      </w:pPr>
    </w:p>
    <w:p w14:paraId="175E64F6" w14:textId="6125AEC8" w:rsidR="00F173C5" w:rsidRPr="00466844" w:rsidRDefault="00F173C5" w:rsidP="00F173C5">
      <w:pPr>
        <w:rPr>
          <w:color w:val="000000" w:themeColor="text1"/>
        </w:rPr>
      </w:pPr>
      <w:r w:rsidRPr="00626AC0">
        <w:rPr>
          <w:rFonts w:ascii="Calibri" w:eastAsia="Calibri" w:hAnsi="Calibri" w:cs="Times New Roman"/>
          <w:color w:val="000000" w:themeColor="text1"/>
        </w:rPr>
        <w:t xml:space="preserve">Spatial and temporal resolutions as well as management outcomes of each </w:t>
      </w:r>
      <w:r w:rsidRPr="00F26A41">
        <w:rPr>
          <w:rFonts w:ascii="Calibri" w:eastAsia="Calibri" w:hAnsi="Calibri" w:cs="Times New Roman"/>
          <w:color w:val="000000" w:themeColor="text1"/>
        </w:rPr>
        <w:t>remote sensing</w:t>
      </w:r>
      <w:r w:rsidRPr="00626AC0">
        <w:rPr>
          <w:rFonts w:ascii="Calibri" w:eastAsia="Calibri" w:hAnsi="Calibri" w:cs="Times New Roman"/>
          <w:color w:val="000000" w:themeColor="text1"/>
        </w:rPr>
        <w:t xml:space="preserve"> product developed through MMP funding </w:t>
      </w:r>
      <w:r w:rsidRPr="00CA4368">
        <w:rPr>
          <w:rFonts w:ascii="Calibri" w:eastAsia="Calibri" w:hAnsi="Calibri" w:cs="Times New Roman"/>
          <w:color w:val="000000" w:themeColor="text1"/>
        </w:rPr>
        <w:t>is summarised in</w:t>
      </w:r>
      <w:r>
        <w:rPr>
          <w:rFonts w:ascii="Calibri" w:eastAsia="Calibri" w:hAnsi="Calibri" w:cs="Times New Roman"/>
          <w:color w:val="000000" w:themeColor="text1"/>
        </w:rPr>
        <w:t xml:space="preserve"> </w:t>
      </w:r>
      <w:r w:rsidR="005935D5">
        <w:rPr>
          <w:rFonts w:ascii="Calibri" w:eastAsia="Calibri" w:hAnsi="Calibri" w:cs="Times New Roman"/>
          <w:color w:val="000000" w:themeColor="text1"/>
        </w:rPr>
        <w:fldChar w:fldCharType="begin"/>
      </w:r>
      <w:r>
        <w:rPr>
          <w:rFonts w:ascii="Calibri" w:eastAsia="Calibri" w:hAnsi="Calibri" w:cs="Times New Roman"/>
          <w:color w:val="000000" w:themeColor="text1"/>
        </w:rPr>
        <w:instrText xml:space="preserve"> REF _Ref433185932 \h </w:instrText>
      </w:r>
      <w:r w:rsidR="005935D5">
        <w:rPr>
          <w:rFonts w:ascii="Calibri" w:eastAsia="Calibri" w:hAnsi="Calibri" w:cs="Times New Roman"/>
          <w:color w:val="000000" w:themeColor="text1"/>
        </w:rPr>
      </w:r>
      <w:r w:rsidR="005935D5">
        <w:rPr>
          <w:rFonts w:ascii="Calibri" w:eastAsia="Calibri" w:hAnsi="Calibri" w:cs="Times New Roman"/>
          <w:color w:val="000000" w:themeColor="text1"/>
        </w:rPr>
        <w:fldChar w:fldCharType="separate"/>
      </w:r>
      <w:r w:rsidR="000E22F3" w:rsidRPr="006149EC">
        <w:t xml:space="preserve">Table </w:t>
      </w:r>
      <w:r w:rsidR="000E22F3">
        <w:rPr>
          <w:noProof/>
        </w:rPr>
        <w:t>5</w:t>
      </w:r>
      <w:r w:rsidR="000E22F3">
        <w:noBreakHyphen/>
      </w:r>
      <w:r w:rsidR="000E22F3">
        <w:rPr>
          <w:noProof/>
        </w:rPr>
        <w:t>1</w:t>
      </w:r>
      <w:r w:rsidR="005935D5">
        <w:rPr>
          <w:rFonts w:ascii="Calibri" w:eastAsia="Calibri" w:hAnsi="Calibri" w:cs="Times New Roman"/>
          <w:color w:val="000000" w:themeColor="text1"/>
        </w:rPr>
        <w:fldChar w:fldCharType="end"/>
      </w:r>
      <w:r w:rsidRPr="00626AC0">
        <w:rPr>
          <w:rFonts w:ascii="Calibri" w:eastAsia="Calibri" w:hAnsi="Calibri" w:cs="Times New Roman"/>
          <w:color w:val="000000" w:themeColor="text1"/>
        </w:rPr>
        <w:t xml:space="preserve">. Integrating these outputs maps into </w:t>
      </w:r>
      <w:r w:rsidRPr="00626AC0">
        <w:rPr>
          <w:rFonts w:ascii="Calibri" w:eastAsia="Calibri" w:hAnsi="Calibri" w:cs="Times New Roman"/>
          <w:color w:val="000000" w:themeColor="text1"/>
        </w:rPr>
        <w:lastRenderedPageBreak/>
        <w:t>annual and lon</w:t>
      </w:r>
      <w:r w:rsidRPr="00CA4368">
        <w:rPr>
          <w:rFonts w:ascii="Calibri" w:eastAsia="Calibri" w:hAnsi="Calibri" w:cs="Times New Roman"/>
          <w:color w:val="000000" w:themeColor="text1"/>
        </w:rPr>
        <w:t>g-term (multi-</w:t>
      </w:r>
      <w:r w:rsidRPr="00CA4368">
        <w:rPr>
          <w:color w:val="000000" w:themeColor="text1"/>
        </w:rPr>
        <w:t>annual) composite</w:t>
      </w:r>
      <w:r w:rsidRPr="005F5FB8">
        <w:rPr>
          <w:color w:val="000000" w:themeColor="text1"/>
        </w:rPr>
        <w:t xml:space="preserve"> maps provide simple overviews of surface and ecosystem exposure over t</w:t>
      </w:r>
      <w:r w:rsidRPr="00466844">
        <w:rPr>
          <w:color w:val="000000" w:themeColor="text1"/>
        </w:rPr>
        <w:t>ime.</w:t>
      </w:r>
    </w:p>
    <w:p w14:paraId="1B53E48C" w14:textId="05C9BD4F" w:rsidR="00F173C5" w:rsidRPr="00F173C5" w:rsidRDefault="00F173C5" w:rsidP="00F173C5">
      <w:pPr>
        <w:pStyle w:val="Caption"/>
      </w:pPr>
      <w:bookmarkStart w:id="202" w:name="_Ref433185932"/>
      <w:bookmarkStart w:id="203" w:name="_Toc454304620"/>
      <w:r w:rsidRPr="006149EC">
        <w:t xml:space="preserve">Table </w:t>
      </w:r>
      <w:r w:rsidR="00445BD2">
        <w:fldChar w:fldCharType="begin"/>
      </w:r>
      <w:r w:rsidR="00445BD2">
        <w:instrText xml:space="preserve"> STYLEREF 1 \s </w:instrText>
      </w:r>
      <w:r w:rsidR="00445BD2">
        <w:fldChar w:fldCharType="separate"/>
      </w:r>
      <w:r w:rsidR="000E22F3">
        <w:rPr>
          <w:noProof/>
        </w:rPr>
        <w:t>5</w:t>
      </w:r>
      <w:r w:rsidR="00445BD2">
        <w:fldChar w:fldCharType="end"/>
      </w:r>
      <w:r w:rsidR="00445BD2">
        <w:noBreakHyphen/>
      </w:r>
      <w:r w:rsidR="00445BD2">
        <w:fldChar w:fldCharType="begin"/>
      </w:r>
      <w:r w:rsidR="00445BD2">
        <w:instrText xml:space="preserve"> SEQ Table \* ARABIC \s 1 </w:instrText>
      </w:r>
      <w:r w:rsidR="00445BD2">
        <w:fldChar w:fldCharType="separate"/>
      </w:r>
      <w:r w:rsidR="000E22F3">
        <w:rPr>
          <w:noProof/>
        </w:rPr>
        <w:t>1</w:t>
      </w:r>
      <w:r w:rsidR="00445BD2">
        <w:fldChar w:fldCharType="end"/>
      </w:r>
      <w:bookmarkEnd w:id="202"/>
      <w:r w:rsidRPr="00742EA6">
        <w:t xml:space="preserve">: </w:t>
      </w:r>
      <w:r w:rsidR="00933636">
        <w:t>R</w:t>
      </w:r>
      <w:r w:rsidRPr="00F173C5">
        <w:t>emote sensing products developed through MMP funding and management outcomes</w:t>
      </w:r>
      <w:bookmarkEnd w:id="203"/>
    </w:p>
    <w:tbl>
      <w:tblPr>
        <w:tblStyle w:val="LightShading"/>
        <w:tblW w:w="0" w:type="auto"/>
        <w:tblBorders>
          <w:bottom w:val="single" w:sz="4" w:space="0" w:color="auto"/>
          <w:insideH w:val="single" w:sz="4" w:space="0" w:color="auto"/>
        </w:tblBorders>
        <w:tblLook w:val="06A0" w:firstRow="1" w:lastRow="0" w:firstColumn="1" w:lastColumn="0" w:noHBand="1" w:noVBand="1"/>
        <w:tblCaption w:val="Table 5-1"/>
        <w:tblDescription w:val="Remote sensing products developed through MMP funding and management outcomes"/>
      </w:tblPr>
      <w:tblGrid>
        <w:gridCol w:w="2093"/>
        <w:gridCol w:w="4394"/>
        <w:gridCol w:w="2755"/>
      </w:tblGrid>
      <w:tr w:rsidR="00F173C5" w14:paraId="5D648D82" w14:textId="77777777" w:rsidTr="00E9202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093" w:type="dxa"/>
            <w:tcBorders>
              <w:top w:val="none" w:sz="0" w:space="0" w:color="auto"/>
              <w:left w:val="none" w:sz="0" w:space="0" w:color="auto"/>
              <w:bottom w:val="none" w:sz="0" w:space="0" w:color="auto"/>
              <w:right w:val="none" w:sz="0" w:space="0" w:color="auto"/>
            </w:tcBorders>
            <w:shd w:val="clear" w:color="auto" w:fill="D9D9D9" w:themeFill="background1" w:themeFillShade="D9"/>
            <w:hideMark/>
          </w:tcPr>
          <w:p w14:paraId="7C7384A8" w14:textId="77777777" w:rsidR="00F173C5" w:rsidRDefault="00F173C5" w:rsidP="00E92024">
            <w:pPr>
              <w:spacing w:before="0" w:after="0"/>
              <w:jc w:val="left"/>
              <w:rPr>
                <w:b w:val="0"/>
                <w:color w:val="000000" w:themeColor="text1"/>
                <w:sz w:val="20"/>
                <w:szCs w:val="20"/>
              </w:rPr>
            </w:pPr>
            <w:r>
              <w:rPr>
                <w:color w:val="000000" w:themeColor="text1"/>
                <w:sz w:val="20"/>
                <w:szCs w:val="20"/>
              </w:rPr>
              <w:t xml:space="preserve">Product  </w:t>
            </w:r>
          </w:p>
        </w:tc>
        <w:tc>
          <w:tcPr>
            <w:tcW w:w="4394" w:type="dxa"/>
            <w:tcBorders>
              <w:top w:val="none" w:sz="0" w:space="0" w:color="auto"/>
              <w:left w:val="none" w:sz="0" w:space="0" w:color="auto"/>
              <w:bottom w:val="none" w:sz="0" w:space="0" w:color="auto"/>
              <w:right w:val="none" w:sz="0" w:space="0" w:color="auto"/>
            </w:tcBorders>
            <w:shd w:val="clear" w:color="auto" w:fill="D9D9D9" w:themeFill="background1" w:themeFillShade="D9"/>
            <w:hideMark/>
          </w:tcPr>
          <w:p w14:paraId="76B50AE7" w14:textId="77777777" w:rsidR="00F173C5" w:rsidRDefault="00F173C5" w:rsidP="00E92024">
            <w:pPr>
              <w:spacing w:before="0" w:after="0"/>
              <w:jc w:val="left"/>
              <w:cnfStyle w:val="100000000000" w:firstRow="1" w:lastRow="0" w:firstColumn="0" w:lastColumn="0" w:oddVBand="0" w:evenVBand="0" w:oddHBand="0" w:evenHBand="0" w:firstRowFirstColumn="0" w:firstRowLastColumn="0" w:lastRowFirstColumn="0" w:lastRowLastColumn="0"/>
              <w:rPr>
                <w:b w:val="0"/>
                <w:color w:val="000000" w:themeColor="text1"/>
                <w:sz w:val="20"/>
                <w:szCs w:val="20"/>
              </w:rPr>
            </w:pPr>
            <w:r>
              <w:rPr>
                <w:color w:val="000000" w:themeColor="text1"/>
                <w:sz w:val="20"/>
                <w:szCs w:val="20"/>
              </w:rPr>
              <w:t>Management outcome</w:t>
            </w:r>
          </w:p>
        </w:tc>
        <w:tc>
          <w:tcPr>
            <w:tcW w:w="2755" w:type="dxa"/>
            <w:tcBorders>
              <w:top w:val="none" w:sz="0" w:space="0" w:color="auto"/>
              <w:left w:val="none" w:sz="0" w:space="0" w:color="auto"/>
              <w:bottom w:val="none" w:sz="0" w:space="0" w:color="auto"/>
              <w:right w:val="none" w:sz="0" w:space="0" w:color="auto"/>
            </w:tcBorders>
            <w:shd w:val="clear" w:color="auto" w:fill="D9D9D9" w:themeFill="background1" w:themeFillShade="D9"/>
            <w:hideMark/>
          </w:tcPr>
          <w:p w14:paraId="1A703316" w14:textId="77777777" w:rsidR="00F173C5" w:rsidRDefault="00F173C5" w:rsidP="00E92024">
            <w:pPr>
              <w:spacing w:before="0" w:after="0"/>
              <w:jc w:val="left"/>
              <w:cnfStyle w:val="100000000000" w:firstRow="1" w:lastRow="0" w:firstColumn="0" w:lastColumn="0" w:oddVBand="0" w:evenVBand="0" w:oddHBand="0" w:evenHBand="0" w:firstRowFirstColumn="0" w:firstRowLastColumn="0" w:lastRowFirstColumn="0" w:lastRowLastColumn="0"/>
              <w:rPr>
                <w:b w:val="0"/>
                <w:color w:val="000000" w:themeColor="text1"/>
                <w:sz w:val="20"/>
                <w:szCs w:val="20"/>
              </w:rPr>
            </w:pPr>
            <w:r>
              <w:rPr>
                <w:color w:val="000000" w:themeColor="text1"/>
                <w:sz w:val="20"/>
                <w:szCs w:val="20"/>
              </w:rPr>
              <w:t>Spatial and temporal resolution</w:t>
            </w:r>
          </w:p>
        </w:tc>
      </w:tr>
      <w:tr w:rsidR="006B5CE6" w14:paraId="292888B0" w14:textId="77777777" w:rsidTr="00E92024">
        <w:tc>
          <w:tcPr>
            <w:cnfStyle w:val="001000000000" w:firstRow="0" w:lastRow="0" w:firstColumn="1" w:lastColumn="0" w:oddVBand="0" w:evenVBand="0" w:oddHBand="0" w:evenHBand="0" w:firstRowFirstColumn="0" w:firstRowLastColumn="0" w:lastRowFirstColumn="0" w:lastRowLastColumn="0"/>
            <w:tcW w:w="2093" w:type="dxa"/>
          </w:tcPr>
          <w:p w14:paraId="7595AF1B" w14:textId="77777777" w:rsidR="00F173C5" w:rsidRDefault="00F173C5" w:rsidP="00E92024">
            <w:pPr>
              <w:spacing w:before="0" w:after="0"/>
              <w:jc w:val="left"/>
              <w:rPr>
                <w:b w:val="0"/>
                <w:color w:val="000000" w:themeColor="text1"/>
                <w:sz w:val="20"/>
                <w:szCs w:val="20"/>
              </w:rPr>
            </w:pPr>
            <w:r>
              <w:rPr>
                <w:color w:val="000000" w:themeColor="text1"/>
                <w:sz w:val="20"/>
                <w:szCs w:val="20"/>
              </w:rPr>
              <w:t>River plume maps</w:t>
            </w:r>
          </w:p>
          <w:p w14:paraId="0A6B9AD2" w14:textId="77777777" w:rsidR="00F173C5" w:rsidRDefault="00F173C5" w:rsidP="00E92024">
            <w:pPr>
              <w:spacing w:before="0" w:after="0"/>
              <w:jc w:val="left"/>
              <w:rPr>
                <w:b w:val="0"/>
                <w:color w:val="000000" w:themeColor="text1"/>
                <w:sz w:val="20"/>
                <w:szCs w:val="20"/>
              </w:rPr>
            </w:pPr>
          </w:p>
        </w:tc>
        <w:tc>
          <w:tcPr>
            <w:tcW w:w="4394" w:type="dxa"/>
            <w:hideMark/>
          </w:tcPr>
          <w:p w14:paraId="5D1F0F14" w14:textId="77777777" w:rsidR="00F173C5" w:rsidRDefault="00F173C5" w:rsidP="00E92024">
            <w:pPr>
              <w:spacing w:before="0" w:after="0"/>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Pr>
                <w:color w:val="000000" w:themeColor="text1"/>
                <w:sz w:val="20"/>
                <w:szCs w:val="20"/>
              </w:rPr>
              <w:t>Illustrate the movement of riverine waters, but do not provide information on the composition of the water and WQ constituents</w:t>
            </w:r>
          </w:p>
        </w:tc>
        <w:tc>
          <w:tcPr>
            <w:tcW w:w="2755" w:type="dxa"/>
            <w:hideMark/>
          </w:tcPr>
          <w:p w14:paraId="0B92533A" w14:textId="77777777" w:rsidR="00F173C5" w:rsidRDefault="00F173C5" w:rsidP="00E92024">
            <w:pPr>
              <w:spacing w:before="0" w:after="0"/>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Pr>
                <w:color w:val="000000" w:themeColor="text1"/>
                <w:sz w:val="20"/>
                <w:szCs w:val="20"/>
              </w:rPr>
              <w:t>- Whole-GBR; NRM, river</w:t>
            </w:r>
          </w:p>
          <w:p w14:paraId="078F8D33" w14:textId="77777777" w:rsidR="00F173C5" w:rsidRDefault="00F173C5" w:rsidP="00E92024">
            <w:pPr>
              <w:spacing w:before="0" w:after="0"/>
              <w:jc w:val="left"/>
              <w:cnfStyle w:val="000000000000" w:firstRow="0" w:lastRow="0" w:firstColumn="0" w:lastColumn="0" w:oddVBand="0" w:evenVBand="0" w:oddHBand="0" w:evenHBand="0" w:firstRowFirstColumn="0" w:firstRowLastColumn="0" w:lastRowFirstColumn="0" w:lastRowLastColumn="0"/>
              <w:rPr>
                <w:b/>
                <w:color w:val="000000" w:themeColor="text1"/>
                <w:sz w:val="20"/>
                <w:szCs w:val="20"/>
              </w:rPr>
            </w:pPr>
            <w:r>
              <w:rPr>
                <w:color w:val="000000" w:themeColor="text1"/>
                <w:sz w:val="20"/>
                <w:szCs w:val="20"/>
              </w:rPr>
              <w:t>- Daily, weekly and seasonal or multi-seasonal (frequency of occurrence)</w:t>
            </w:r>
          </w:p>
        </w:tc>
      </w:tr>
      <w:tr w:rsidR="00F173C5" w14:paraId="2DC0CC43" w14:textId="77777777" w:rsidTr="00E92024">
        <w:tc>
          <w:tcPr>
            <w:cnfStyle w:val="001000000000" w:firstRow="0" w:lastRow="0" w:firstColumn="1" w:lastColumn="0" w:oddVBand="0" w:evenVBand="0" w:oddHBand="0" w:evenHBand="0" w:firstRowFirstColumn="0" w:firstRowLastColumn="0" w:lastRowFirstColumn="0" w:lastRowLastColumn="0"/>
            <w:tcW w:w="2093" w:type="dxa"/>
            <w:hideMark/>
          </w:tcPr>
          <w:p w14:paraId="13109365" w14:textId="77777777" w:rsidR="00F173C5" w:rsidRDefault="00F173C5" w:rsidP="00E92024">
            <w:pPr>
              <w:spacing w:before="0" w:after="0"/>
              <w:jc w:val="left"/>
              <w:rPr>
                <w:b w:val="0"/>
                <w:color w:val="000000" w:themeColor="text1"/>
                <w:sz w:val="20"/>
                <w:szCs w:val="20"/>
              </w:rPr>
            </w:pPr>
            <w:r>
              <w:rPr>
                <w:color w:val="000000" w:themeColor="text1"/>
                <w:sz w:val="20"/>
                <w:szCs w:val="20"/>
              </w:rPr>
              <w:t>Plume water type maps</w:t>
            </w:r>
          </w:p>
        </w:tc>
        <w:tc>
          <w:tcPr>
            <w:tcW w:w="4394" w:type="dxa"/>
            <w:hideMark/>
          </w:tcPr>
          <w:p w14:paraId="7DF339CB" w14:textId="77777777" w:rsidR="00F173C5" w:rsidRDefault="00F173C5" w:rsidP="00E92024">
            <w:pPr>
              <w:spacing w:before="0" w:after="0"/>
              <w:jc w:val="left"/>
              <w:cnfStyle w:val="000000000000" w:firstRow="0" w:lastRow="0" w:firstColumn="0" w:lastColumn="0" w:oddVBand="0" w:evenVBand="0" w:oddHBand="0" w:evenHBand="0" w:firstRowFirstColumn="0" w:firstRowLastColumn="0" w:lastRowFirstColumn="0" w:lastRowLastColumn="0"/>
              <w:rPr>
                <w:b/>
                <w:color w:val="000000" w:themeColor="text1"/>
                <w:sz w:val="20"/>
                <w:szCs w:val="20"/>
              </w:rPr>
            </w:pPr>
            <w:r>
              <w:rPr>
                <w:color w:val="000000" w:themeColor="text1"/>
                <w:sz w:val="20"/>
                <w:szCs w:val="20"/>
              </w:rPr>
              <w:t>Plume water types are associated with different levels and combination of pollutants and, in combination with in-situ WQ information, provide a broad scale approach to reporting contaminant concentrations in the GBR marine environment.</w:t>
            </w:r>
          </w:p>
        </w:tc>
        <w:tc>
          <w:tcPr>
            <w:tcW w:w="2755" w:type="dxa"/>
            <w:hideMark/>
          </w:tcPr>
          <w:p w14:paraId="76FD121C" w14:textId="77777777" w:rsidR="00F173C5" w:rsidRDefault="00F173C5" w:rsidP="00E92024">
            <w:pPr>
              <w:spacing w:before="0" w:after="0"/>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Pr>
                <w:color w:val="000000" w:themeColor="text1"/>
                <w:sz w:val="20"/>
                <w:szCs w:val="20"/>
              </w:rPr>
              <w:t>- Whole-GBR; NRM, river</w:t>
            </w:r>
          </w:p>
          <w:p w14:paraId="65ACB5A1" w14:textId="77777777" w:rsidR="00F173C5" w:rsidRDefault="00F173C5" w:rsidP="00E92024">
            <w:pPr>
              <w:spacing w:before="0" w:after="0"/>
              <w:jc w:val="left"/>
              <w:cnfStyle w:val="000000000000" w:firstRow="0" w:lastRow="0" w:firstColumn="0" w:lastColumn="0" w:oddVBand="0" w:evenVBand="0" w:oddHBand="0" w:evenHBand="0" w:firstRowFirstColumn="0" w:firstRowLastColumn="0" w:lastRowFirstColumn="0" w:lastRowLastColumn="0"/>
              <w:rPr>
                <w:b/>
                <w:color w:val="000000" w:themeColor="text1"/>
                <w:sz w:val="20"/>
                <w:szCs w:val="20"/>
              </w:rPr>
            </w:pPr>
            <w:r>
              <w:rPr>
                <w:color w:val="000000" w:themeColor="text1"/>
                <w:sz w:val="20"/>
                <w:szCs w:val="20"/>
              </w:rPr>
              <w:t>- Daily, weekly and seasonal or multi-seasonal (frequency of occurrence)</w:t>
            </w:r>
          </w:p>
        </w:tc>
      </w:tr>
      <w:tr w:rsidR="006B5CE6" w14:paraId="53BA22A0" w14:textId="77777777" w:rsidTr="00E92024">
        <w:tc>
          <w:tcPr>
            <w:cnfStyle w:val="001000000000" w:firstRow="0" w:lastRow="0" w:firstColumn="1" w:lastColumn="0" w:oddVBand="0" w:evenVBand="0" w:oddHBand="0" w:evenHBand="0" w:firstRowFirstColumn="0" w:firstRowLastColumn="0" w:lastRowFirstColumn="0" w:lastRowLastColumn="0"/>
            <w:tcW w:w="2093" w:type="dxa"/>
            <w:hideMark/>
          </w:tcPr>
          <w:p w14:paraId="5868F9F5" w14:textId="77777777" w:rsidR="00F173C5" w:rsidRDefault="00F173C5" w:rsidP="00E92024">
            <w:pPr>
              <w:spacing w:before="0" w:after="0"/>
              <w:jc w:val="left"/>
              <w:rPr>
                <w:b w:val="0"/>
                <w:color w:val="000000" w:themeColor="text1"/>
                <w:sz w:val="20"/>
                <w:szCs w:val="20"/>
              </w:rPr>
            </w:pPr>
            <w:r>
              <w:rPr>
                <w:color w:val="000000" w:themeColor="text1"/>
                <w:sz w:val="20"/>
                <w:szCs w:val="20"/>
              </w:rPr>
              <w:t>Load maps of land-sourced pollutants (TSS and DIN)</w:t>
            </w:r>
            <w:r w:rsidR="00C22666">
              <w:rPr>
                <w:color w:val="000000" w:themeColor="text1"/>
                <w:sz w:val="20"/>
                <w:szCs w:val="20"/>
              </w:rPr>
              <w:t>*</w:t>
            </w:r>
          </w:p>
        </w:tc>
        <w:tc>
          <w:tcPr>
            <w:tcW w:w="4394" w:type="dxa"/>
            <w:hideMark/>
          </w:tcPr>
          <w:p w14:paraId="4E4A211E" w14:textId="77777777" w:rsidR="00F173C5" w:rsidRDefault="00F173C5" w:rsidP="00E92024">
            <w:pPr>
              <w:spacing w:before="0" w:after="0"/>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Pr>
                <w:color w:val="000000" w:themeColor="text1"/>
                <w:sz w:val="20"/>
                <w:szCs w:val="20"/>
              </w:rPr>
              <w:t>The load mapping exercise, allows us to further understand the movements of pollutants which are carried within the river plume waters.</w:t>
            </w:r>
          </w:p>
        </w:tc>
        <w:tc>
          <w:tcPr>
            <w:tcW w:w="2755" w:type="dxa"/>
            <w:hideMark/>
          </w:tcPr>
          <w:p w14:paraId="0CE55212" w14:textId="77777777" w:rsidR="00F173C5" w:rsidRDefault="00F173C5" w:rsidP="00E92024">
            <w:pPr>
              <w:spacing w:before="0" w:after="0"/>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Pr>
                <w:color w:val="000000" w:themeColor="text1"/>
                <w:sz w:val="20"/>
                <w:szCs w:val="20"/>
              </w:rPr>
              <w:t>- Whole-GBR; NRM, river</w:t>
            </w:r>
          </w:p>
          <w:p w14:paraId="548A2BAB" w14:textId="77777777" w:rsidR="00F173C5" w:rsidRDefault="00F173C5" w:rsidP="00E92024">
            <w:pPr>
              <w:spacing w:before="0" w:after="0"/>
              <w:jc w:val="left"/>
              <w:cnfStyle w:val="000000000000" w:firstRow="0" w:lastRow="0" w:firstColumn="0" w:lastColumn="0" w:oddVBand="0" w:evenVBand="0" w:oddHBand="0" w:evenHBand="0" w:firstRowFirstColumn="0" w:firstRowLastColumn="0" w:lastRowFirstColumn="0" w:lastRowLastColumn="0"/>
              <w:rPr>
                <w:b/>
                <w:color w:val="000000" w:themeColor="text1"/>
                <w:sz w:val="20"/>
                <w:szCs w:val="20"/>
              </w:rPr>
            </w:pPr>
            <w:r>
              <w:rPr>
                <w:color w:val="000000" w:themeColor="text1"/>
                <w:sz w:val="20"/>
                <w:szCs w:val="20"/>
              </w:rPr>
              <w:t>- seasonal or multi-seasonal</w:t>
            </w:r>
          </w:p>
        </w:tc>
      </w:tr>
      <w:tr w:rsidR="00F173C5" w14:paraId="73B84F8C" w14:textId="77777777" w:rsidTr="00E92024">
        <w:tc>
          <w:tcPr>
            <w:cnfStyle w:val="001000000000" w:firstRow="0" w:lastRow="0" w:firstColumn="1" w:lastColumn="0" w:oddVBand="0" w:evenVBand="0" w:oddHBand="0" w:evenHBand="0" w:firstRowFirstColumn="0" w:firstRowLastColumn="0" w:lastRowFirstColumn="0" w:lastRowLastColumn="0"/>
            <w:tcW w:w="2093" w:type="dxa"/>
            <w:hideMark/>
          </w:tcPr>
          <w:p w14:paraId="26CF365C" w14:textId="77777777" w:rsidR="00F173C5" w:rsidRDefault="00F173C5" w:rsidP="00E92024">
            <w:pPr>
              <w:spacing w:before="0" w:after="0"/>
              <w:jc w:val="left"/>
              <w:rPr>
                <w:b w:val="0"/>
                <w:color w:val="000000" w:themeColor="text1"/>
                <w:sz w:val="20"/>
                <w:szCs w:val="20"/>
              </w:rPr>
            </w:pPr>
            <w:r>
              <w:rPr>
                <w:color w:val="000000" w:themeColor="text1"/>
                <w:sz w:val="20"/>
                <w:szCs w:val="20"/>
              </w:rPr>
              <w:t>Potential river plume risk maps (in development)</w:t>
            </w:r>
          </w:p>
        </w:tc>
        <w:tc>
          <w:tcPr>
            <w:tcW w:w="4394" w:type="dxa"/>
            <w:hideMark/>
          </w:tcPr>
          <w:p w14:paraId="76651FEA" w14:textId="77777777" w:rsidR="00F173C5" w:rsidRDefault="00F173C5" w:rsidP="00E92024">
            <w:pPr>
              <w:spacing w:before="0" w:after="0"/>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Pr>
                <w:color w:val="000000" w:themeColor="text1"/>
                <w:sz w:val="20"/>
                <w:szCs w:val="20"/>
              </w:rPr>
              <w:t>Preliminary product aiming to evaluate the ecological risk of GBR ecosystems from river plume exposure</w:t>
            </w:r>
          </w:p>
        </w:tc>
        <w:tc>
          <w:tcPr>
            <w:tcW w:w="2755" w:type="dxa"/>
            <w:hideMark/>
          </w:tcPr>
          <w:p w14:paraId="20865290" w14:textId="77777777" w:rsidR="00F173C5" w:rsidRDefault="00F173C5" w:rsidP="00E92024">
            <w:pPr>
              <w:spacing w:before="0" w:after="0"/>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Pr>
                <w:color w:val="000000" w:themeColor="text1"/>
                <w:sz w:val="20"/>
                <w:szCs w:val="20"/>
              </w:rPr>
              <w:t>- Whole-GBR; NRM, river</w:t>
            </w:r>
          </w:p>
          <w:p w14:paraId="5C1A3035" w14:textId="77777777" w:rsidR="00F173C5" w:rsidRDefault="00F173C5" w:rsidP="00E92024">
            <w:pPr>
              <w:spacing w:before="0" w:after="0"/>
              <w:jc w:val="left"/>
              <w:cnfStyle w:val="000000000000" w:firstRow="0" w:lastRow="0" w:firstColumn="0" w:lastColumn="0" w:oddVBand="0" w:evenVBand="0" w:oddHBand="0" w:evenHBand="0" w:firstRowFirstColumn="0" w:firstRowLastColumn="0" w:lastRowFirstColumn="0" w:lastRowLastColumn="0"/>
              <w:rPr>
                <w:b/>
                <w:color w:val="000000" w:themeColor="text1"/>
                <w:sz w:val="20"/>
                <w:szCs w:val="20"/>
              </w:rPr>
            </w:pPr>
            <w:r>
              <w:rPr>
                <w:color w:val="000000" w:themeColor="text1"/>
                <w:sz w:val="20"/>
                <w:szCs w:val="20"/>
              </w:rPr>
              <w:t>- Daily, weekly and seasonal or multi-seasonal (frequency of occurrence)</w:t>
            </w:r>
          </w:p>
        </w:tc>
      </w:tr>
      <w:tr w:rsidR="006B5CE6" w14:paraId="2C235866" w14:textId="77777777" w:rsidTr="00E92024">
        <w:tc>
          <w:tcPr>
            <w:cnfStyle w:val="001000000000" w:firstRow="0" w:lastRow="0" w:firstColumn="1" w:lastColumn="0" w:oddVBand="0" w:evenVBand="0" w:oddHBand="0" w:evenHBand="0" w:firstRowFirstColumn="0" w:firstRowLastColumn="0" w:lastRowFirstColumn="0" w:lastRowLastColumn="0"/>
            <w:tcW w:w="2093" w:type="dxa"/>
            <w:hideMark/>
          </w:tcPr>
          <w:p w14:paraId="00D09617" w14:textId="77777777" w:rsidR="00F173C5" w:rsidRDefault="00F173C5" w:rsidP="00E92024">
            <w:pPr>
              <w:spacing w:before="0" w:after="0"/>
              <w:jc w:val="left"/>
              <w:rPr>
                <w:b w:val="0"/>
                <w:color w:val="000000" w:themeColor="text1"/>
                <w:sz w:val="20"/>
                <w:szCs w:val="20"/>
              </w:rPr>
            </w:pPr>
            <w:r>
              <w:rPr>
                <w:color w:val="000000" w:themeColor="text1"/>
                <w:sz w:val="20"/>
                <w:szCs w:val="20"/>
              </w:rPr>
              <w:t xml:space="preserve">Exposure Assessment of the coral reefs and seagrass beds </w:t>
            </w:r>
          </w:p>
        </w:tc>
        <w:tc>
          <w:tcPr>
            <w:tcW w:w="4394" w:type="dxa"/>
            <w:hideMark/>
          </w:tcPr>
          <w:p w14:paraId="5D1A96F1" w14:textId="77777777" w:rsidR="00F173C5" w:rsidRDefault="00F173C5" w:rsidP="00E92024">
            <w:pPr>
              <w:pStyle w:val="ListParagraph"/>
              <w:numPr>
                <w:ilvl w:val="0"/>
                <w:numId w:val="18"/>
              </w:numPr>
              <w:spacing w:before="0" w:after="0"/>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Pr>
                <w:color w:val="000000" w:themeColor="text1"/>
                <w:sz w:val="20"/>
                <w:szCs w:val="20"/>
              </w:rPr>
              <w:t xml:space="preserve">Assess the exposure of key GBR ecosystems to plume exposure and potential risk from the river plume exposure.  </w:t>
            </w:r>
          </w:p>
          <w:p w14:paraId="601D8A4B" w14:textId="77777777" w:rsidR="00F173C5" w:rsidRDefault="00F173C5" w:rsidP="00E92024">
            <w:pPr>
              <w:pStyle w:val="ListParagraph"/>
              <w:numPr>
                <w:ilvl w:val="0"/>
                <w:numId w:val="18"/>
              </w:numPr>
              <w:spacing w:before="0" w:after="0"/>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Pr>
                <w:color w:val="000000" w:themeColor="text1"/>
                <w:sz w:val="20"/>
                <w:szCs w:val="20"/>
              </w:rPr>
              <w:t>Expressed simply as the area (km</w:t>
            </w:r>
            <w:r>
              <w:rPr>
                <w:color w:val="000000" w:themeColor="text1"/>
                <w:sz w:val="20"/>
                <w:szCs w:val="20"/>
                <w:vertAlign w:val="superscript"/>
              </w:rPr>
              <w:t>2</w:t>
            </w:r>
            <w:r>
              <w:rPr>
                <w:color w:val="000000" w:themeColor="text1"/>
                <w:sz w:val="20"/>
                <w:szCs w:val="20"/>
              </w:rPr>
              <w:t>) and percentage (%) of coral reefs and seagrass meadows exposed</w:t>
            </w:r>
          </w:p>
          <w:p w14:paraId="684F5661" w14:textId="77777777" w:rsidR="00F173C5" w:rsidRDefault="00F173C5" w:rsidP="00E92024">
            <w:pPr>
              <w:pStyle w:val="ListParagraph"/>
              <w:numPr>
                <w:ilvl w:val="0"/>
                <w:numId w:val="18"/>
              </w:numPr>
              <w:spacing w:before="0" w:after="0"/>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Pr>
                <w:color w:val="000000" w:themeColor="text1"/>
                <w:sz w:val="20"/>
                <w:szCs w:val="20"/>
              </w:rPr>
              <w:t>Assume that historical reef and coral shapefiles can be used to assess the coral and seagrass location (stable over the years)</w:t>
            </w:r>
          </w:p>
        </w:tc>
        <w:tc>
          <w:tcPr>
            <w:tcW w:w="2755" w:type="dxa"/>
            <w:hideMark/>
          </w:tcPr>
          <w:p w14:paraId="46B1C019" w14:textId="77777777" w:rsidR="00F173C5" w:rsidRDefault="00F173C5" w:rsidP="00E92024">
            <w:pPr>
              <w:spacing w:before="0" w:after="0"/>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Pr>
                <w:color w:val="000000" w:themeColor="text1"/>
                <w:sz w:val="20"/>
                <w:szCs w:val="20"/>
              </w:rPr>
              <w:t>Whole-GBR; NRM; ecosystem</w:t>
            </w:r>
          </w:p>
        </w:tc>
      </w:tr>
    </w:tbl>
    <w:p w14:paraId="6303084F" w14:textId="317D75A2" w:rsidR="00F173C5" w:rsidRDefault="00C22666" w:rsidP="00C22666">
      <w:pPr>
        <w:rPr>
          <w:rFonts w:eastAsia="Calibri"/>
          <w:lang w:val="en-GB" w:eastAsia="en-US"/>
        </w:rPr>
      </w:pPr>
      <w:r>
        <w:rPr>
          <w:rFonts w:eastAsia="Calibri"/>
          <w:lang w:val="en-GB" w:eastAsia="en-US"/>
        </w:rPr>
        <w:t>*results presented in Water Quality section.</w:t>
      </w:r>
    </w:p>
    <w:p w14:paraId="0662B4F1" w14:textId="675E89AF" w:rsidR="00F173C5" w:rsidRPr="00D47A52" w:rsidRDefault="00F173C5" w:rsidP="00B46AF9">
      <w:pPr>
        <w:pStyle w:val="Heading2"/>
      </w:pPr>
      <w:bookmarkStart w:id="204" w:name="_Ref433187582"/>
      <w:bookmarkStart w:id="205" w:name="_Toc443299489"/>
      <w:bookmarkStart w:id="206" w:name="_Toc443299702"/>
      <w:bookmarkStart w:id="207" w:name="_Toc454304719"/>
      <w:r w:rsidRPr="00D47A52">
        <w:t xml:space="preserve">GBR </w:t>
      </w:r>
      <w:r w:rsidR="00BF586F">
        <w:t>r</w:t>
      </w:r>
      <w:r w:rsidRPr="00D47A52">
        <w:t>iver plume and plume water type maps</w:t>
      </w:r>
      <w:bookmarkEnd w:id="204"/>
      <w:bookmarkEnd w:id="205"/>
      <w:bookmarkEnd w:id="206"/>
      <w:bookmarkEnd w:id="207"/>
    </w:p>
    <w:p w14:paraId="13C426CB" w14:textId="16B1CDD8" w:rsidR="00F173C5" w:rsidRPr="009A7C0A" w:rsidRDefault="00F173C5" w:rsidP="00F173C5">
      <w:pPr>
        <w:spacing w:after="120"/>
        <w:rPr>
          <w:b/>
        </w:rPr>
      </w:pPr>
      <w:r>
        <w:t>Following recommendations from the previous MMP report,</w:t>
      </w:r>
      <w:r w:rsidRPr="00741AA6">
        <w:t xml:space="preserve"> we </w:t>
      </w:r>
      <w:r>
        <w:t>chose</w:t>
      </w:r>
      <w:r w:rsidRPr="00741AA6">
        <w:t xml:space="preserve"> to map marine areas exposed to river plumes using MODIS true colo</w:t>
      </w:r>
      <w:r w:rsidR="00BF586F">
        <w:t>u</w:t>
      </w:r>
      <w:r w:rsidRPr="00741AA6">
        <w:t xml:space="preserve">r </w:t>
      </w:r>
      <w:r w:rsidR="00BF586F">
        <w:t xml:space="preserve">(TC) </w:t>
      </w:r>
      <w:r w:rsidRPr="00741AA6">
        <w:t>images and the</w:t>
      </w:r>
      <w:r w:rsidRPr="000A6183">
        <w:rPr>
          <w:b/>
        </w:rPr>
        <w:t xml:space="preserve"> </w:t>
      </w:r>
      <w:r w:rsidRPr="00933636">
        <w:t>TC method extensively presented in Álvarez-Romero et al. (2013), and used in Devlin et al. (2013) and Petus et al. (2014b). The TC method is based on classification of spectrally enhanced quasi-true colour MODIS images (Álvarez-Romero et al., 2013). This method exploits the differences in colour between</w:t>
      </w:r>
      <w:r w:rsidRPr="006F7B9C">
        <w:t xml:space="preserve"> the turbid river plumes and the marine ambient water, and between respective water type inside the river plumes (Álvarez-Romero et al., 2013)</w:t>
      </w:r>
      <w:r>
        <w:t>, and is described below.</w:t>
      </w:r>
      <w:r w:rsidRPr="006F7B9C">
        <w:t xml:space="preserve"> </w:t>
      </w:r>
      <w:r w:rsidRPr="00514DD3">
        <w:rPr>
          <w:b/>
        </w:rPr>
        <w:t xml:space="preserve"> </w:t>
      </w:r>
    </w:p>
    <w:p w14:paraId="6710F7C9" w14:textId="77777777" w:rsidR="00F173C5" w:rsidRPr="002A307B" w:rsidRDefault="00F173C5" w:rsidP="002A307B">
      <w:pPr>
        <w:rPr>
          <w:i/>
        </w:rPr>
      </w:pPr>
      <w:r w:rsidRPr="002A307B">
        <w:rPr>
          <w:i/>
        </w:rPr>
        <w:t xml:space="preserve">Supervised classification using spectral signatures </w:t>
      </w:r>
    </w:p>
    <w:p w14:paraId="10FEC326" w14:textId="77777777" w:rsidR="00F173C5" w:rsidRDefault="00F173C5" w:rsidP="00F173C5">
      <w:r>
        <w:t>D</w:t>
      </w:r>
      <w:r w:rsidRPr="0093769C">
        <w:t xml:space="preserve">aily MODIS Level-0 data </w:t>
      </w:r>
      <w:r>
        <w:t>are</w:t>
      </w:r>
      <w:r w:rsidRPr="0093769C">
        <w:t xml:space="preserve"> acquired from the NASA Ocean Colour website (http://oceancolour.gsfc.nasa.gov) and converted into true colour images with a spatial resolution of about 500 ×500 m using SeaWiFS Data Analysis System (SeaDAS; Baith et al., 2001). </w:t>
      </w:r>
      <w:r>
        <w:t xml:space="preserve">The true-colour images are then spectrally enhanced (from red-green-blue to hue-saturation-intensity colour system) and classified to six colour categories through a supervised classification using spectral signatures from plume water in the GBR. The six colour classes are further reclassified into three </w:t>
      </w:r>
      <w:r>
        <w:lastRenderedPageBreak/>
        <w:t xml:space="preserve">flood plume water types (primary, secondary, tertiary) corresponding to the three water types defined by e.g., Devlin and Schaffelke (2009) and Devlin </w:t>
      </w:r>
      <w:r w:rsidRPr="002503FD">
        <w:t xml:space="preserve">et al. (2012a). </w:t>
      </w:r>
    </w:p>
    <w:p w14:paraId="18913637" w14:textId="77777777" w:rsidR="00F173C5" w:rsidRPr="002A307B" w:rsidRDefault="00F173C5" w:rsidP="002A307B">
      <w:pPr>
        <w:rPr>
          <w:i/>
        </w:rPr>
      </w:pPr>
      <w:r w:rsidRPr="002A307B">
        <w:rPr>
          <w:i/>
        </w:rPr>
        <w:t>Production of weekly Plume water type maps</w:t>
      </w:r>
    </w:p>
    <w:p w14:paraId="63D5AABD" w14:textId="6D55AF3C" w:rsidR="00121711" w:rsidRPr="00121711" w:rsidRDefault="00121711" w:rsidP="006C4A6B">
      <w:pPr>
        <w:rPr>
          <w:rFonts w:ascii="Calibri" w:eastAsia="Calibri" w:hAnsi="Calibri" w:cs="Times New Roman"/>
          <w:lang w:val="fr-FR" w:eastAsia="en-US"/>
        </w:rPr>
      </w:pPr>
      <w:r w:rsidRPr="00121711">
        <w:rPr>
          <w:rFonts w:eastAsia="Calibri"/>
        </w:rPr>
        <w:t xml:space="preserve">Three distinct plume water types have been described within GBR river plumes (from the inshore to the offshore boundary of river plumes). They are characterised by varying salinity levels, spectral properties, colour, and WQ concentrations summarised in </w:t>
      </w:r>
      <w:r w:rsidR="006C4A6B">
        <w:rPr>
          <w:rFonts w:eastAsia="Calibri"/>
        </w:rPr>
        <w:t>Table 5-2</w:t>
      </w:r>
      <w:r w:rsidRPr="00121711">
        <w:rPr>
          <w:rFonts w:ascii="Calibri" w:eastAsia="Calibri" w:hAnsi="Calibri" w:cs="Times New Roman"/>
          <w:lang w:eastAsia="en-US"/>
        </w:rPr>
        <w:t xml:space="preserve"> (</w:t>
      </w:r>
      <w:r>
        <w:t>Devlin et al. 2</w:t>
      </w:r>
      <w:r w:rsidRPr="00121711">
        <w:rPr>
          <w:lang w:val="fr-FR"/>
        </w:rPr>
        <w:t>012a, Álvarez-Romero et al. 2013 and Petus et al. 2014b)</w:t>
      </w:r>
      <w:r w:rsidRPr="00121711">
        <w:rPr>
          <w:rFonts w:ascii="Calibri" w:eastAsia="Calibri" w:hAnsi="Calibri" w:cs="Times New Roman"/>
          <w:lang w:val="fr-FR" w:eastAsia="en-US"/>
        </w:rPr>
        <w:t xml:space="preserve">. </w:t>
      </w:r>
    </w:p>
    <w:p w14:paraId="15D9924E" w14:textId="4248B23A" w:rsidR="00F173C5" w:rsidRDefault="00F173C5" w:rsidP="006C4A6B">
      <w:r>
        <w:t xml:space="preserve">The sediment-dominated waters or primary water type are defined as corresponding to colour classes 1 to 4 of Álvarez-Romero et al. (2013). The </w:t>
      </w:r>
      <w:r w:rsidR="00E92024">
        <w:t>C</w:t>
      </w:r>
      <w:r>
        <w:t>hl-a-dominated waters or secondary water type are defined as corresponding to the bluish-green waters (i.e., colour class 5 from Álvarez-Romero et al. 2013) and the tertiary water type is defined as corresponding to the colour class 6 of Álvarez-Romero et al. (2013). The full extent of the plume is defined as the combination of the Primary; Secondary an</w:t>
      </w:r>
      <w:r w:rsidR="00121711">
        <w:t xml:space="preserve">d Tertiary plume water surfaces, described below and in </w:t>
      </w:r>
      <w:r w:rsidR="00B954A0">
        <w:t>Table</w:t>
      </w:r>
      <w:r w:rsidR="006C4A6B">
        <w:t xml:space="preserve"> 5-2</w:t>
      </w:r>
      <w:r w:rsidR="00121711">
        <w:t>.</w:t>
      </w:r>
    </w:p>
    <w:p w14:paraId="2D26CC72" w14:textId="77777777" w:rsidR="00121711" w:rsidRPr="00E92024" w:rsidRDefault="00121711" w:rsidP="00121711">
      <w:pPr>
        <w:pStyle w:val="ListParagraph"/>
        <w:numPr>
          <w:ilvl w:val="0"/>
          <w:numId w:val="28"/>
        </w:numPr>
        <w:spacing w:before="0" w:after="120"/>
        <w:ind w:left="1077" w:hanging="357"/>
        <w:contextualSpacing w:val="0"/>
        <w:rPr>
          <w:rFonts w:ascii="Calibri" w:eastAsia="Calibri" w:hAnsi="Calibri" w:cs="Times New Roman"/>
          <w:color w:val="000000" w:themeColor="text1"/>
          <w:lang w:eastAsia="en-US"/>
        </w:rPr>
      </w:pPr>
      <w:r w:rsidRPr="00E92024">
        <w:rPr>
          <w:rFonts w:ascii="Calibri" w:eastAsia="Calibri" w:hAnsi="Calibri" w:cs="Times New Roman"/>
          <w:color w:val="000000" w:themeColor="text1"/>
          <w:lang w:eastAsia="en-US"/>
        </w:rPr>
        <w:t xml:space="preserve">The Primary water type presents very high turbidity, low salinity (0 to 10; Devlin et al., 2010), and very high values of CDOM and Total Suspended Sediment (TSS). Turbidity levels limit light penetration in Primary waters, inhibiting primary production and limiting </w:t>
      </w:r>
      <w:r>
        <w:rPr>
          <w:rFonts w:ascii="Calibri" w:eastAsia="Calibri" w:hAnsi="Calibri" w:cs="Times New Roman"/>
          <w:color w:val="000000" w:themeColor="text1"/>
          <w:lang w:eastAsia="en-US"/>
        </w:rPr>
        <w:t>Chl</w:t>
      </w:r>
      <w:r w:rsidRPr="00E92024">
        <w:rPr>
          <w:rFonts w:ascii="Calibri" w:eastAsia="Calibri" w:hAnsi="Calibri" w:cs="Times New Roman"/>
          <w:color w:val="000000" w:themeColor="text1"/>
          <w:lang w:eastAsia="en-US"/>
        </w:rPr>
        <w:t xml:space="preserve">-a concentration. </w:t>
      </w:r>
    </w:p>
    <w:p w14:paraId="447DFA52" w14:textId="77777777" w:rsidR="00121711" w:rsidRPr="00E92024" w:rsidRDefault="00121711" w:rsidP="00121711">
      <w:pPr>
        <w:pStyle w:val="ListParagraph"/>
        <w:numPr>
          <w:ilvl w:val="0"/>
          <w:numId w:val="28"/>
        </w:numPr>
        <w:spacing w:before="0" w:after="120"/>
        <w:ind w:left="1077" w:hanging="357"/>
        <w:contextualSpacing w:val="0"/>
        <w:rPr>
          <w:rFonts w:ascii="Calibri" w:eastAsia="Calibri" w:hAnsi="Calibri" w:cs="Times New Roman"/>
          <w:color w:val="000000" w:themeColor="text1"/>
          <w:lang w:eastAsia="en-US"/>
        </w:rPr>
      </w:pPr>
      <w:r w:rsidRPr="00E92024">
        <w:rPr>
          <w:rFonts w:ascii="Calibri" w:eastAsia="Calibri" w:hAnsi="Calibri" w:cs="Times New Roman"/>
          <w:color w:val="000000" w:themeColor="text1"/>
          <w:lang w:eastAsia="en-US"/>
        </w:rPr>
        <w:t xml:space="preserve">The Secondary water type is characterised by intermediate salinity, elevated CDOM concentrations, and reduced TSS due to sedimentation (Bainbridge et al., 2012). In this water type (middle salinity range: 10 to 25; Devlin et al., 2010), the phytoplankton growth is prompted by the increased light (due to lower TSS) and high nutrient availability delivered by the river plume. </w:t>
      </w:r>
    </w:p>
    <w:p w14:paraId="2FF8EB84" w14:textId="6C756F91" w:rsidR="00121711" w:rsidRDefault="00121711" w:rsidP="00121711">
      <w:pPr>
        <w:pStyle w:val="ListParagraph"/>
        <w:numPr>
          <w:ilvl w:val="0"/>
          <w:numId w:val="28"/>
        </w:numPr>
        <w:spacing w:before="0" w:after="120"/>
        <w:ind w:left="1077" w:hanging="357"/>
        <w:contextualSpacing w:val="0"/>
        <w:rPr>
          <w:rFonts w:ascii="Calibri" w:eastAsia="Calibri" w:hAnsi="Calibri" w:cs="Times New Roman"/>
          <w:color w:val="000000" w:themeColor="text1"/>
          <w:lang w:eastAsia="en-US"/>
        </w:rPr>
      </w:pPr>
      <w:r w:rsidRPr="00E92024">
        <w:rPr>
          <w:rFonts w:ascii="Calibri" w:eastAsia="Calibri" w:hAnsi="Calibri" w:cs="Times New Roman"/>
          <w:color w:val="000000" w:themeColor="text1"/>
          <w:lang w:eastAsia="en-US"/>
        </w:rPr>
        <w:t xml:space="preserve">The Tertiary water type occupies the external region of the river plume. It exhibits no or low TSS associated with the river plume, and above-ambient concentrations of </w:t>
      </w:r>
      <w:r>
        <w:rPr>
          <w:rFonts w:ascii="Calibri" w:eastAsia="Calibri" w:hAnsi="Calibri" w:cs="Times New Roman"/>
          <w:color w:val="000000" w:themeColor="text1"/>
          <w:lang w:eastAsia="en-US"/>
        </w:rPr>
        <w:t>Chl</w:t>
      </w:r>
      <w:r w:rsidRPr="00E92024">
        <w:rPr>
          <w:rFonts w:ascii="Calibri" w:eastAsia="Calibri" w:hAnsi="Calibri" w:cs="Times New Roman"/>
          <w:color w:val="000000" w:themeColor="text1"/>
          <w:lang w:eastAsia="en-US"/>
        </w:rPr>
        <w:t>-a and CDOM. This water type can be described as being the transition between Secondary water and marine ambient water, and present salinity lower than the marine waters (typically defined by salinity ≥ 35; e.g., Pinet, 2000).</w:t>
      </w:r>
    </w:p>
    <w:p w14:paraId="70158096" w14:textId="77777777" w:rsidR="00121711" w:rsidRDefault="00121711" w:rsidP="00121711">
      <w:pPr>
        <w:rPr>
          <w:color w:val="000000" w:themeColor="text1"/>
        </w:rPr>
      </w:pPr>
      <w:r w:rsidRPr="009A6E42">
        <w:rPr>
          <w:color w:val="000000" w:themeColor="text1"/>
        </w:rPr>
        <w:t xml:space="preserve">This supervised classification was used to classify 9 years of daily MODIS images (from December 2003 to April 2014 and focused on the summer wet season i.e., December to April inclusive). </w:t>
      </w:r>
      <w:r w:rsidRPr="0049273C">
        <w:t>Weekly plume water composites were</w:t>
      </w:r>
      <w:r w:rsidRPr="009A6E42">
        <w:rPr>
          <w:color w:val="000000" w:themeColor="text1"/>
        </w:rPr>
        <w:t xml:space="preserve"> then created to minimise the image area contaminated by dense cloud cover and intense sun glint (Álvarez-Romero et al. 2013). </w:t>
      </w:r>
    </w:p>
    <w:p w14:paraId="11DE785A" w14:textId="77777777" w:rsidR="00121711" w:rsidRDefault="00121711" w:rsidP="00121711">
      <w:pPr>
        <w:pStyle w:val="Caption"/>
      </w:pPr>
      <w:bookmarkStart w:id="208" w:name="_Ref428188445"/>
      <w:r>
        <w:br w:type="page"/>
      </w:r>
    </w:p>
    <w:p w14:paraId="7B6FE49E" w14:textId="0913F471" w:rsidR="00121711" w:rsidRDefault="00121711" w:rsidP="00121711">
      <w:pPr>
        <w:pStyle w:val="Caption"/>
      </w:pPr>
      <w:bookmarkStart w:id="209" w:name="_Toc454304621"/>
      <w:r>
        <w:lastRenderedPageBreak/>
        <w:t xml:space="preserve">Table </w:t>
      </w:r>
      <w:r>
        <w:fldChar w:fldCharType="begin"/>
      </w:r>
      <w:r>
        <w:instrText xml:space="preserve"> STYLEREF 1 \s </w:instrText>
      </w:r>
      <w:r>
        <w:fldChar w:fldCharType="separate"/>
      </w:r>
      <w:r w:rsidR="000E22F3">
        <w:rPr>
          <w:noProof/>
        </w:rPr>
        <w:t>5</w:t>
      </w:r>
      <w:r>
        <w:fldChar w:fldCharType="end"/>
      </w:r>
      <w:r>
        <w:noBreakHyphen/>
      </w:r>
      <w:r>
        <w:fldChar w:fldCharType="begin"/>
      </w:r>
      <w:r>
        <w:instrText xml:space="preserve"> SEQ Table \* ARABIC \s 1 </w:instrText>
      </w:r>
      <w:r>
        <w:fldChar w:fldCharType="separate"/>
      </w:r>
      <w:r w:rsidR="000E22F3">
        <w:rPr>
          <w:noProof/>
        </w:rPr>
        <w:t>2</w:t>
      </w:r>
      <w:r>
        <w:fldChar w:fldCharType="end"/>
      </w:r>
      <w:bookmarkEnd w:id="208"/>
      <w:r>
        <w:t xml:space="preserve">: Plume water types as described in e.g., Devlin et al. </w:t>
      </w:r>
      <w:r w:rsidRPr="00C8427E">
        <w:t xml:space="preserve">(2012a), Álvarez-Romero et al. </w:t>
      </w:r>
      <w:r>
        <w:t>(2013) and Petus et al (2014b) and detailing the water quality and optical properties (e.g., Clarke et al.,1970; Morel and Prieur, 1977; Froidefond et al., 2002; McClain, 2009), and the mean TSS, Chl-a and Kd(PAR) which define the plume characteristics within each plume type concentrations (modified from Devlin et al., 2013b).</w:t>
      </w:r>
      <w:bookmarkEnd w:id="209"/>
    </w:p>
    <w:tbl>
      <w:tblPr>
        <w:tblStyle w:val="LightShading"/>
        <w:tblW w:w="5000" w:type="pct"/>
        <w:tblBorders>
          <w:insideH w:val="single" w:sz="4" w:space="0" w:color="auto"/>
        </w:tblBorders>
        <w:tblLayout w:type="fixed"/>
        <w:tblLook w:val="06A0" w:firstRow="1" w:lastRow="0" w:firstColumn="1" w:lastColumn="0" w:noHBand="1" w:noVBand="1"/>
        <w:tblCaption w:val="Table 5-2"/>
        <w:tblDescription w:val="Plume water types as described in e.g., Devlin et al. (2012a), Álvarez-Romero et al. (2013) and Petus et al (2014b) and detailing the water quality and optical properties (e.g., Clarke et al.,1970; Morel and Prieur,1977; Froidefond et al., 2002; McClain, 2009), and the mean TSS, chl-a and Kd(PAR) which define the plume characteristics within each plume type concentrations (modified from Devlin et al., 2013b)."/>
      </w:tblPr>
      <w:tblGrid>
        <w:gridCol w:w="868"/>
        <w:gridCol w:w="630"/>
        <w:gridCol w:w="2754"/>
        <w:gridCol w:w="2695"/>
        <w:gridCol w:w="2296"/>
      </w:tblGrid>
      <w:tr w:rsidR="00121711" w:rsidRPr="00121711" w14:paraId="2EA680BC" w14:textId="77777777" w:rsidTr="00103A43">
        <w:trPr>
          <w:cnfStyle w:val="100000000000" w:firstRow="1" w:lastRow="0" w:firstColumn="0" w:lastColumn="0" w:oddVBand="0" w:evenVBand="0" w:oddHBand="0" w:evenHBand="0" w:firstRowFirstColumn="0" w:firstRowLastColumn="0" w:lastRowFirstColumn="0" w:lastRowLastColumn="0"/>
          <w:trHeight w:val="960"/>
        </w:trPr>
        <w:tc>
          <w:tcPr>
            <w:cnfStyle w:val="001000000000" w:firstRow="0" w:lastRow="0" w:firstColumn="1" w:lastColumn="0" w:oddVBand="0" w:evenVBand="0" w:oddHBand="0" w:evenHBand="0" w:firstRowFirstColumn="0" w:firstRowLastColumn="0" w:lastRowFirstColumn="0" w:lastRowLastColumn="0"/>
            <w:tcW w:w="469" w:type="pct"/>
            <w:hideMark/>
          </w:tcPr>
          <w:p w14:paraId="0EA26E0C" w14:textId="77777777" w:rsidR="00121711" w:rsidRPr="00121711" w:rsidRDefault="00121711" w:rsidP="00103A43">
            <w:pPr>
              <w:spacing w:before="0" w:after="0"/>
              <w:jc w:val="center"/>
              <w:rPr>
                <w:rFonts w:ascii="Calibri" w:hAnsi="Calibri" w:cs="Times New Roman"/>
                <w:sz w:val="20"/>
                <w:szCs w:val="20"/>
              </w:rPr>
            </w:pPr>
            <w:r w:rsidRPr="00121711">
              <w:rPr>
                <w:rFonts w:ascii="Calibri" w:hAnsi="Calibri" w:cs="Times New Roman"/>
                <w:sz w:val="20"/>
                <w:szCs w:val="20"/>
              </w:rPr>
              <w:t>Colour classes</w:t>
            </w:r>
          </w:p>
        </w:tc>
        <w:tc>
          <w:tcPr>
            <w:tcW w:w="341" w:type="pct"/>
            <w:hideMark/>
          </w:tcPr>
          <w:p w14:paraId="08648486" w14:textId="77777777" w:rsidR="00121711" w:rsidRPr="00121711" w:rsidRDefault="00121711" w:rsidP="002A307B">
            <w:pPr>
              <w:spacing w:before="0" w:after="0"/>
              <w:ind w:right="-203"/>
              <w:jc w:val="center"/>
              <w:cnfStyle w:val="100000000000" w:firstRow="1" w:lastRow="0" w:firstColumn="0" w:lastColumn="0" w:oddVBand="0" w:evenVBand="0" w:oddHBand="0" w:evenHBand="0" w:firstRowFirstColumn="0" w:firstRowLastColumn="0" w:lastRowFirstColumn="0" w:lastRowLastColumn="0"/>
              <w:rPr>
                <w:rFonts w:ascii="Calibri" w:hAnsi="Calibri" w:cs="Times New Roman"/>
                <w:sz w:val="20"/>
                <w:szCs w:val="20"/>
              </w:rPr>
            </w:pPr>
            <w:r w:rsidRPr="00121711">
              <w:rPr>
                <w:rFonts w:ascii="Calibri" w:hAnsi="Calibri" w:cs="Times New Roman"/>
                <w:sz w:val="20"/>
                <w:szCs w:val="20"/>
              </w:rPr>
              <w:t>Type</w:t>
            </w:r>
          </w:p>
        </w:tc>
        <w:tc>
          <w:tcPr>
            <w:tcW w:w="1490" w:type="pct"/>
            <w:hideMark/>
          </w:tcPr>
          <w:p w14:paraId="133CCB12" w14:textId="77777777" w:rsidR="00121711" w:rsidRPr="00121711" w:rsidRDefault="00121711" w:rsidP="00103A43">
            <w:pPr>
              <w:spacing w:before="0" w:after="0"/>
              <w:jc w:val="left"/>
              <w:cnfStyle w:val="100000000000" w:firstRow="1" w:lastRow="0" w:firstColumn="0" w:lastColumn="0" w:oddVBand="0" w:evenVBand="0" w:oddHBand="0" w:evenHBand="0" w:firstRowFirstColumn="0" w:firstRowLastColumn="0" w:lastRowFirstColumn="0" w:lastRowLastColumn="0"/>
              <w:rPr>
                <w:rFonts w:ascii="Calibri" w:hAnsi="Calibri" w:cs="Times New Roman"/>
                <w:sz w:val="20"/>
                <w:szCs w:val="20"/>
              </w:rPr>
            </w:pPr>
            <w:r w:rsidRPr="00121711">
              <w:rPr>
                <w:rFonts w:ascii="Calibri" w:hAnsi="Calibri" w:cs="Times New Roman"/>
                <w:sz w:val="20"/>
                <w:szCs w:val="20"/>
              </w:rPr>
              <w:t>Description</w:t>
            </w:r>
          </w:p>
        </w:tc>
        <w:tc>
          <w:tcPr>
            <w:tcW w:w="1458" w:type="pct"/>
            <w:hideMark/>
          </w:tcPr>
          <w:p w14:paraId="1E472278" w14:textId="77777777" w:rsidR="00121711" w:rsidRPr="00121711" w:rsidRDefault="00121711" w:rsidP="00103A43">
            <w:pPr>
              <w:spacing w:before="0" w:after="0"/>
              <w:jc w:val="left"/>
              <w:cnfStyle w:val="100000000000" w:firstRow="1" w:lastRow="0" w:firstColumn="0" w:lastColumn="0" w:oddVBand="0" w:evenVBand="0" w:oddHBand="0" w:evenHBand="0" w:firstRowFirstColumn="0" w:firstRowLastColumn="0" w:lastRowFirstColumn="0" w:lastRowLastColumn="0"/>
              <w:rPr>
                <w:rFonts w:ascii="Calibri" w:hAnsi="Calibri" w:cs="Times New Roman"/>
                <w:sz w:val="20"/>
                <w:szCs w:val="20"/>
              </w:rPr>
            </w:pPr>
            <w:r w:rsidRPr="00121711">
              <w:rPr>
                <w:rFonts w:ascii="Calibri" w:hAnsi="Calibri" w:cs="Times New Roman"/>
                <w:sz w:val="20"/>
                <w:szCs w:val="20"/>
              </w:rPr>
              <w:t>Colour properties</w:t>
            </w:r>
          </w:p>
        </w:tc>
        <w:tc>
          <w:tcPr>
            <w:tcW w:w="1242" w:type="pct"/>
            <w:hideMark/>
          </w:tcPr>
          <w:p w14:paraId="2A022086" w14:textId="77777777" w:rsidR="00121711" w:rsidRPr="00121711" w:rsidRDefault="00121711" w:rsidP="00103A43">
            <w:pPr>
              <w:spacing w:before="0" w:after="0"/>
              <w:jc w:val="left"/>
              <w:cnfStyle w:val="100000000000" w:firstRow="1" w:lastRow="0" w:firstColumn="0" w:lastColumn="0" w:oddVBand="0" w:evenVBand="0" w:oddHBand="0" w:evenHBand="0" w:firstRowFirstColumn="0" w:firstRowLastColumn="0" w:lastRowFirstColumn="0" w:lastRowLastColumn="0"/>
              <w:rPr>
                <w:rFonts w:ascii="Calibri" w:hAnsi="Calibri" w:cs="Times New Roman"/>
                <w:sz w:val="20"/>
                <w:szCs w:val="20"/>
                <w:lang w:val="fr-FR"/>
              </w:rPr>
            </w:pPr>
            <w:r w:rsidRPr="00121711">
              <w:rPr>
                <w:rFonts w:ascii="Calibri" w:hAnsi="Calibri" w:cs="Times New Roman"/>
                <w:sz w:val="20"/>
                <w:szCs w:val="20"/>
                <w:lang w:val="fr-FR"/>
              </w:rPr>
              <w:t>Mean concentrations (Devlin et al., 2013)</w:t>
            </w:r>
          </w:p>
        </w:tc>
      </w:tr>
      <w:tr w:rsidR="00121711" w:rsidRPr="00121711" w14:paraId="2FD0AB15" w14:textId="77777777" w:rsidTr="00103A43">
        <w:trPr>
          <w:trHeight w:val="1134"/>
        </w:trPr>
        <w:tc>
          <w:tcPr>
            <w:cnfStyle w:val="001000000000" w:firstRow="0" w:lastRow="0" w:firstColumn="1" w:lastColumn="0" w:oddVBand="0" w:evenVBand="0" w:oddHBand="0" w:evenHBand="0" w:firstRowFirstColumn="0" w:firstRowLastColumn="0" w:lastRowFirstColumn="0" w:lastRowLastColumn="0"/>
            <w:tcW w:w="469" w:type="pct"/>
            <w:textDirection w:val="btLr"/>
            <w:hideMark/>
          </w:tcPr>
          <w:p w14:paraId="44A56DC9" w14:textId="77777777" w:rsidR="00121711" w:rsidRPr="00121711" w:rsidRDefault="00121711" w:rsidP="00103A43">
            <w:pPr>
              <w:spacing w:before="0" w:after="0"/>
              <w:ind w:left="113" w:right="113"/>
              <w:jc w:val="center"/>
              <w:rPr>
                <w:rFonts w:ascii="Calibri" w:hAnsi="Calibri" w:cs="Times New Roman"/>
                <w:sz w:val="20"/>
                <w:szCs w:val="20"/>
              </w:rPr>
            </w:pPr>
            <w:r w:rsidRPr="00121711">
              <w:rPr>
                <w:rFonts w:ascii="Calibri" w:hAnsi="Calibri" w:cs="Times New Roman"/>
                <w:sz w:val="20"/>
                <w:szCs w:val="20"/>
              </w:rPr>
              <w:t>1 to 4</w:t>
            </w:r>
          </w:p>
        </w:tc>
        <w:tc>
          <w:tcPr>
            <w:tcW w:w="341" w:type="pct"/>
            <w:textDirection w:val="btLr"/>
            <w:hideMark/>
          </w:tcPr>
          <w:p w14:paraId="1971886C" w14:textId="77777777" w:rsidR="00121711" w:rsidRPr="00121711" w:rsidRDefault="00121711" w:rsidP="00103A43">
            <w:pPr>
              <w:spacing w:before="0" w:after="0"/>
              <w:ind w:left="113" w:right="113"/>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sz w:val="20"/>
                <w:szCs w:val="20"/>
              </w:rPr>
            </w:pPr>
            <w:r w:rsidRPr="00121711">
              <w:rPr>
                <w:rFonts w:ascii="Calibri" w:hAnsi="Calibri" w:cs="Times New Roman"/>
                <w:b/>
                <w:sz w:val="20"/>
                <w:szCs w:val="20"/>
              </w:rPr>
              <w:t>Primary</w:t>
            </w:r>
          </w:p>
        </w:tc>
        <w:tc>
          <w:tcPr>
            <w:tcW w:w="1490" w:type="pct"/>
            <w:hideMark/>
          </w:tcPr>
          <w:p w14:paraId="338B46E4" w14:textId="77777777" w:rsidR="00121711" w:rsidRPr="00121711" w:rsidRDefault="00121711" w:rsidP="00103A43">
            <w:pPr>
              <w:spacing w:before="0" w:after="0"/>
              <w:jc w:val="left"/>
              <w:cnfStyle w:val="000000000000" w:firstRow="0" w:lastRow="0" w:firstColumn="0" w:lastColumn="0" w:oddVBand="0" w:evenVBand="0" w:oddHBand="0" w:evenHBand="0" w:firstRowFirstColumn="0" w:firstRowLastColumn="0" w:lastRowFirstColumn="0" w:lastRowLastColumn="0"/>
              <w:rPr>
                <w:rFonts w:ascii="Calibri" w:hAnsi="Calibri" w:cs="Times New Roman"/>
                <w:sz w:val="20"/>
                <w:szCs w:val="20"/>
              </w:rPr>
            </w:pPr>
            <w:r w:rsidRPr="00121711">
              <w:rPr>
                <w:rFonts w:ascii="Calibri" w:hAnsi="Calibri" w:cs="Times New Roman"/>
                <w:sz w:val="20"/>
                <w:szCs w:val="20"/>
              </w:rPr>
              <w:t>Sediment-dominated waters: characterised by high values of CDOM and TSS, with TSS concentrations dropping out rapidly as the heavier particulate material flocculates and settles to the sea floor (Devlin and Brodie, 2005; Brodie and Waterhouse, 2009). Turbidity levels limit the light (K</w:t>
            </w:r>
            <w:r w:rsidRPr="00121711">
              <w:rPr>
                <w:rFonts w:ascii="Calibri" w:hAnsi="Calibri" w:cs="Times New Roman"/>
                <w:sz w:val="20"/>
                <w:szCs w:val="20"/>
                <w:vertAlign w:val="subscript"/>
              </w:rPr>
              <w:t>d</w:t>
            </w:r>
            <w:r w:rsidRPr="00121711">
              <w:rPr>
                <w:rFonts w:ascii="Calibri" w:hAnsi="Calibri" w:cs="Times New Roman"/>
                <w:sz w:val="20"/>
                <w:szCs w:val="20"/>
              </w:rPr>
              <w:t>PAR) in these low salinity waters, inhibiting production and limiting Chl-a concentrations.</w:t>
            </w:r>
          </w:p>
        </w:tc>
        <w:tc>
          <w:tcPr>
            <w:tcW w:w="1458" w:type="pct"/>
            <w:hideMark/>
          </w:tcPr>
          <w:p w14:paraId="012B6064" w14:textId="77777777" w:rsidR="00121711" w:rsidRPr="00121711" w:rsidRDefault="00121711" w:rsidP="00103A43">
            <w:pPr>
              <w:spacing w:before="0" w:after="0"/>
              <w:jc w:val="left"/>
              <w:cnfStyle w:val="000000000000" w:firstRow="0" w:lastRow="0" w:firstColumn="0" w:lastColumn="0" w:oddVBand="0" w:evenVBand="0" w:oddHBand="0" w:evenHBand="0" w:firstRowFirstColumn="0" w:firstRowLastColumn="0" w:lastRowFirstColumn="0" w:lastRowLastColumn="0"/>
              <w:rPr>
                <w:rFonts w:ascii="Calibri" w:hAnsi="Calibri" w:cs="Times New Roman"/>
                <w:sz w:val="20"/>
                <w:szCs w:val="20"/>
              </w:rPr>
            </w:pPr>
            <w:r w:rsidRPr="00121711">
              <w:rPr>
                <w:rFonts w:ascii="Calibri" w:hAnsi="Calibri" w:cs="Times New Roman"/>
                <w:sz w:val="20"/>
                <w:szCs w:val="20"/>
              </w:rPr>
              <w:t>Greenish-brown to beige waters: Sediment particles are highly reflective in the red to infra-red wavelengths of the light spectrum. Sediment-dominated waters have a distinctive brown/beige colour, depending upon the concentration and mineral composition of the sediments.</w:t>
            </w:r>
          </w:p>
        </w:tc>
        <w:tc>
          <w:tcPr>
            <w:tcW w:w="1242" w:type="pct"/>
            <w:hideMark/>
          </w:tcPr>
          <w:p w14:paraId="781D7B58" w14:textId="77777777" w:rsidR="00121711" w:rsidRPr="00121711" w:rsidRDefault="00121711" w:rsidP="00103A43">
            <w:pPr>
              <w:spacing w:before="0" w:after="0"/>
              <w:jc w:val="left"/>
              <w:cnfStyle w:val="000000000000" w:firstRow="0" w:lastRow="0" w:firstColumn="0" w:lastColumn="0" w:oddVBand="0" w:evenVBand="0" w:oddHBand="0" w:evenHBand="0" w:firstRowFirstColumn="0" w:firstRowLastColumn="0" w:lastRowFirstColumn="0" w:lastRowLastColumn="0"/>
              <w:rPr>
                <w:rFonts w:ascii="Calibri" w:hAnsi="Calibri" w:cs="Times New Roman"/>
                <w:sz w:val="20"/>
                <w:szCs w:val="20"/>
              </w:rPr>
            </w:pPr>
            <w:r w:rsidRPr="00121711">
              <w:rPr>
                <w:rFonts w:ascii="Calibri" w:hAnsi="Calibri" w:cs="Times New Roman"/>
                <w:sz w:val="20"/>
                <w:szCs w:val="20"/>
              </w:rPr>
              <w:t>TSS: 36.8±5.5 mg L</w:t>
            </w:r>
            <w:r w:rsidRPr="00121711">
              <w:rPr>
                <w:rFonts w:ascii="Calibri" w:hAnsi="Calibri" w:cs="Times New Roman"/>
                <w:sz w:val="20"/>
                <w:szCs w:val="20"/>
                <w:vertAlign w:val="superscript"/>
              </w:rPr>
              <w:t>-1</w:t>
            </w:r>
          </w:p>
          <w:p w14:paraId="1E11E6D1" w14:textId="77777777" w:rsidR="00121711" w:rsidRPr="00121711" w:rsidRDefault="00121711" w:rsidP="00103A43">
            <w:pPr>
              <w:spacing w:before="0" w:after="0"/>
              <w:jc w:val="left"/>
              <w:cnfStyle w:val="000000000000" w:firstRow="0" w:lastRow="0" w:firstColumn="0" w:lastColumn="0" w:oddVBand="0" w:evenVBand="0" w:oddHBand="0" w:evenHBand="0" w:firstRowFirstColumn="0" w:firstRowLastColumn="0" w:lastRowFirstColumn="0" w:lastRowLastColumn="0"/>
              <w:rPr>
                <w:rFonts w:ascii="Calibri" w:hAnsi="Calibri" w:cs="Times New Roman"/>
                <w:sz w:val="20"/>
                <w:szCs w:val="20"/>
                <w:lang w:val="fr-FR"/>
              </w:rPr>
            </w:pPr>
            <w:r w:rsidRPr="00121711">
              <w:rPr>
                <w:rFonts w:ascii="Calibri" w:hAnsi="Calibri" w:cs="Times New Roman"/>
                <w:sz w:val="20"/>
                <w:szCs w:val="20"/>
                <w:lang w:val="fr-FR"/>
              </w:rPr>
              <w:t xml:space="preserve">Chl-a: 0.98 ± 0.2 </w:t>
            </w:r>
            <w:r w:rsidRPr="00121711">
              <w:rPr>
                <w:rFonts w:ascii="Calibri" w:hAnsi="Calibri" w:cs="Times New Roman"/>
                <w:sz w:val="20"/>
                <w:szCs w:val="20"/>
              </w:rPr>
              <w:t>μ</w:t>
            </w:r>
            <w:r w:rsidRPr="00121711">
              <w:rPr>
                <w:rFonts w:ascii="Calibri" w:hAnsi="Calibri" w:cs="Times New Roman"/>
                <w:sz w:val="20"/>
                <w:szCs w:val="20"/>
                <w:lang w:val="fr-FR"/>
              </w:rPr>
              <w:t>g L</w:t>
            </w:r>
            <w:r>
              <w:rPr>
                <w:rFonts w:ascii="Calibri" w:hAnsi="Calibri" w:cs="Times New Roman"/>
                <w:sz w:val="20"/>
                <w:szCs w:val="20"/>
                <w:vertAlign w:val="superscript"/>
                <w:lang w:val="fr-FR"/>
              </w:rPr>
              <w:t xml:space="preserve">-1    </w:t>
            </w:r>
            <w:r w:rsidRPr="00121711">
              <w:rPr>
                <w:rFonts w:ascii="Calibri" w:hAnsi="Calibri" w:cs="Times New Roman"/>
                <w:sz w:val="20"/>
                <w:szCs w:val="20"/>
                <w:lang w:val="fr-FR"/>
              </w:rPr>
              <w:t>Kd(PAR): 0.73 ± 0.54 m</w:t>
            </w:r>
            <w:r w:rsidRPr="00121711">
              <w:rPr>
                <w:rFonts w:ascii="Calibri" w:hAnsi="Calibri" w:cs="Times New Roman"/>
                <w:sz w:val="20"/>
                <w:szCs w:val="20"/>
                <w:vertAlign w:val="superscript"/>
                <w:lang w:val="fr-FR"/>
              </w:rPr>
              <w:t>-1</w:t>
            </w:r>
          </w:p>
        </w:tc>
      </w:tr>
      <w:tr w:rsidR="00121711" w:rsidRPr="00121711" w14:paraId="161B0277" w14:textId="77777777" w:rsidTr="00103A43">
        <w:trPr>
          <w:trHeight w:val="2520"/>
        </w:trPr>
        <w:tc>
          <w:tcPr>
            <w:cnfStyle w:val="001000000000" w:firstRow="0" w:lastRow="0" w:firstColumn="1" w:lastColumn="0" w:oddVBand="0" w:evenVBand="0" w:oddHBand="0" w:evenHBand="0" w:firstRowFirstColumn="0" w:firstRowLastColumn="0" w:lastRowFirstColumn="0" w:lastRowLastColumn="0"/>
            <w:tcW w:w="469" w:type="pct"/>
            <w:textDirection w:val="btLr"/>
            <w:hideMark/>
          </w:tcPr>
          <w:p w14:paraId="733FFF38" w14:textId="77777777" w:rsidR="00121711" w:rsidRPr="00121711" w:rsidRDefault="00121711" w:rsidP="00103A43">
            <w:pPr>
              <w:spacing w:before="0" w:after="0"/>
              <w:ind w:left="113" w:right="113"/>
              <w:jc w:val="center"/>
              <w:rPr>
                <w:rFonts w:ascii="Calibri" w:hAnsi="Calibri" w:cs="Times New Roman"/>
                <w:sz w:val="20"/>
                <w:szCs w:val="20"/>
              </w:rPr>
            </w:pPr>
            <w:r w:rsidRPr="00121711">
              <w:rPr>
                <w:rFonts w:ascii="Calibri" w:hAnsi="Calibri" w:cs="Times New Roman"/>
                <w:sz w:val="20"/>
                <w:szCs w:val="20"/>
              </w:rPr>
              <w:t>5</w:t>
            </w:r>
          </w:p>
        </w:tc>
        <w:tc>
          <w:tcPr>
            <w:tcW w:w="341" w:type="pct"/>
            <w:textDirection w:val="btLr"/>
            <w:hideMark/>
          </w:tcPr>
          <w:p w14:paraId="792F0931" w14:textId="77777777" w:rsidR="00121711" w:rsidRPr="00121711" w:rsidRDefault="00121711" w:rsidP="00103A43">
            <w:pPr>
              <w:spacing w:before="0" w:after="0"/>
              <w:ind w:left="113" w:right="113"/>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sz w:val="20"/>
                <w:szCs w:val="20"/>
              </w:rPr>
            </w:pPr>
            <w:r w:rsidRPr="00121711">
              <w:rPr>
                <w:rFonts w:ascii="Calibri" w:hAnsi="Calibri" w:cs="Times New Roman"/>
                <w:b/>
                <w:sz w:val="20"/>
                <w:szCs w:val="20"/>
              </w:rPr>
              <w:t>Secondary</w:t>
            </w:r>
          </w:p>
        </w:tc>
        <w:tc>
          <w:tcPr>
            <w:tcW w:w="1490" w:type="pct"/>
            <w:hideMark/>
          </w:tcPr>
          <w:p w14:paraId="1C8094C3" w14:textId="77777777" w:rsidR="00121711" w:rsidRPr="00121711" w:rsidRDefault="00121711" w:rsidP="00103A43">
            <w:pPr>
              <w:spacing w:before="0" w:after="0"/>
              <w:jc w:val="left"/>
              <w:cnfStyle w:val="000000000000" w:firstRow="0" w:lastRow="0" w:firstColumn="0" w:lastColumn="0" w:oddVBand="0" w:evenVBand="0" w:oddHBand="0" w:evenHBand="0" w:firstRowFirstColumn="0" w:firstRowLastColumn="0" w:lastRowFirstColumn="0" w:lastRowLastColumn="0"/>
              <w:rPr>
                <w:rFonts w:ascii="Calibri" w:hAnsi="Calibri" w:cs="Times New Roman"/>
                <w:sz w:val="20"/>
                <w:szCs w:val="20"/>
              </w:rPr>
            </w:pPr>
            <w:r w:rsidRPr="00121711">
              <w:rPr>
                <w:rFonts w:ascii="Calibri" w:hAnsi="Calibri" w:cs="Times New Roman"/>
                <w:sz w:val="20"/>
                <w:szCs w:val="20"/>
              </w:rPr>
              <w:t>Chlorophyll-a-dominated waters: characterised by aelevated CDOM with reduced TSS due to sedimentation. In this region, the increased light in comparison to primary water type condition (but still under marine ambient conditions) and nutrient availability prompt phytoplankton growth measured by elevated Chl-a concentrations.</w:t>
            </w:r>
          </w:p>
        </w:tc>
        <w:tc>
          <w:tcPr>
            <w:tcW w:w="1458" w:type="pct"/>
            <w:hideMark/>
          </w:tcPr>
          <w:p w14:paraId="0BD7CF57" w14:textId="77777777" w:rsidR="00121711" w:rsidRPr="00121711" w:rsidRDefault="00121711" w:rsidP="00103A43">
            <w:pPr>
              <w:spacing w:before="0" w:after="0"/>
              <w:jc w:val="left"/>
              <w:cnfStyle w:val="000000000000" w:firstRow="0" w:lastRow="0" w:firstColumn="0" w:lastColumn="0" w:oddVBand="0" w:evenVBand="0" w:oddHBand="0" w:evenHBand="0" w:firstRowFirstColumn="0" w:firstRowLastColumn="0" w:lastRowFirstColumn="0" w:lastRowLastColumn="0"/>
              <w:rPr>
                <w:rFonts w:ascii="Calibri" w:hAnsi="Calibri" w:cs="Times New Roman"/>
                <w:sz w:val="20"/>
                <w:szCs w:val="20"/>
              </w:rPr>
            </w:pPr>
            <w:r w:rsidRPr="00121711">
              <w:rPr>
                <w:rFonts w:ascii="Calibri" w:hAnsi="Calibri" w:cs="Times New Roman"/>
                <w:sz w:val="20"/>
                <w:szCs w:val="20"/>
              </w:rPr>
              <w:t>Bluish-green waters: Due to this green pigment, chlorophyll /phytoplankton preferentially absorb the red and blue portions of the light spectrum (for photosynthesis) and reflect green light. Chl-a-dominated waters will appear from blue-green to green, depending upon the type and density of the phytoplankton population.</w:t>
            </w:r>
          </w:p>
        </w:tc>
        <w:tc>
          <w:tcPr>
            <w:tcW w:w="1242" w:type="pct"/>
            <w:hideMark/>
          </w:tcPr>
          <w:p w14:paraId="7139EF8E" w14:textId="77777777" w:rsidR="00121711" w:rsidRPr="00121711" w:rsidRDefault="00121711" w:rsidP="00103A43">
            <w:pPr>
              <w:spacing w:before="0" w:after="0"/>
              <w:jc w:val="left"/>
              <w:cnfStyle w:val="000000000000" w:firstRow="0" w:lastRow="0" w:firstColumn="0" w:lastColumn="0" w:oddVBand="0" w:evenVBand="0" w:oddHBand="0" w:evenHBand="0" w:firstRowFirstColumn="0" w:firstRowLastColumn="0" w:lastRowFirstColumn="0" w:lastRowLastColumn="0"/>
              <w:rPr>
                <w:rFonts w:ascii="Calibri" w:hAnsi="Calibri" w:cs="Times New Roman"/>
                <w:sz w:val="20"/>
                <w:szCs w:val="20"/>
                <w:vertAlign w:val="superscript"/>
              </w:rPr>
            </w:pPr>
            <w:r w:rsidRPr="00121711">
              <w:rPr>
                <w:rFonts w:ascii="Calibri" w:hAnsi="Calibri" w:cs="Times New Roman"/>
                <w:sz w:val="20"/>
                <w:szCs w:val="20"/>
              </w:rPr>
              <w:t>TSS:8.9 ± 18.1 mg l</w:t>
            </w:r>
            <w:r w:rsidRPr="00121711">
              <w:rPr>
                <w:rFonts w:ascii="Calibri" w:hAnsi="Calibri" w:cs="Times New Roman"/>
                <w:sz w:val="20"/>
                <w:szCs w:val="20"/>
                <w:vertAlign w:val="superscript"/>
              </w:rPr>
              <w:t>-1</w:t>
            </w:r>
          </w:p>
          <w:p w14:paraId="56A80834" w14:textId="77777777" w:rsidR="00121711" w:rsidRPr="00121711" w:rsidRDefault="00121711" w:rsidP="00103A43">
            <w:pPr>
              <w:spacing w:before="0" w:after="0"/>
              <w:jc w:val="left"/>
              <w:cnfStyle w:val="000000000000" w:firstRow="0" w:lastRow="0" w:firstColumn="0" w:lastColumn="0" w:oddVBand="0" w:evenVBand="0" w:oddHBand="0" w:evenHBand="0" w:firstRowFirstColumn="0" w:firstRowLastColumn="0" w:lastRowFirstColumn="0" w:lastRowLastColumn="0"/>
              <w:rPr>
                <w:rFonts w:ascii="Calibri" w:hAnsi="Calibri" w:cs="Times New Roman"/>
                <w:sz w:val="20"/>
                <w:szCs w:val="20"/>
                <w:vertAlign w:val="superscript"/>
              </w:rPr>
            </w:pPr>
            <w:r w:rsidRPr="00121711">
              <w:rPr>
                <w:rFonts w:ascii="Calibri" w:hAnsi="Calibri" w:cs="Times New Roman"/>
                <w:sz w:val="20"/>
                <w:szCs w:val="20"/>
              </w:rPr>
              <w:t>Chl-a: 1.3 ± 0.6 μg L</w:t>
            </w:r>
            <w:r w:rsidRPr="00121711">
              <w:rPr>
                <w:rFonts w:ascii="Calibri" w:hAnsi="Calibri" w:cs="Times New Roman"/>
                <w:sz w:val="20"/>
                <w:szCs w:val="20"/>
                <w:vertAlign w:val="superscript"/>
              </w:rPr>
              <w:t xml:space="preserve">-1  </w:t>
            </w:r>
          </w:p>
          <w:p w14:paraId="074FA935" w14:textId="77777777" w:rsidR="00121711" w:rsidRPr="00121711" w:rsidRDefault="00121711" w:rsidP="00103A43">
            <w:pPr>
              <w:spacing w:before="0" w:after="0"/>
              <w:jc w:val="left"/>
              <w:cnfStyle w:val="000000000000" w:firstRow="0" w:lastRow="0" w:firstColumn="0" w:lastColumn="0" w:oddVBand="0" w:evenVBand="0" w:oddHBand="0" w:evenHBand="0" w:firstRowFirstColumn="0" w:firstRowLastColumn="0" w:lastRowFirstColumn="0" w:lastRowLastColumn="0"/>
              <w:rPr>
                <w:rFonts w:ascii="Calibri" w:hAnsi="Calibri" w:cs="Times New Roman"/>
                <w:sz w:val="20"/>
                <w:szCs w:val="20"/>
              </w:rPr>
            </w:pPr>
            <w:r w:rsidRPr="00121711">
              <w:rPr>
                <w:rFonts w:ascii="Calibri" w:hAnsi="Calibri" w:cs="Times New Roman"/>
                <w:sz w:val="20"/>
                <w:szCs w:val="20"/>
              </w:rPr>
              <w:t>Kd(PAR): 0.39 ± 0.20 m</w:t>
            </w:r>
            <w:r w:rsidRPr="00121711">
              <w:rPr>
                <w:rFonts w:ascii="Calibri" w:hAnsi="Calibri" w:cs="Times New Roman"/>
                <w:sz w:val="20"/>
                <w:szCs w:val="20"/>
                <w:vertAlign w:val="superscript"/>
              </w:rPr>
              <w:t>-1</w:t>
            </w:r>
          </w:p>
        </w:tc>
      </w:tr>
      <w:tr w:rsidR="00121711" w:rsidRPr="00121711" w14:paraId="3BAEDC44" w14:textId="77777777" w:rsidTr="00103A43">
        <w:trPr>
          <w:trHeight w:val="2220"/>
        </w:trPr>
        <w:tc>
          <w:tcPr>
            <w:cnfStyle w:val="001000000000" w:firstRow="0" w:lastRow="0" w:firstColumn="1" w:lastColumn="0" w:oddVBand="0" w:evenVBand="0" w:oddHBand="0" w:evenHBand="0" w:firstRowFirstColumn="0" w:firstRowLastColumn="0" w:lastRowFirstColumn="0" w:lastRowLastColumn="0"/>
            <w:tcW w:w="469" w:type="pct"/>
            <w:textDirection w:val="btLr"/>
            <w:hideMark/>
          </w:tcPr>
          <w:p w14:paraId="253A4927" w14:textId="77777777" w:rsidR="00121711" w:rsidRPr="00121711" w:rsidRDefault="00121711" w:rsidP="00103A43">
            <w:pPr>
              <w:spacing w:before="0" w:after="0"/>
              <w:ind w:left="113" w:right="113"/>
              <w:jc w:val="center"/>
              <w:rPr>
                <w:rFonts w:ascii="Calibri" w:hAnsi="Calibri" w:cs="Times New Roman"/>
                <w:sz w:val="20"/>
                <w:szCs w:val="20"/>
              </w:rPr>
            </w:pPr>
            <w:r w:rsidRPr="00121711">
              <w:rPr>
                <w:rFonts w:ascii="Calibri" w:hAnsi="Calibri" w:cs="Times New Roman"/>
                <w:sz w:val="20"/>
                <w:szCs w:val="20"/>
              </w:rPr>
              <w:t>6</w:t>
            </w:r>
          </w:p>
        </w:tc>
        <w:tc>
          <w:tcPr>
            <w:tcW w:w="341" w:type="pct"/>
            <w:textDirection w:val="btLr"/>
            <w:hideMark/>
          </w:tcPr>
          <w:p w14:paraId="4815204E" w14:textId="77777777" w:rsidR="00121711" w:rsidRPr="00121711" w:rsidRDefault="00121711" w:rsidP="00103A43">
            <w:pPr>
              <w:spacing w:before="0" w:after="0"/>
              <w:ind w:left="113" w:right="113"/>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sz w:val="20"/>
                <w:szCs w:val="20"/>
              </w:rPr>
            </w:pPr>
            <w:r w:rsidRPr="00121711">
              <w:rPr>
                <w:rFonts w:ascii="Calibri" w:hAnsi="Calibri" w:cs="Times New Roman"/>
                <w:b/>
                <w:sz w:val="20"/>
                <w:szCs w:val="20"/>
              </w:rPr>
              <w:t>Tertiary</w:t>
            </w:r>
          </w:p>
        </w:tc>
        <w:tc>
          <w:tcPr>
            <w:tcW w:w="1490" w:type="pct"/>
            <w:hideMark/>
          </w:tcPr>
          <w:p w14:paraId="6D852095" w14:textId="77777777" w:rsidR="00121711" w:rsidRPr="00121711" w:rsidRDefault="00121711" w:rsidP="00103A43">
            <w:pPr>
              <w:spacing w:before="0" w:after="0"/>
              <w:jc w:val="left"/>
              <w:cnfStyle w:val="000000000000" w:firstRow="0" w:lastRow="0" w:firstColumn="0" w:lastColumn="0" w:oddVBand="0" w:evenVBand="0" w:oddHBand="0" w:evenHBand="0" w:firstRowFirstColumn="0" w:firstRowLastColumn="0" w:lastRowFirstColumn="0" w:lastRowLastColumn="0"/>
              <w:rPr>
                <w:rFonts w:ascii="Calibri" w:hAnsi="Calibri" w:cs="Times New Roman"/>
                <w:sz w:val="20"/>
                <w:szCs w:val="20"/>
              </w:rPr>
            </w:pPr>
            <w:r w:rsidRPr="00121711">
              <w:rPr>
                <w:rFonts w:ascii="Calibri" w:hAnsi="Calibri" w:cs="Times New Roman"/>
                <w:sz w:val="20"/>
                <w:szCs w:val="20"/>
              </w:rPr>
              <w:t>CDOM-dominated waters: offshore region of the plume that exhibits no or low TSS that has originated from the flood plume and above ambient concentrations of Chl-a and CDOM. This region can be described as being the transition between secondary water type and marine ambient conditions.</w:t>
            </w:r>
          </w:p>
        </w:tc>
        <w:tc>
          <w:tcPr>
            <w:tcW w:w="1458" w:type="pct"/>
            <w:hideMark/>
          </w:tcPr>
          <w:p w14:paraId="273FE293" w14:textId="77777777" w:rsidR="00121711" w:rsidRPr="00121711" w:rsidRDefault="00121711" w:rsidP="00103A43">
            <w:pPr>
              <w:spacing w:before="0" w:after="0"/>
              <w:jc w:val="left"/>
              <w:cnfStyle w:val="000000000000" w:firstRow="0" w:lastRow="0" w:firstColumn="0" w:lastColumn="0" w:oddVBand="0" w:evenVBand="0" w:oddHBand="0" w:evenHBand="0" w:firstRowFirstColumn="0" w:firstRowLastColumn="0" w:lastRowFirstColumn="0" w:lastRowLastColumn="0"/>
              <w:rPr>
                <w:rFonts w:ascii="Calibri" w:hAnsi="Calibri" w:cs="Times New Roman"/>
                <w:sz w:val="20"/>
                <w:szCs w:val="20"/>
              </w:rPr>
            </w:pPr>
            <w:r w:rsidRPr="00121711">
              <w:rPr>
                <w:rFonts w:ascii="Calibri" w:hAnsi="Calibri" w:cs="Times New Roman"/>
                <w:sz w:val="20"/>
                <w:szCs w:val="20"/>
              </w:rPr>
              <w:t>Dark yellow waters: CDOM are highly absorbing in the blue spectral domain. CDOM-dominated waters have a distinctive dark yellow colour.</w:t>
            </w:r>
          </w:p>
        </w:tc>
        <w:tc>
          <w:tcPr>
            <w:tcW w:w="1242" w:type="pct"/>
            <w:hideMark/>
          </w:tcPr>
          <w:p w14:paraId="58E3F15A" w14:textId="77777777" w:rsidR="00121711" w:rsidRPr="00121711" w:rsidRDefault="00121711" w:rsidP="00103A43">
            <w:pPr>
              <w:spacing w:before="0" w:after="0"/>
              <w:jc w:val="left"/>
              <w:cnfStyle w:val="000000000000" w:firstRow="0" w:lastRow="0" w:firstColumn="0" w:lastColumn="0" w:oddVBand="0" w:evenVBand="0" w:oddHBand="0" w:evenHBand="0" w:firstRowFirstColumn="0" w:firstRowLastColumn="0" w:lastRowFirstColumn="0" w:lastRowLastColumn="0"/>
              <w:rPr>
                <w:rFonts w:ascii="Calibri" w:hAnsi="Calibri" w:cs="Times New Roman"/>
                <w:sz w:val="20"/>
                <w:szCs w:val="20"/>
              </w:rPr>
            </w:pPr>
            <w:r w:rsidRPr="00121711">
              <w:rPr>
                <w:rFonts w:ascii="Calibri" w:hAnsi="Calibri" w:cs="Times New Roman"/>
                <w:sz w:val="20"/>
                <w:szCs w:val="20"/>
              </w:rPr>
              <w:t>TSS:2.9 ± 3.2 mg l</w:t>
            </w:r>
            <w:r w:rsidRPr="00121711">
              <w:rPr>
                <w:rFonts w:ascii="Calibri" w:hAnsi="Calibri" w:cs="Times New Roman"/>
                <w:sz w:val="20"/>
                <w:szCs w:val="20"/>
                <w:vertAlign w:val="superscript"/>
              </w:rPr>
              <w:t xml:space="preserve">-1                            </w:t>
            </w:r>
            <w:r w:rsidRPr="00121711">
              <w:rPr>
                <w:rFonts w:ascii="Calibri" w:hAnsi="Calibri" w:cs="Times New Roman"/>
                <w:sz w:val="20"/>
                <w:szCs w:val="20"/>
              </w:rPr>
              <w:t xml:space="preserve"> Chl-a: 0.7 ± 0.3 μg L</w:t>
            </w:r>
            <w:r w:rsidRPr="00121711">
              <w:rPr>
                <w:rFonts w:ascii="Calibri" w:hAnsi="Calibri" w:cs="Times New Roman"/>
                <w:sz w:val="20"/>
                <w:szCs w:val="20"/>
                <w:vertAlign w:val="superscript"/>
              </w:rPr>
              <w:t xml:space="preserve">-1           </w:t>
            </w:r>
            <w:r w:rsidRPr="00121711">
              <w:rPr>
                <w:rFonts w:ascii="Calibri" w:hAnsi="Calibri" w:cs="Times New Roman"/>
                <w:sz w:val="20"/>
                <w:szCs w:val="20"/>
              </w:rPr>
              <w:t>Kd(PAR): 0.24 ± 0.02 m</w:t>
            </w:r>
            <w:r w:rsidRPr="00121711">
              <w:rPr>
                <w:rFonts w:ascii="Calibri" w:hAnsi="Calibri" w:cs="Times New Roman"/>
                <w:sz w:val="20"/>
                <w:szCs w:val="20"/>
                <w:vertAlign w:val="superscript"/>
              </w:rPr>
              <w:t>-1</w:t>
            </w:r>
          </w:p>
        </w:tc>
      </w:tr>
      <w:tr w:rsidR="00121711" w:rsidRPr="00121711" w14:paraId="77AA390B" w14:textId="77777777" w:rsidTr="00103A43">
        <w:trPr>
          <w:trHeight w:val="524"/>
        </w:trPr>
        <w:tc>
          <w:tcPr>
            <w:cnfStyle w:val="001000000000" w:firstRow="0" w:lastRow="0" w:firstColumn="1" w:lastColumn="0" w:oddVBand="0" w:evenVBand="0" w:oddHBand="0" w:evenHBand="0" w:firstRowFirstColumn="0" w:firstRowLastColumn="0" w:lastRowFirstColumn="0" w:lastRowLastColumn="0"/>
            <w:tcW w:w="5000" w:type="pct"/>
            <w:gridSpan w:val="5"/>
          </w:tcPr>
          <w:p w14:paraId="3E44FCFD" w14:textId="77777777" w:rsidR="00121711" w:rsidRPr="00121711" w:rsidRDefault="00121711" w:rsidP="00103A43">
            <w:pPr>
              <w:spacing w:before="0" w:after="0"/>
              <w:jc w:val="center"/>
              <w:rPr>
                <w:rFonts w:ascii="Calibri" w:hAnsi="Calibri" w:cs="Times New Roman"/>
                <w:sz w:val="20"/>
                <w:szCs w:val="20"/>
              </w:rPr>
            </w:pPr>
            <w:r w:rsidRPr="00121711">
              <w:rPr>
                <w:rFonts w:ascii="Calibri" w:hAnsi="Calibri" w:cs="Times New Roman"/>
                <w:sz w:val="20"/>
                <w:szCs w:val="20"/>
              </w:rPr>
              <w:t>Full extent of the plume = Primary + Secondary + Tertiary</w:t>
            </w:r>
          </w:p>
        </w:tc>
      </w:tr>
    </w:tbl>
    <w:p w14:paraId="2C3028A3" w14:textId="5F41CC9A" w:rsidR="00121711" w:rsidRDefault="00121711" w:rsidP="00F173C5">
      <w:pPr>
        <w:rPr>
          <w:color w:val="000000" w:themeColor="text1"/>
        </w:rPr>
      </w:pPr>
    </w:p>
    <w:p w14:paraId="7A531DB6" w14:textId="1D274FD9" w:rsidR="00FC0E1D" w:rsidRDefault="00FC0E1D" w:rsidP="00F173C5">
      <w:pPr>
        <w:rPr>
          <w:color w:val="000000" w:themeColor="text1"/>
        </w:rPr>
      </w:pPr>
    </w:p>
    <w:p w14:paraId="082F044D" w14:textId="77777777" w:rsidR="00FC0E1D" w:rsidRPr="009A6E42" w:rsidRDefault="00FC0E1D" w:rsidP="00F173C5">
      <w:pPr>
        <w:rPr>
          <w:color w:val="000000" w:themeColor="text1"/>
        </w:rPr>
      </w:pPr>
    </w:p>
    <w:p w14:paraId="4C4E4895" w14:textId="5D51807A" w:rsidR="00F173C5" w:rsidRPr="002A307B" w:rsidRDefault="00F173C5" w:rsidP="002A307B">
      <w:pPr>
        <w:rPr>
          <w:i/>
        </w:rPr>
      </w:pPr>
      <w:r w:rsidRPr="002A307B">
        <w:rPr>
          <w:i/>
        </w:rPr>
        <w:lastRenderedPageBreak/>
        <w:t>Product</w:t>
      </w:r>
      <w:r w:rsidR="008C3B95" w:rsidRPr="002A307B">
        <w:rPr>
          <w:i/>
        </w:rPr>
        <w:t>ion of annual and multi-annual p</w:t>
      </w:r>
      <w:r w:rsidRPr="002A307B">
        <w:rPr>
          <w:i/>
        </w:rPr>
        <w:t xml:space="preserve">lume water type maps  </w:t>
      </w:r>
    </w:p>
    <w:p w14:paraId="72435896" w14:textId="15D87F34" w:rsidR="00F173C5" w:rsidRDefault="00F173C5" w:rsidP="00F173C5">
      <w:r w:rsidRPr="00677F1F">
        <w:rPr>
          <w:color w:val="000000" w:themeColor="text1"/>
        </w:rPr>
        <w:t>Weekly composites are overlaid in ArcGIS (i.e., presence/absence of Primary/Secondary/Tertiary water type) and normali</w:t>
      </w:r>
      <w:r w:rsidR="00FC0E1D">
        <w:rPr>
          <w:color w:val="000000" w:themeColor="text1"/>
        </w:rPr>
        <w:t>s</w:t>
      </w:r>
      <w:r w:rsidRPr="00677F1F">
        <w:rPr>
          <w:color w:val="000000" w:themeColor="text1"/>
        </w:rPr>
        <w:t>ed, to compute annual normalised frequency maps of occurrence of Primary water type (</w:t>
      </w:r>
      <w:r w:rsidRPr="00677F1F">
        <w:t>hereafter annual Primary/Secondary/Tertiary frequency maps</w:t>
      </w:r>
      <w:r w:rsidRPr="0049273C">
        <w:t>). Pixel (or cell) values of these ma</w:t>
      </w:r>
      <w:r w:rsidR="00554012">
        <w:t>ps range from 1 to 22 (normalise</w:t>
      </w:r>
      <w:r w:rsidRPr="0049273C">
        <w:t>d value of 0.45 – 1) ; with a value of 22 meaning that ‘this’ pixel has been exposed 22 weeks out of 22 week of ‘this’ years’  wet season (December to April 2003 to 2014) to ‘this’ plume water type (Primary or secondary or Tertiary). Finally, annual Primary/Secondary/Tertiary water frequency maps are overlayed in ArcGIS to create multi-annual (2003-2014) normalised frequency composites of occurrence of Primary water types (</w:t>
      </w:r>
      <w:r w:rsidRPr="00677F1F">
        <w:t>hereafter multi-annual Primary/Secondary/Tertiary frequency maps</w:t>
      </w:r>
      <w:r w:rsidRPr="0049273C">
        <w:t>).</w:t>
      </w:r>
    </w:p>
    <w:p w14:paraId="3590EBCA" w14:textId="0BAD8F01" w:rsidR="000A6B4D" w:rsidRPr="002A307B" w:rsidRDefault="000A6B4D" w:rsidP="002A307B">
      <w:pPr>
        <w:rPr>
          <w:i/>
        </w:rPr>
      </w:pPr>
      <w:r w:rsidRPr="002A307B">
        <w:rPr>
          <w:i/>
        </w:rPr>
        <w:t>Water quality concentrations in plume water types</w:t>
      </w:r>
    </w:p>
    <w:p w14:paraId="1B81806A" w14:textId="3F6226B7" w:rsidR="00F173C5" w:rsidRDefault="00F173C5" w:rsidP="00F173C5">
      <w:r w:rsidRPr="0049273C">
        <w:t xml:space="preserve">Additional information on plume water quality can then be extracted from these </w:t>
      </w:r>
      <w:r>
        <w:t>plume and plume water type</w:t>
      </w:r>
      <w:r w:rsidRPr="0049273C">
        <w:t xml:space="preserve"> maps by reporting the characteristics of the corresponding in-situ wet season water quality data with the colour class or plume water type frequency values. Several land-sourced pollutants are investigated through match-ups between in-situ data and </w:t>
      </w:r>
      <w:r>
        <w:t>the six plume colour class maps, including the</w:t>
      </w:r>
      <w:r w:rsidRPr="0049273C">
        <w:t xml:space="preserve"> DIN, </w:t>
      </w:r>
      <w:r>
        <w:t xml:space="preserve">DIP, TSS, </w:t>
      </w:r>
      <w:r w:rsidR="00A80E09">
        <w:t>Chl</w:t>
      </w:r>
      <w:r>
        <w:t>-a, Kd and CDOM.</w:t>
      </w:r>
      <w:r w:rsidRPr="00D14AB8">
        <w:t xml:space="preserve"> </w:t>
      </w:r>
      <w:r w:rsidRPr="00742EA6">
        <w:t xml:space="preserve">Comparisons between weekly plume water composites (Primary, Secondary, and Tertiary,) and in-situ physical and water quality measurements collected during the wet seasons 2007 to 2013 as part of the </w:t>
      </w:r>
      <w:r w:rsidR="00BF586F">
        <w:t>MMP</w:t>
      </w:r>
      <w:r w:rsidRPr="00742EA6">
        <w:t xml:space="preserve"> were performed</w:t>
      </w:r>
      <w:r>
        <w:t xml:space="preserve">. </w:t>
      </w:r>
      <w:r w:rsidRPr="00D14AB8">
        <w:t>In-situ values were assigned to weekly Primary, Secondary or Tertiary water type based on their location</w:t>
      </w:r>
      <w:r>
        <w:t xml:space="preserve">. </w:t>
      </w:r>
      <w:r w:rsidRPr="00D14AB8">
        <w:t xml:space="preserve"> </w:t>
      </w:r>
      <w:r>
        <w:t>M</w:t>
      </w:r>
      <w:r w:rsidRPr="00D14AB8">
        <w:t>ean values and standard d</w:t>
      </w:r>
      <w:r w:rsidR="000A6B4D">
        <w:t>eviations were calculated and are shown in Table 5-2.</w:t>
      </w:r>
    </w:p>
    <w:p w14:paraId="522821F9" w14:textId="77D521FF" w:rsidR="00131E41" w:rsidRPr="00D47A52" w:rsidRDefault="00131E41" w:rsidP="00B46AF9">
      <w:pPr>
        <w:pStyle w:val="Heading2"/>
      </w:pPr>
      <w:bookmarkStart w:id="210" w:name="_Toc427831198"/>
      <w:bookmarkStart w:id="211" w:name="_Toc428793328"/>
      <w:bookmarkStart w:id="212" w:name="_Toc428851345"/>
      <w:bookmarkStart w:id="213" w:name="_Toc443299491"/>
      <w:bookmarkStart w:id="214" w:name="_Toc443299704"/>
      <w:bookmarkStart w:id="215" w:name="_Toc454304720"/>
      <w:bookmarkStart w:id="216" w:name="_Toc427251541"/>
      <w:r w:rsidRPr="00D47A52">
        <w:t>“</w:t>
      </w:r>
      <w:r w:rsidR="00BF586F">
        <w:t>P</w:t>
      </w:r>
      <w:r w:rsidRPr="00D47A52">
        <w:t>otential risk” maps</w:t>
      </w:r>
      <w:bookmarkEnd w:id="210"/>
      <w:bookmarkEnd w:id="211"/>
      <w:bookmarkEnd w:id="212"/>
      <w:bookmarkEnd w:id="213"/>
      <w:bookmarkEnd w:id="214"/>
      <w:bookmarkEnd w:id="215"/>
      <w:r w:rsidRPr="00D47A52" w:rsidDel="002E6AFD">
        <w:t xml:space="preserve"> </w:t>
      </w:r>
      <w:bookmarkEnd w:id="216"/>
    </w:p>
    <w:p w14:paraId="68AC2186" w14:textId="0AA62B51" w:rsidR="00A376D0" w:rsidRDefault="00A376D0" w:rsidP="00A376D0">
      <w:pPr>
        <w:spacing w:before="240" w:after="120"/>
      </w:pPr>
      <w:r w:rsidRPr="00177565">
        <w:t xml:space="preserve">The river plume maps and </w:t>
      </w:r>
      <w:r>
        <w:t>plume water type maps</w:t>
      </w:r>
      <w:r w:rsidRPr="00177565">
        <w:t xml:space="preserve"> can be overlaid with information on the presence or distribution of ‘contamination receptors’, i.e., GBR ecosystems susceptible to the land-sourced contaminants. This method can help identify ecosystems which may experience acute or chronic high exposure to contaminants in river plumes (exposure assessment) and thus, help evaluating the susceptibility of GBR ecosystems to land-sourced contaminants. For example, </w:t>
      </w:r>
      <w:r>
        <w:t xml:space="preserve">Petus et al., </w:t>
      </w:r>
      <w:r w:rsidR="008C3B95">
        <w:t>(</w:t>
      </w:r>
      <w:r>
        <w:t>2014b</w:t>
      </w:r>
      <w:r w:rsidR="008C3B95">
        <w:t>)</w:t>
      </w:r>
      <w:r>
        <w:t xml:space="preserve"> </w:t>
      </w:r>
      <w:r w:rsidRPr="00177565">
        <w:t>mapped the occurrence of turbid water masses in Cleveland Bay (Burdekin marine region, GBR) in each wet season between 2007 and 2011 and compared the results to monitored seagrass biomasses and areas. This analysis, reali</w:t>
      </w:r>
      <w:r w:rsidR="00BF586F">
        <w:t>s</w:t>
      </w:r>
      <w:r w:rsidRPr="00177565">
        <w:t>ed though the production of plume frequency maps, correlated with seagrass health measurements, which included the change in the area of seagrass and composition. The correlation indicated that the decline in seagrass meadow area and biomass were positively linked to high occurrence of turbid water masses and confirmed the impact that decreased clarity can have on seagrass health in the GBR</w:t>
      </w:r>
    </w:p>
    <w:p w14:paraId="2E8F0A3E" w14:textId="000345C7" w:rsidR="00A376D0" w:rsidRDefault="00A376D0" w:rsidP="00A376D0">
      <w:pPr>
        <w:spacing w:before="240" w:after="120"/>
        <w:rPr>
          <w:b/>
        </w:rPr>
      </w:pPr>
      <w:r w:rsidRPr="00D14AB8">
        <w:t>Petus et al. (2014</w:t>
      </w:r>
      <w:r>
        <w:t>a</w:t>
      </w:r>
      <w:r w:rsidRPr="00D14AB8">
        <w:t>) proposed that time series of MODIS plume water type maps could help progress</w:t>
      </w:r>
      <w:r>
        <w:t>ing toward the production of</w:t>
      </w:r>
      <w:r w:rsidRPr="00D14AB8">
        <w:t xml:space="preserve"> river plume risk maps for the GBR by clustering water masses with different concentrations and proportions of land-</w:t>
      </w:r>
      <w:r w:rsidRPr="008C3B95">
        <w:t>sourced contaminants and, thus, by mapping ‘potential’ risk areas in the marine environment. They proposed a framework to produce river plume risk maps for seagrass and coral ecosystems based on a simplified risk matrix assuming that ecological responses will increase linearly with the pollutant concentrations and frequency of river plume exposure</w:t>
      </w:r>
      <w:r w:rsidR="006B5CE6" w:rsidRPr="008C3B95">
        <w:t xml:space="preserve"> (</w:t>
      </w:r>
      <w:r w:rsidR="005935D5" w:rsidRPr="008C3B95">
        <w:fldChar w:fldCharType="begin"/>
      </w:r>
      <w:r w:rsidR="006B5CE6" w:rsidRPr="008C3B95">
        <w:instrText xml:space="preserve"> REF _Ref428190903 \h </w:instrText>
      </w:r>
      <w:r w:rsidR="008C3B95" w:rsidRPr="008C3B95">
        <w:instrText xml:space="preserve"> \* MERGEFORMAT </w:instrText>
      </w:r>
      <w:r w:rsidR="005935D5" w:rsidRPr="008C3B95">
        <w:fldChar w:fldCharType="separate"/>
      </w:r>
      <w:r w:rsidR="000E22F3" w:rsidRPr="00E845F6">
        <w:t xml:space="preserve">Figure </w:t>
      </w:r>
      <w:r w:rsidR="000E22F3">
        <w:rPr>
          <w:noProof/>
        </w:rPr>
        <w:t>5</w:t>
      </w:r>
      <w:r w:rsidR="000E22F3">
        <w:rPr>
          <w:noProof/>
        </w:rPr>
        <w:noBreakHyphen/>
        <w:t>3</w:t>
      </w:r>
      <w:r w:rsidR="005935D5" w:rsidRPr="008C3B95">
        <w:fldChar w:fldCharType="end"/>
      </w:r>
      <w:r w:rsidR="006B5CE6" w:rsidRPr="008C3B95">
        <w:t>)</w:t>
      </w:r>
      <w:r w:rsidRPr="008C3B95">
        <w:t>. This framework used MODIS Level-2 satellite</w:t>
      </w:r>
      <w:r w:rsidRPr="00D14AB8">
        <w:t xml:space="preserve"> data processed by the NASA algorithms implemented in the SeaWiFS Data Analysis System (SeaDAS, Baith et al., 2001). MODIS data were used to character</w:t>
      </w:r>
      <w:r w:rsidR="00554012">
        <w:t>is</w:t>
      </w:r>
      <w:r w:rsidRPr="00D14AB8">
        <w:t xml:space="preserve">e external boundaries of river plumes and different water types or aggregation of water types, within GBR river plumes using supervised classification of the MODIS Level 2 data and a combination of CDOM, Chl-a and TSS (estimated from two </w:t>
      </w:r>
      <w:r w:rsidRPr="00F26A41">
        <w:t>remote sensing</w:t>
      </w:r>
      <w:r w:rsidRPr="00D14AB8">
        <w:t xml:space="preserve"> proxies) threshold values.</w:t>
      </w:r>
      <w:r>
        <w:t xml:space="preserve"> </w:t>
      </w:r>
      <w:r w:rsidRPr="00D14AB8">
        <w:t xml:space="preserve">In </w:t>
      </w:r>
      <w:r>
        <w:t>last year report and this report</w:t>
      </w:r>
      <w:r w:rsidRPr="00D14AB8">
        <w:t xml:space="preserve">, </w:t>
      </w:r>
      <w:r w:rsidRPr="008029CF">
        <w:t xml:space="preserve">it was decided to work with river plume </w:t>
      </w:r>
      <w:r w:rsidRPr="008029CF">
        <w:lastRenderedPageBreak/>
        <w:t>products derived from MODIS true color satellite data data (Álvarez-Romero et al. (2013)) instead of the L2 to progress the risk framework proposed in Petus et al. (2014a).</w:t>
      </w:r>
    </w:p>
    <w:p w14:paraId="4088A9F7" w14:textId="25A68D22" w:rsidR="00131E41" w:rsidRPr="00C97CC0" w:rsidRDefault="00131E41" w:rsidP="00131E41">
      <w:pPr>
        <w:rPr>
          <w:rFonts w:ascii="Calibri" w:eastAsia="Calibri" w:hAnsi="Calibri" w:cs="Times New Roman"/>
          <w:lang w:eastAsia="en-US"/>
        </w:rPr>
      </w:pPr>
      <w:r w:rsidRPr="00C97CC0">
        <w:rPr>
          <w:rFonts w:ascii="Calibri" w:eastAsia="Calibri" w:hAnsi="Calibri" w:cs="Times New Roman"/>
          <w:lang w:eastAsia="en-US"/>
        </w:rPr>
        <w:t>Theories behind the production of River plume risk maps for the GBR ecosystems are described in P</w:t>
      </w:r>
      <w:r w:rsidR="00554012">
        <w:rPr>
          <w:rFonts w:ascii="Calibri" w:eastAsia="Calibri" w:hAnsi="Calibri" w:cs="Times New Roman"/>
          <w:lang w:eastAsia="en-US"/>
        </w:rPr>
        <w:t>etus et al. (2014b) and summaris</w:t>
      </w:r>
      <w:r w:rsidRPr="00C97CC0">
        <w:rPr>
          <w:rFonts w:ascii="Calibri" w:eastAsia="Calibri" w:hAnsi="Calibri" w:cs="Times New Roman"/>
          <w:lang w:eastAsia="en-US"/>
        </w:rPr>
        <w:t xml:space="preserve">ed </w:t>
      </w:r>
      <w:r>
        <w:rPr>
          <w:rFonts w:ascii="Calibri" w:eastAsia="Calibri" w:hAnsi="Calibri" w:cs="Times New Roman"/>
          <w:lang w:eastAsia="en-US"/>
        </w:rPr>
        <w:t>briefly here</w:t>
      </w:r>
      <w:r w:rsidRPr="00C97CC0">
        <w:rPr>
          <w:rFonts w:ascii="Calibri" w:eastAsia="Calibri" w:hAnsi="Calibri" w:cs="Times New Roman"/>
          <w:lang w:eastAsia="en-US"/>
        </w:rPr>
        <w:t>.</w:t>
      </w:r>
      <w:r>
        <w:rPr>
          <w:rFonts w:ascii="Calibri" w:eastAsia="Calibri" w:hAnsi="Calibri" w:cs="Times New Roman"/>
          <w:lang w:eastAsia="en-US"/>
        </w:rPr>
        <w:t xml:space="preserve"> </w:t>
      </w:r>
      <w:r w:rsidRPr="00C97CC0">
        <w:rPr>
          <w:rFonts w:ascii="Calibri" w:eastAsia="Calibri" w:hAnsi="Calibri" w:cs="Times New Roman"/>
          <w:lang w:eastAsia="en-US"/>
        </w:rPr>
        <w:t xml:space="preserve">Measuring the magnitude of the river plume risk to coral reefs and seagrass beds </w:t>
      </w:r>
      <w:r w:rsidR="001E79B7">
        <w:rPr>
          <w:rFonts w:ascii="Calibri" w:eastAsia="Calibri" w:hAnsi="Calibri" w:cs="Times New Roman"/>
          <w:lang w:eastAsia="en-US"/>
        </w:rPr>
        <w:t>can be</w:t>
      </w:r>
      <w:r w:rsidRPr="00C97CC0">
        <w:rPr>
          <w:rFonts w:ascii="Calibri" w:eastAsia="Calibri" w:hAnsi="Calibri" w:cs="Times New Roman"/>
          <w:lang w:eastAsia="en-US"/>
        </w:rPr>
        <w:t xml:space="preserve"> challenging because </w:t>
      </w:r>
      <w:r w:rsidR="001E79B7">
        <w:rPr>
          <w:rFonts w:ascii="Calibri" w:eastAsia="Calibri" w:hAnsi="Calibri" w:cs="Times New Roman"/>
          <w:lang w:eastAsia="en-US"/>
        </w:rPr>
        <w:t xml:space="preserve">of the combination of </w:t>
      </w:r>
      <w:r w:rsidRPr="00C97CC0">
        <w:rPr>
          <w:rFonts w:ascii="Calibri" w:eastAsia="Calibri" w:hAnsi="Calibri" w:cs="Times New Roman"/>
          <w:lang w:eastAsia="en-US"/>
        </w:rPr>
        <w:t xml:space="preserve">different stressors </w:t>
      </w:r>
      <w:r w:rsidR="001E79B7">
        <w:rPr>
          <w:rFonts w:ascii="Calibri" w:eastAsia="Calibri" w:hAnsi="Calibri" w:cs="Times New Roman"/>
          <w:lang w:eastAsia="en-US"/>
        </w:rPr>
        <w:t>in</w:t>
      </w:r>
      <w:r w:rsidRPr="00C97CC0">
        <w:rPr>
          <w:rFonts w:ascii="Calibri" w:eastAsia="Calibri" w:hAnsi="Calibri" w:cs="Times New Roman"/>
          <w:lang w:eastAsia="en-US"/>
        </w:rPr>
        <w:t xml:space="preserve"> river plume waters. Devlin et al. (2012b) underscored the need to develop risk models that incorporate the cumulative effects of pollutants. Elevated levels of turbidity, which limits light penetration, and reduce the amount of light available for seagrass photosynthesis, are described as the primary cause of seagrass loss (Mckenzie et al. 2012; Collier et al. 2012a, b). Coral biodiversity also declines as a function of increasing turbidity throughout the GBR (De’ath and Fabricius 2010) and reef development ceases at depths where light is below 6- 8% of surface irradiance (Cooper et al. 2007; Titlyanov and Latypov 1991). Furthermore, more than 90% of the land-sourced nutrients enter the GBR lagoon during high flow periods (Brodie et al., 2012; Mitchell et al., 2005). A linear decrease of DIN concentrations across river plumes (from the coast to offshore i.e., from Primary to Tertiary water types) have been described by Álvarez-Romero et al. (2013). Photosystem II inhibiting herbicides (PSII herbicides) at elevated concentrations have also been traced during the wet season in river plumes from catchments to the GBR lagoon (Davis et al., 2008). It was demonstrated by Kennedy et al. (2012) and Lewis et al. (2009) that the concentrations of PSII herbicides on the GBR typically exhibit a linear decline across the salinity gradient (i.e., from Primary to Tertiary water types). </w:t>
      </w:r>
    </w:p>
    <w:p w14:paraId="55ED4078" w14:textId="77777777" w:rsidR="00131E41" w:rsidRPr="00C97CC0" w:rsidRDefault="00131E41" w:rsidP="00131E41">
      <w:pPr>
        <w:rPr>
          <w:rFonts w:ascii="Calibri" w:eastAsia="Calibri" w:hAnsi="Calibri" w:cs="Times New Roman"/>
          <w:lang w:eastAsia="en-US"/>
        </w:rPr>
      </w:pPr>
      <w:r w:rsidRPr="00C97CC0">
        <w:rPr>
          <w:rFonts w:ascii="Calibri" w:eastAsia="Calibri" w:hAnsi="Calibri" w:cs="Times New Roman"/>
          <w:lang w:eastAsia="en-US"/>
        </w:rPr>
        <w:t xml:space="preserve">As an approximation, Petus et al., (2014b) assumed that the magnitude of risk for the GBR seagrass beds and coral reefs from river plume exposure will increase from the Tertiary waters to the Primary core of river plumes. Classification of surface waters into Primary, Secondary, and Tertiary water types can thus provide a mechanism to cluster cumulative WQ stressors into three (ecologically relevant) broad categories of risk magnitude. At the multi-annual scale, the changes in the frequency of occurrence of these surface water types help understanding the likelihood of the different categories of risk magnitude. Producing annual maps of frequency of Primary, Secondary, and Tertiary water types in the GBR lagoon summarise thus the combined likelihood and magnitude of the river plume risk over a defined time period. In combination with ecosystem maps, it can serve as the basis to assess potential ecological consequences imposed by different levels and frequency of exposure to land-sourced contaminants in river plume (i.e., magnitude of risk). </w:t>
      </w:r>
    </w:p>
    <w:p w14:paraId="09CF3056" w14:textId="7525E798" w:rsidR="00131E41" w:rsidRPr="00C97CC0" w:rsidRDefault="00131E41" w:rsidP="00131E41">
      <w:pPr>
        <w:rPr>
          <w:rFonts w:ascii="Calibri" w:eastAsia="Calibri" w:hAnsi="Calibri" w:cs="Times New Roman"/>
          <w:lang w:eastAsia="en-US"/>
        </w:rPr>
      </w:pPr>
      <w:r>
        <w:rPr>
          <w:rFonts w:ascii="Calibri" w:eastAsia="Calibri" w:hAnsi="Calibri" w:cs="Times New Roman"/>
          <w:lang w:eastAsia="en-US"/>
        </w:rPr>
        <w:t>Thus, in summary, t</w:t>
      </w:r>
      <w:r w:rsidRPr="00C97CC0">
        <w:rPr>
          <w:rFonts w:ascii="Calibri" w:eastAsia="Calibri" w:hAnsi="Calibri" w:cs="Times New Roman"/>
          <w:lang w:eastAsia="en-US"/>
        </w:rPr>
        <w:t>he risk of a particular ecosystem (e.g., in the GBR, seagrass meadows or coral reefs) to be affected by a particular stressor (in this case land-sourced pollutants associated with river plumes) can be assessed by evaluating</w:t>
      </w:r>
      <w:r w:rsidR="006B5CE6">
        <w:rPr>
          <w:rFonts w:ascii="Calibri" w:eastAsia="Calibri" w:hAnsi="Calibri" w:cs="Times New Roman"/>
          <w:lang w:eastAsia="en-US"/>
        </w:rPr>
        <w:t xml:space="preserve"> </w:t>
      </w:r>
      <w:r w:rsidR="006B5CE6" w:rsidRPr="008D72C7">
        <w:rPr>
          <w:bCs/>
        </w:rPr>
        <w:t>(</w:t>
      </w:r>
      <w:r w:rsidR="00434EFC">
        <w:fldChar w:fldCharType="begin"/>
      </w:r>
      <w:r w:rsidR="00434EFC">
        <w:instrText xml:space="preserve"> REF _Ref428178722 \h  \* MERGEFORMAT </w:instrText>
      </w:r>
      <w:r w:rsidR="00434EFC">
        <w:fldChar w:fldCharType="separate"/>
      </w:r>
      <w:r w:rsidR="000E22F3" w:rsidRPr="00E845F6">
        <w:t xml:space="preserve">Figure </w:t>
      </w:r>
      <w:r w:rsidR="000E22F3">
        <w:rPr>
          <w:noProof/>
        </w:rPr>
        <w:t>5</w:t>
      </w:r>
      <w:r w:rsidR="000E22F3">
        <w:rPr>
          <w:noProof/>
        </w:rPr>
        <w:noBreakHyphen/>
        <w:t>2</w:t>
      </w:r>
      <w:r w:rsidR="00434EFC">
        <w:fldChar w:fldCharType="end"/>
      </w:r>
      <w:r w:rsidR="006B5CE6">
        <w:rPr>
          <w:bCs/>
        </w:rPr>
        <w:t>)</w:t>
      </w:r>
      <w:r w:rsidRPr="00C97CC0">
        <w:rPr>
          <w:rFonts w:ascii="Calibri" w:eastAsia="Calibri" w:hAnsi="Calibri" w:cs="Times New Roman"/>
          <w:lang w:eastAsia="en-US"/>
        </w:rPr>
        <w:t xml:space="preserve">: </w:t>
      </w:r>
    </w:p>
    <w:p w14:paraId="6C7E0691" w14:textId="77777777" w:rsidR="00131E41" w:rsidRPr="009217DD" w:rsidRDefault="00131E41" w:rsidP="00E92024">
      <w:pPr>
        <w:pStyle w:val="ListParagraph"/>
        <w:numPr>
          <w:ilvl w:val="0"/>
          <w:numId w:val="29"/>
        </w:numPr>
        <w:spacing w:before="0" w:after="120"/>
        <w:ind w:left="714" w:hanging="357"/>
        <w:contextualSpacing w:val="0"/>
        <w:rPr>
          <w:rFonts w:ascii="Calibri" w:eastAsia="Calibri" w:hAnsi="Calibri" w:cs="Times New Roman"/>
          <w:lang w:eastAsia="en-US"/>
        </w:rPr>
      </w:pPr>
      <w:r w:rsidRPr="009217DD">
        <w:rPr>
          <w:rFonts w:ascii="Calibri" w:eastAsia="Calibri" w:hAnsi="Calibri" w:cs="Times New Roman"/>
          <w:lang w:eastAsia="en-US"/>
        </w:rPr>
        <w:t xml:space="preserve">The likelihood of the risk, i.e., how likely a particular stressor is to happen. This can be estimated by calculating the frequency of occurrence of river plumes or specific plume water type; </w:t>
      </w:r>
    </w:p>
    <w:p w14:paraId="39CED2C6" w14:textId="77777777" w:rsidR="00131E41" w:rsidRPr="009217DD" w:rsidRDefault="00131E41" w:rsidP="00E92024">
      <w:pPr>
        <w:pStyle w:val="ListParagraph"/>
        <w:numPr>
          <w:ilvl w:val="0"/>
          <w:numId w:val="29"/>
        </w:numPr>
        <w:spacing w:before="0" w:after="120"/>
        <w:ind w:left="714" w:hanging="357"/>
        <w:contextualSpacing w:val="0"/>
        <w:rPr>
          <w:rFonts w:ascii="Calibri" w:eastAsia="Calibri" w:hAnsi="Calibri" w:cs="Times New Roman"/>
          <w:lang w:eastAsia="en-US"/>
        </w:rPr>
      </w:pPr>
      <w:r w:rsidRPr="009217DD">
        <w:rPr>
          <w:rFonts w:ascii="Calibri" w:eastAsia="Calibri" w:hAnsi="Calibri" w:cs="Times New Roman"/>
          <w:lang w:eastAsia="en-US"/>
        </w:rPr>
        <w:t>The magnitude of the risk, i.e., in river plume risk analysis, the intensity quantified as concentration, level or load of pollutant discharge through the river plume; and</w:t>
      </w:r>
    </w:p>
    <w:p w14:paraId="4E78D790" w14:textId="77777777" w:rsidR="00131E41" w:rsidRDefault="00131E41" w:rsidP="00E92024">
      <w:pPr>
        <w:pStyle w:val="ListParagraph"/>
        <w:numPr>
          <w:ilvl w:val="0"/>
          <w:numId w:val="29"/>
        </w:numPr>
        <w:spacing w:before="0" w:after="120"/>
        <w:ind w:left="714" w:hanging="357"/>
        <w:contextualSpacing w:val="0"/>
        <w:rPr>
          <w:rFonts w:ascii="Calibri" w:eastAsia="Calibri" w:hAnsi="Calibri" w:cs="Times New Roman"/>
          <w:lang w:eastAsia="en-US"/>
        </w:rPr>
      </w:pPr>
      <w:r w:rsidRPr="009217DD">
        <w:rPr>
          <w:rFonts w:ascii="Calibri" w:eastAsia="Calibri" w:hAnsi="Calibri" w:cs="Times New Roman"/>
          <w:lang w:eastAsia="en-US"/>
        </w:rPr>
        <w:t>The ecological consequences of the risk, i.e., the extent of the ecological impact for a particular ecosystem given a combination of magnitude and likelihood of occurrence of the stressor.</w:t>
      </w:r>
    </w:p>
    <w:p w14:paraId="0CF27CCB" w14:textId="4EBC788E" w:rsidR="006B5CE6" w:rsidRPr="00B954A0" w:rsidRDefault="00B954A0" w:rsidP="00B954A0">
      <w:pPr>
        <w:rPr>
          <w:rFonts w:ascii="Calibri" w:eastAsia="Calibri" w:hAnsi="Calibri" w:cs="Times New Roman"/>
          <w:lang w:eastAsia="en-US"/>
        </w:rPr>
      </w:pPr>
      <w:r w:rsidRPr="00933636">
        <w:t>In the GBR river plume risk framework, the ‘risk’ corresponds to an exposure to land-sourced pollutants concentrated in river plume waters (</w:t>
      </w:r>
      <w:r>
        <w:fldChar w:fldCharType="begin"/>
      </w:r>
      <w:r>
        <w:instrText xml:space="preserve"> REF _Ref428178722 \h  \* MERGEFORMAT </w:instrText>
      </w:r>
      <w:r>
        <w:fldChar w:fldCharType="separate"/>
      </w:r>
      <w:r w:rsidR="000E22F3" w:rsidRPr="000E22F3">
        <w:rPr>
          <w:lang w:val="en-US"/>
        </w:rPr>
        <w:t xml:space="preserve">Figure </w:t>
      </w:r>
      <w:r w:rsidR="000E22F3" w:rsidRPr="000E22F3">
        <w:rPr>
          <w:noProof/>
          <w:lang w:val="en-US"/>
        </w:rPr>
        <w:t>5</w:t>
      </w:r>
      <w:r w:rsidR="000E22F3" w:rsidRPr="000E22F3">
        <w:rPr>
          <w:noProof/>
          <w:lang w:val="en-US"/>
        </w:rPr>
        <w:noBreakHyphen/>
        <w:t>2</w:t>
      </w:r>
      <w:r>
        <w:fldChar w:fldCharType="end"/>
      </w:r>
      <w:r w:rsidRPr="00933636">
        <w:t>). In this report we focused on the TSS, the DIN, the DIP and Diuron concentrations, as well as on the light levels (K</w:t>
      </w:r>
      <w:r w:rsidRPr="00B954A0">
        <w:rPr>
          <w:vertAlign w:val="subscript"/>
        </w:rPr>
        <w:t>d</w:t>
      </w:r>
      <w:r w:rsidRPr="00933636">
        <w:t>(PAR)) measured in plume waters. ‘The magnitude of the risk’ correspond to the intensity quantified as concentration, level or load of pollutant discharged through the river plume (</w:t>
      </w:r>
      <w:r>
        <w:fldChar w:fldCharType="begin"/>
      </w:r>
      <w:r>
        <w:instrText xml:space="preserve"> REF _Ref428178722 \h  \* MERGEFORMAT </w:instrText>
      </w:r>
      <w:r>
        <w:fldChar w:fldCharType="separate"/>
      </w:r>
      <w:r w:rsidR="000E22F3" w:rsidRPr="00E845F6">
        <w:t xml:space="preserve">Figure </w:t>
      </w:r>
      <w:r w:rsidR="000E22F3">
        <w:t>5</w:t>
      </w:r>
      <w:r w:rsidR="000E22F3">
        <w:noBreakHyphen/>
        <w:t>2</w:t>
      </w:r>
      <w:r>
        <w:fldChar w:fldCharType="end"/>
      </w:r>
      <w:r w:rsidRPr="00933636">
        <w:t xml:space="preserve">) and mapped through the Primary, </w:t>
      </w:r>
      <w:r w:rsidRPr="00933636">
        <w:lastRenderedPageBreak/>
        <w:t xml:space="preserve">Secondary, Tertiary </w:t>
      </w:r>
      <w:r>
        <w:t xml:space="preserve">plume </w:t>
      </w:r>
      <w:r w:rsidRPr="00933636">
        <w:t>water types. The ‘likelihood of the risk’ can be estimated by calculating the frequency of occurrence of river plumes or specific plume water type</w:t>
      </w:r>
      <w:r w:rsidRPr="00B954A0">
        <w:rPr>
          <w:bCs/>
        </w:rPr>
        <w:t>. The potential risk from river plume exposure for GBR ecosystems is finally ranked (I to IV) assuming that ecological consequences will increase linearly with the pollutant concentrations and frequency of river plume exposure (</w:t>
      </w:r>
      <w:r>
        <w:t>Figure 5-3</w:t>
      </w:r>
      <w:r w:rsidRPr="00B954A0">
        <w:rPr>
          <w:bCs/>
        </w:rPr>
        <w:t>).</w:t>
      </w:r>
    </w:p>
    <w:p w14:paraId="4DAA242E" w14:textId="77777777" w:rsidR="006B5CE6" w:rsidRDefault="006B5CE6" w:rsidP="006B5CE6">
      <w:pPr>
        <w:keepNext/>
        <w:ind w:left="360"/>
      </w:pPr>
      <w:r>
        <w:rPr>
          <w:noProof/>
        </w:rPr>
        <w:drawing>
          <wp:inline distT="0" distB="0" distL="0" distR="0" wp14:anchorId="38D5648A" wp14:editId="0BCA0CAF">
            <wp:extent cx="5400721" cy="4429496"/>
            <wp:effectExtent l="0" t="0" r="0" b="9525"/>
            <wp:docPr id="48" name="Picture 48" descr="conceptual scheme of the risk framework proposed in Petus et al. (2014a)." title="Fig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2.tif"/>
                    <pic:cNvPicPr/>
                  </pic:nvPicPr>
                  <pic:blipFill rotWithShape="1">
                    <a:blip r:embed="rId96" cstate="screen">
                      <a:extLst>
                        <a:ext uri="{28A0092B-C50C-407E-A947-70E740481C1C}">
                          <a14:useLocalDpi xmlns:a14="http://schemas.microsoft.com/office/drawing/2010/main"/>
                        </a:ext>
                      </a:extLst>
                    </a:blip>
                    <a:srcRect/>
                    <a:stretch/>
                  </pic:blipFill>
                  <pic:spPr bwMode="auto">
                    <a:xfrm>
                      <a:off x="0" y="0"/>
                      <a:ext cx="5400000" cy="4428905"/>
                    </a:xfrm>
                    <a:prstGeom prst="rect">
                      <a:avLst/>
                    </a:prstGeom>
                    <a:ln>
                      <a:noFill/>
                    </a:ln>
                    <a:extLst>
                      <a:ext uri="{53640926-AAD7-44D8-BBD7-CCE9431645EC}">
                        <a14:shadowObscured xmlns:a14="http://schemas.microsoft.com/office/drawing/2010/main"/>
                      </a:ext>
                    </a:extLst>
                  </pic:spPr>
                </pic:pic>
              </a:graphicData>
            </a:graphic>
          </wp:inline>
        </w:drawing>
      </w:r>
    </w:p>
    <w:p w14:paraId="133AC78A" w14:textId="120434A7" w:rsidR="006B5CE6" w:rsidRPr="00E845F6" w:rsidRDefault="006B5CE6" w:rsidP="00E845F6">
      <w:pPr>
        <w:pStyle w:val="Caption"/>
      </w:pPr>
      <w:bookmarkStart w:id="217" w:name="_Ref428178722"/>
      <w:bookmarkStart w:id="218" w:name="_Toc428274737"/>
      <w:bookmarkStart w:id="219" w:name="_Toc454303919"/>
      <w:r w:rsidRPr="00E845F6">
        <w:t xml:space="preserve">Figure </w:t>
      </w:r>
      <w:r w:rsidR="009F4CB0">
        <w:fldChar w:fldCharType="begin"/>
      </w:r>
      <w:r w:rsidR="009F4CB0">
        <w:instrText xml:space="preserve"> STYLEREF 1 \s </w:instrText>
      </w:r>
      <w:r w:rsidR="009F4CB0">
        <w:fldChar w:fldCharType="separate"/>
      </w:r>
      <w:r w:rsidR="000E22F3">
        <w:rPr>
          <w:noProof/>
        </w:rPr>
        <w:t>5</w:t>
      </w:r>
      <w:r w:rsidR="009F4CB0">
        <w:fldChar w:fldCharType="end"/>
      </w:r>
      <w:r w:rsidR="009F4CB0">
        <w:noBreakHyphen/>
      </w:r>
      <w:r w:rsidR="009F4CB0">
        <w:fldChar w:fldCharType="begin"/>
      </w:r>
      <w:r w:rsidR="009F4CB0">
        <w:instrText xml:space="preserve"> SEQ Figure \* ARABIC \s 1 </w:instrText>
      </w:r>
      <w:r w:rsidR="009F4CB0">
        <w:fldChar w:fldCharType="separate"/>
      </w:r>
      <w:r w:rsidR="000E22F3">
        <w:rPr>
          <w:noProof/>
        </w:rPr>
        <w:t>2</w:t>
      </w:r>
      <w:r w:rsidR="009F4CB0">
        <w:fldChar w:fldCharType="end"/>
      </w:r>
      <w:bookmarkEnd w:id="217"/>
      <w:r w:rsidRPr="00E845F6">
        <w:t xml:space="preserve">: </w:t>
      </w:r>
      <w:bookmarkStart w:id="220" w:name="_Ref427067060"/>
      <w:r w:rsidR="00E92024" w:rsidRPr="00E845F6">
        <w:t>C</w:t>
      </w:r>
      <w:r w:rsidRPr="00E845F6">
        <w:t>onceptual scheme of the risk framework proposed in Petus et al. (2014a).</w:t>
      </w:r>
      <w:bookmarkEnd w:id="218"/>
      <w:bookmarkEnd w:id="219"/>
      <w:bookmarkEnd w:id="220"/>
    </w:p>
    <w:p w14:paraId="6C36728C" w14:textId="77777777" w:rsidR="006B5CE6" w:rsidRPr="003013E9" w:rsidRDefault="006B5CE6" w:rsidP="006B5CE6">
      <w:pPr>
        <w:keepNext/>
        <w:tabs>
          <w:tab w:val="left" w:pos="8789"/>
        </w:tabs>
        <w:spacing w:after="120"/>
        <w:jc w:val="center"/>
        <w:rPr>
          <w:rFonts w:cs="Times New Roman"/>
          <w:bCs/>
          <w:sz w:val="20"/>
          <w:szCs w:val="20"/>
          <w:lang w:val="en-US"/>
        </w:rPr>
      </w:pPr>
      <w:r w:rsidRPr="003013E9">
        <w:rPr>
          <w:rFonts w:cs="Times New Roman"/>
          <w:bCs/>
          <w:noProof/>
          <w:sz w:val="20"/>
          <w:szCs w:val="20"/>
        </w:rPr>
        <w:drawing>
          <wp:inline distT="0" distB="0" distL="0" distR="0" wp14:anchorId="371A2D82" wp14:editId="0C652B52">
            <wp:extent cx="3784823" cy="2573079"/>
            <wp:effectExtent l="0" t="0" r="0" b="0"/>
            <wp:docPr id="49" name="Picture 49" descr="Risk matrix in function of the magnitude and the likelihood of the river plume risk. Risk categories I, II, III, IV (modified from Petus et al., 2014b)." title="Fig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3" cstate="screen">
                      <a:extLst>
                        <a:ext uri="{28A0092B-C50C-407E-A947-70E740481C1C}">
                          <a14:useLocalDpi xmlns:a14="http://schemas.microsoft.com/office/drawing/2010/main"/>
                        </a:ext>
                      </a:extLst>
                    </a:blip>
                    <a:srcRect/>
                    <a:stretch>
                      <a:fillRect/>
                    </a:stretch>
                  </pic:blipFill>
                  <pic:spPr bwMode="auto">
                    <a:xfrm>
                      <a:off x="0" y="0"/>
                      <a:ext cx="3795510" cy="2580344"/>
                    </a:xfrm>
                    <a:prstGeom prst="rect">
                      <a:avLst/>
                    </a:prstGeom>
                    <a:noFill/>
                  </pic:spPr>
                </pic:pic>
              </a:graphicData>
            </a:graphic>
          </wp:inline>
        </w:drawing>
      </w:r>
    </w:p>
    <w:p w14:paraId="7FD54391" w14:textId="73C80647" w:rsidR="006B5CE6" w:rsidRPr="00E845F6" w:rsidRDefault="006B5CE6" w:rsidP="00E845F6">
      <w:pPr>
        <w:pStyle w:val="Caption"/>
      </w:pPr>
      <w:bookmarkStart w:id="221" w:name="_Ref428190903"/>
      <w:bookmarkStart w:id="222" w:name="_Toc428274738"/>
      <w:bookmarkStart w:id="223" w:name="_Toc454303920"/>
      <w:r w:rsidRPr="00E845F6">
        <w:t xml:space="preserve">Figure </w:t>
      </w:r>
      <w:r w:rsidR="009F4CB0">
        <w:fldChar w:fldCharType="begin"/>
      </w:r>
      <w:r w:rsidR="009F4CB0">
        <w:instrText xml:space="preserve"> STYLEREF 1 \s </w:instrText>
      </w:r>
      <w:r w:rsidR="009F4CB0">
        <w:fldChar w:fldCharType="separate"/>
      </w:r>
      <w:r w:rsidR="000E22F3">
        <w:rPr>
          <w:noProof/>
        </w:rPr>
        <w:t>5</w:t>
      </w:r>
      <w:r w:rsidR="009F4CB0">
        <w:fldChar w:fldCharType="end"/>
      </w:r>
      <w:r w:rsidR="009F4CB0">
        <w:noBreakHyphen/>
      </w:r>
      <w:r w:rsidR="009F4CB0">
        <w:fldChar w:fldCharType="begin"/>
      </w:r>
      <w:r w:rsidR="009F4CB0">
        <w:instrText xml:space="preserve"> SEQ Figure \* ARABIC \s 1 </w:instrText>
      </w:r>
      <w:r w:rsidR="009F4CB0">
        <w:fldChar w:fldCharType="separate"/>
      </w:r>
      <w:r w:rsidR="000E22F3">
        <w:rPr>
          <w:noProof/>
        </w:rPr>
        <w:t>3</w:t>
      </w:r>
      <w:r w:rsidR="009F4CB0">
        <w:fldChar w:fldCharType="end"/>
      </w:r>
      <w:bookmarkEnd w:id="221"/>
      <w:r w:rsidRPr="00E845F6">
        <w:t>:  Risk matrix in function of the magnitude and the likelihood of the river plume risk. Risk categories I, II, III, IV (modified from Petus et al., 2014b).</w:t>
      </w:r>
      <w:bookmarkEnd w:id="222"/>
      <w:bookmarkEnd w:id="223"/>
    </w:p>
    <w:p w14:paraId="69FAD162" w14:textId="41E2A24D" w:rsidR="006B5CE6" w:rsidRDefault="006B5CE6" w:rsidP="00B954A0">
      <w:r w:rsidRPr="00075BE0">
        <w:lastRenderedPageBreak/>
        <w:t>The annual Primary, Secondary and Tertiary frequency maps (produced</w:t>
      </w:r>
      <w:r w:rsidRPr="00514DD3">
        <w:t xml:space="preserve"> through methods described in section</w:t>
      </w:r>
      <w:r w:rsidR="008C3B95">
        <w:t xml:space="preserve"> </w:t>
      </w:r>
      <w:r w:rsidR="005935D5">
        <w:fldChar w:fldCharType="begin"/>
      </w:r>
      <w:r>
        <w:instrText xml:space="preserve"> REF _Ref433187582 \r \h </w:instrText>
      </w:r>
      <w:r w:rsidR="00B954A0">
        <w:instrText xml:space="preserve"> \* MERGEFORMAT </w:instrText>
      </w:r>
      <w:r w:rsidR="005935D5">
        <w:fldChar w:fldCharType="separate"/>
      </w:r>
      <w:r w:rsidR="000E22F3">
        <w:t>5.1.2</w:t>
      </w:r>
      <w:r w:rsidR="005935D5">
        <w:fldChar w:fldCharType="end"/>
      </w:r>
      <w:r w:rsidRPr="00514DD3">
        <w:t>)</w:t>
      </w:r>
      <w:r w:rsidRPr="00514DD3">
        <w:rPr>
          <w:b/>
        </w:rPr>
        <w:t xml:space="preserve"> </w:t>
      </w:r>
      <w:r w:rsidRPr="00001E6B">
        <w:t>are grouped into frequency levels or likelihood levels (rare to very frequent) based on a “Natural Break (or Jenks)” classification (</w:t>
      </w:r>
      <w:r w:rsidR="005935D5">
        <w:fldChar w:fldCharType="begin"/>
      </w:r>
      <w:r>
        <w:instrText xml:space="preserve"> REF _Ref428190943 \h </w:instrText>
      </w:r>
      <w:r w:rsidR="00B954A0">
        <w:instrText xml:space="preserve"> \* MERGEFORMAT </w:instrText>
      </w:r>
      <w:r w:rsidR="005935D5">
        <w:fldChar w:fldCharType="separate"/>
      </w:r>
      <w:r w:rsidR="000E22F3">
        <w:t xml:space="preserve">Table </w:t>
      </w:r>
      <w:r w:rsidR="000E22F3">
        <w:rPr>
          <w:noProof/>
        </w:rPr>
        <w:t>5</w:t>
      </w:r>
      <w:r w:rsidR="000E22F3">
        <w:rPr>
          <w:noProof/>
        </w:rPr>
        <w:noBreakHyphen/>
        <w:t>3</w:t>
      </w:r>
      <w:r w:rsidR="005935D5">
        <w:fldChar w:fldCharType="end"/>
      </w:r>
      <w:r w:rsidRPr="00001E6B">
        <w:t>)</w:t>
      </w:r>
      <w:r>
        <w:t xml:space="preserve"> in order to produce </w:t>
      </w:r>
      <w:r w:rsidRPr="0059472E">
        <w:t>annual likelihood maps</w:t>
      </w:r>
      <w:r w:rsidRPr="00001E6B">
        <w:t>. Jenks is a statistical procedure, embedded in ArcGIS as one of the basic classification schemes, that analyses the distribution of values in the data and finds the most evident breaks in it (i.e., the steep or marked break</w:t>
      </w:r>
      <w:r>
        <w:t>s; Cromley and Mrozinski, 1997).</w:t>
      </w:r>
    </w:p>
    <w:p w14:paraId="5EA39CB5" w14:textId="513E95F1" w:rsidR="006B5CE6" w:rsidRPr="00B81A80" w:rsidRDefault="006B5CE6" w:rsidP="00E845F6">
      <w:pPr>
        <w:pStyle w:val="Caption"/>
      </w:pPr>
      <w:bookmarkStart w:id="224" w:name="_Ref428190943"/>
      <w:bookmarkStart w:id="225" w:name="_Toc454304622"/>
      <w:r>
        <w:t xml:space="preserve">Table </w:t>
      </w:r>
      <w:r w:rsidR="009935EC">
        <w:fldChar w:fldCharType="begin"/>
      </w:r>
      <w:r w:rsidR="009935EC">
        <w:instrText xml:space="preserve"> STYLEREF 1 \s </w:instrText>
      </w:r>
      <w:r w:rsidR="009935EC">
        <w:fldChar w:fldCharType="separate"/>
      </w:r>
      <w:r w:rsidR="000E22F3">
        <w:rPr>
          <w:noProof/>
        </w:rPr>
        <w:t>5</w:t>
      </w:r>
      <w:r w:rsidR="009935EC">
        <w:rPr>
          <w:noProof/>
        </w:rPr>
        <w:fldChar w:fldCharType="end"/>
      </w:r>
      <w:r w:rsidR="00445BD2">
        <w:noBreakHyphen/>
      </w:r>
      <w:r w:rsidR="009935EC">
        <w:fldChar w:fldCharType="begin"/>
      </w:r>
      <w:r w:rsidR="009935EC">
        <w:instrText xml:space="preserve"> SEQ Table \* ARABIC \s 1 </w:instrText>
      </w:r>
      <w:r w:rsidR="009935EC">
        <w:fldChar w:fldCharType="separate"/>
      </w:r>
      <w:r w:rsidR="000E22F3">
        <w:rPr>
          <w:noProof/>
        </w:rPr>
        <w:t>3</w:t>
      </w:r>
      <w:r w:rsidR="009935EC">
        <w:rPr>
          <w:noProof/>
        </w:rPr>
        <w:fldChar w:fldCharType="end"/>
      </w:r>
      <w:bookmarkEnd w:id="224"/>
      <w:r>
        <w:t xml:space="preserve">: </w:t>
      </w:r>
      <w:r w:rsidR="00933636">
        <w:t>F</w:t>
      </w:r>
      <w:r w:rsidRPr="00B81A80">
        <w:t>requency categories used to categori</w:t>
      </w:r>
      <w:r w:rsidR="00E845F6">
        <w:t>s</w:t>
      </w:r>
      <w:r w:rsidRPr="00B81A80">
        <w:t>e the multi-annual maps of frequency of occurrence of plume water types (TC and L2 methods).</w:t>
      </w:r>
      <w:bookmarkEnd w:id="225"/>
    </w:p>
    <w:tbl>
      <w:tblPr>
        <w:tblStyle w:val="LightShading"/>
        <w:tblW w:w="5000" w:type="pct"/>
        <w:tblLook w:val="06A0" w:firstRow="1" w:lastRow="0" w:firstColumn="1" w:lastColumn="0" w:noHBand="1" w:noVBand="1"/>
        <w:tblCaption w:val="Table 5-2"/>
        <w:tblDescription w:val="Frequency categories used to categorize the multi-annual maps of frequency of occurrence of plume water types (TC and L2 methods)."/>
      </w:tblPr>
      <w:tblGrid>
        <w:gridCol w:w="2415"/>
        <w:gridCol w:w="1126"/>
        <w:gridCol w:w="1449"/>
        <w:gridCol w:w="1449"/>
        <w:gridCol w:w="1447"/>
        <w:gridCol w:w="1357"/>
      </w:tblGrid>
      <w:tr w:rsidR="006B5CE6" w:rsidRPr="00663EC2" w14:paraId="1D547A89" w14:textId="77777777" w:rsidTr="00E92024">
        <w:trPr>
          <w:cnfStyle w:val="100000000000" w:firstRow="1" w:lastRow="0" w:firstColumn="0" w:lastColumn="0" w:oddVBand="0" w:evenVBand="0" w:oddHBand="0" w:evenHBand="0" w:firstRowFirstColumn="0" w:firstRowLastColumn="0" w:lastRowFirstColumn="0" w:lastRowLastColumn="0"/>
          <w:trHeight w:val="333"/>
        </w:trPr>
        <w:tc>
          <w:tcPr>
            <w:cnfStyle w:val="001000000000" w:firstRow="0" w:lastRow="0" w:firstColumn="1" w:lastColumn="0" w:oddVBand="0" w:evenVBand="0" w:oddHBand="0" w:evenHBand="0" w:firstRowFirstColumn="0" w:firstRowLastColumn="0" w:lastRowFirstColumn="0" w:lastRowLastColumn="0"/>
            <w:tcW w:w="1306" w:type="pct"/>
          </w:tcPr>
          <w:p w14:paraId="45BFC1D7" w14:textId="77777777" w:rsidR="006B5CE6" w:rsidRPr="00663EC2" w:rsidRDefault="006B5CE6" w:rsidP="006B5CE6">
            <w:pPr>
              <w:rPr>
                <w:b w:val="0"/>
                <w:sz w:val="20"/>
                <w:szCs w:val="20"/>
              </w:rPr>
            </w:pPr>
            <w:r>
              <w:rPr>
                <w:sz w:val="20"/>
                <w:szCs w:val="20"/>
              </w:rPr>
              <w:t>Likelihood</w:t>
            </w:r>
          </w:p>
        </w:tc>
        <w:tc>
          <w:tcPr>
            <w:tcW w:w="609" w:type="pct"/>
          </w:tcPr>
          <w:p w14:paraId="687C3922" w14:textId="77777777" w:rsidR="006B5CE6" w:rsidRPr="00370A37" w:rsidRDefault="006B5CE6" w:rsidP="006B5CE6">
            <w:pPr>
              <w:cnfStyle w:val="100000000000" w:firstRow="1" w:lastRow="0" w:firstColumn="0" w:lastColumn="0" w:oddVBand="0" w:evenVBand="0" w:oddHBand="0" w:evenHBand="0" w:firstRowFirstColumn="0" w:firstRowLastColumn="0" w:lastRowFirstColumn="0" w:lastRowLastColumn="0"/>
              <w:rPr>
                <w:b w:val="0"/>
                <w:sz w:val="20"/>
                <w:szCs w:val="20"/>
              </w:rPr>
            </w:pPr>
            <w:r w:rsidRPr="00370A37">
              <w:rPr>
                <w:sz w:val="20"/>
                <w:szCs w:val="20"/>
              </w:rPr>
              <w:t>Rare</w:t>
            </w:r>
          </w:p>
        </w:tc>
        <w:tc>
          <w:tcPr>
            <w:tcW w:w="784" w:type="pct"/>
          </w:tcPr>
          <w:p w14:paraId="00A8BA00" w14:textId="77777777" w:rsidR="006B5CE6" w:rsidRPr="00370A37" w:rsidRDefault="006B5CE6" w:rsidP="006B5CE6">
            <w:pPr>
              <w:cnfStyle w:val="100000000000" w:firstRow="1" w:lastRow="0" w:firstColumn="0" w:lastColumn="0" w:oddVBand="0" w:evenVBand="0" w:oddHBand="0" w:evenHBand="0" w:firstRowFirstColumn="0" w:firstRowLastColumn="0" w:lastRowFirstColumn="0" w:lastRowLastColumn="0"/>
              <w:rPr>
                <w:b w:val="0"/>
                <w:sz w:val="20"/>
                <w:szCs w:val="20"/>
              </w:rPr>
            </w:pPr>
            <w:r w:rsidRPr="00370A37">
              <w:rPr>
                <w:sz w:val="20"/>
                <w:szCs w:val="20"/>
              </w:rPr>
              <w:t>Infrequent</w:t>
            </w:r>
          </w:p>
        </w:tc>
        <w:tc>
          <w:tcPr>
            <w:tcW w:w="784" w:type="pct"/>
          </w:tcPr>
          <w:p w14:paraId="63F45403" w14:textId="77777777" w:rsidR="006B5CE6" w:rsidRPr="00370A37" w:rsidRDefault="006B5CE6" w:rsidP="006B5CE6">
            <w:pPr>
              <w:cnfStyle w:val="100000000000" w:firstRow="1" w:lastRow="0" w:firstColumn="0" w:lastColumn="0" w:oddVBand="0" w:evenVBand="0" w:oddHBand="0" w:evenHBand="0" w:firstRowFirstColumn="0" w:firstRowLastColumn="0" w:lastRowFirstColumn="0" w:lastRowLastColumn="0"/>
              <w:rPr>
                <w:b w:val="0"/>
                <w:sz w:val="20"/>
                <w:szCs w:val="20"/>
              </w:rPr>
            </w:pPr>
            <w:r w:rsidRPr="00370A37">
              <w:rPr>
                <w:sz w:val="20"/>
                <w:szCs w:val="20"/>
              </w:rPr>
              <w:t>Occasional</w:t>
            </w:r>
          </w:p>
        </w:tc>
        <w:tc>
          <w:tcPr>
            <w:tcW w:w="783" w:type="pct"/>
          </w:tcPr>
          <w:p w14:paraId="2F47D1E8" w14:textId="77777777" w:rsidR="006B5CE6" w:rsidRPr="00370A37" w:rsidRDefault="006B5CE6" w:rsidP="006B5CE6">
            <w:pPr>
              <w:cnfStyle w:val="100000000000" w:firstRow="1" w:lastRow="0" w:firstColumn="0" w:lastColumn="0" w:oddVBand="0" w:evenVBand="0" w:oddHBand="0" w:evenHBand="0" w:firstRowFirstColumn="0" w:firstRowLastColumn="0" w:lastRowFirstColumn="0" w:lastRowLastColumn="0"/>
              <w:rPr>
                <w:b w:val="0"/>
                <w:sz w:val="20"/>
                <w:szCs w:val="20"/>
              </w:rPr>
            </w:pPr>
            <w:r w:rsidRPr="00370A37">
              <w:rPr>
                <w:sz w:val="20"/>
                <w:szCs w:val="20"/>
              </w:rPr>
              <w:t>Frequent</w:t>
            </w:r>
          </w:p>
        </w:tc>
        <w:tc>
          <w:tcPr>
            <w:tcW w:w="734" w:type="pct"/>
          </w:tcPr>
          <w:p w14:paraId="714C75EA" w14:textId="77777777" w:rsidR="006B5CE6" w:rsidRPr="00370A37" w:rsidRDefault="006B5CE6" w:rsidP="006B5CE6">
            <w:pPr>
              <w:cnfStyle w:val="100000000000" w:firstRow="1" w:lastRow="0" w:firstColumn="0" w:lastColumn="0" w:oddVBand="0" w:evenVBand="0" w:oddHBand="0" w:evenHBand="0" w:firstRowFirstColumn="0" w:firstRowLastColumn="0" w:lastRowFirstColumn="0" w:lastRowLastColumn="0"/>
              <w:rPr>
                <w:b w:val="0"/>
                <w:sz w:val="20"/>
                <w:szCs w:val="20"/>
              </w:rPr>
            </w:pPr>
            <w:r w:rsidRPr="00370A37">
              <w:rPr>
                <w:sz w:val="20"/>
                <w:szCs w:val="20"/>
              </w:rPr>
              <w:t>Very frequent</w:t>
            </w:r>
          </w:p>
        </w:tc>
      </w:tr>
      <w:tr w:rsidR="006B5CE6" w:rsidRPr="00663EC2" w14:paraId="435F98EA" w14:textId="77777777" w:rsidTr="00E92024">
        <w:trPr>
          <w:trHeight w:val="590"/>
        </w:trPr>
        <w:tc>
          <w:tcPr>
            <w:cnfStyle w:val="001000000000" w:firstRow="0" w:lastRow="0" w:firstColumn="1" w:lastColumn="0" w:oddVBand="0" w:evenVBand="0" w:oddHBand="0" w:evenHBand="0" w:firstRowFirstColumn="0" w:firstRowLastColumn="0" w:lastRowFirstColumn="0" w:lastRowLastColumn="0"/>
            <w:tcW w:w="1306" w:type="pct"/>
          </w:tcPr>
          <w:p w14:paraId="4CED9C3B" w14:textId="1AA1623B" w:rsidR="006B5CE6" w:rsidRPr="00663EC2" w:rsidRDefault="006B5CE6" w:rsidP="006B5CE6">
            <w:pPr>
              <w:rPr>
                <w:sz w:val="20"/>
                <w:szCs w:val="20"/>
              </w:rPr>
            </w:pPr>
            <w:r w:rsidRPr="00663EC2">
              <w:rPr>
                <w:sz w:val="20"/>
                <w:szCs w:val="20"/>
              </w:rPr>
              <w:t>Frequency</w:t>
            </w:r>
            <w:r>
              <w:rPr>
                <w:sz w:val="20"/>
                <w:szCs w:val="20"/>
              </w:rPr>
              <w:t>:</w:t>
            </w:r>
            <w:r w:rsidRPr="00663EC2">
              <w:rPr>
                <w:sz w:val="20"/>
                <w:szCs w:val="20"/>
              </w:rPr>
              <w:t xml:space="preserve"> number of weeks</w:t>
            </w:r>
            <w:r>
              <w:rPr>
                <w:sz w:val="20"/>
                <w:szCs w:val="20"/>
              </w:rPr>
              <w:t xml:space="preserve"> per </w:t>
            </w:r>
            <w:r w:rsidRPr="00663EC2">
              <w:rPr>
                <w:sz w:val="20"/>
                <w:szCs w:val="20"/>
              </w:rPr>
              <w:t>wet season</w:t>
            </w:r>
            <w:r>
              <w:rPr>
                <w:sz w:val="20"/>
                <w:szCs w:val="20"/>
              </w:rPr>
              <w:t xml:space="preserve">s </w:t>
            </w:r>
            <w:r w:rsidR="00554012">
              <w:rPr>
                <w:sz w:val="20"/>
                <w:szCs w:val="20"/>
              </w:rPr>
              <w:t>[normalise</w:t>
            </w:r>
            <w:r w:rsidRPr="00370A37">
              <w:rPr>
                <w:sz w:val="20"/>
                <w:szCs w:val="20"/>
              </w:rPr>
              <w:t>d value]</w:t>
            </w:r>
          </w:p>
        </w:tc>
        <w:tc>
          <w:tcPr>
            <w:tcW w:w="609" w:type="pct"/>
          </w:tcPr>
          <w:p w14:paraId="528F61B1" w14:textId="77777777" w:rsidR="006B5CE6" w:rsidRDefault="006B5CE6" w:rsidP="006B5CE6">
            <w:pPr>
              <w:cnfStyle w:val="000000000000" w:firstRow="0" w:lastRow="0" w:firstColumn="0" w:lastColumn="0" w:oddVBand="0" w:evenVBand="0" w:oddHBand="0" w:evenHBand="0" w:firstRowFirstColumn="0" w:firstRowLastColumn="0" w:lastRowFirstColumn="0" w:lastRowLastColumn="0"/>
              <w:rPr>
                <w:sz w:val="20"/>
                <w:szCs w:val="20"/>
              </w:rPr>
            </w:pPr>
            <w:r w:rsidRPr="00663EC2">
              <w:rPr>
                <w:sz w:val="20"/>
                <w:szCs w:val="20"/>
              </w:rPr>
              <w:t>1-</w:t>
            </w:r>
            <w:r>
              <w:rPr>
                <w:sz w:val="20"/>
                <w:szCs w:val="20"/>
              </w:rPr>
              <w:t>4</w:t>
            </w:r>
          </w:p>
          <w:p w14:paraId="61A3B078" w14:textId="77777777" w:rsidR="006B5CE6" w:rsidRPr="00663EC2" w:rsidRDefault="006B5CE6" w:rsidP="006B5CE6">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[&gt; 0 – 0.2]</w:t>
            </w:r>
          </w:p>
        </w:tc>
        <w:tc>
          <w:tcPr>
            <w:tcW w:w="784" w:type="pct"/>
          </w:tcPr>
          <w:p w14:paraId="5FB5DE62" w14:textId="77777777" w:rsidR="006B5CE6" w:rsidRDefault="006B5CE6" w:rsidP="006B5CE6">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&gt;4</w:t>
            </w:r>
            <w:r w:rsidRPr="00663EC2">
              <w:rPr>
                <w:sz w:val="20"/>
                <w:szCs w:val="20"/>
              </w:rPr>
              <w:t xml:space="preserve"> </w:t>
            </w:r>
            <w:r>
              <w:rPr>
                <w:sz w:val="20"/>
                <w:szCs w:val="20"/>
              </w:rPr>
              <w:t>–</w:t>
            </w:r>
            <w:r w:rsidRPr="00663EC2">
              <w:rPr>
                <w:sz w:val="20"/>
                <w:szCs w:val="20"/>
              </w:rPr>
              <w:t xml:space="preserve"> </w:t>
            </w:r>
            <w:r>
              <w:rPr>
                <w:sz w:val="20"/>
                <w:szCs w:val="20"/>
              </w:rPr>
              <w:t>8</w:t>
            </w:r>
          </w:p>
          <w:p w14:paraId="5F2139EE" w14:textId="77777777" w:rsidR="006B5CE6" w:rsidRPr="00663EC2" w:rsidRDefault="006B5CE6" w:rsidP="006B5CE6">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[&gt; 0.2 – 0.4]</w:t>
            </w:r>
          </w:p>
        </w:tc>
        <w:tc>
          <w:tcPr>
            <w:tcW w:w="784" w:type="pct"/>
          </w:tcPr>
          <w:p w14:paraId="18B8419F" w14:textId="77777777" w:rsidR="006B5CE6" w:rsidRPr="00370A37" w:rsidRDefault="006B5CE6" w:rsidP="006B5CE6">
            <w:pPr>
              <w:cnfStyle w:val="000000000000" w:firstRow="0" w:lastRow="0" w:firstColumn="0" w:lastColumn="0" w:oddVBand="0" w:evenVBand="0" w:oddHBand="0" w:evenHBand="0" w:firstRowFirstColumn="0" w:firstRowLastColumn="0" w:lastRowFirstColumn="0" w:lastRowLastColumn="0"/>
              <w:rPr>
                <w:sz w:val="20"/>
                <w:szCs w:val="20"/>
              </w:rPr>
            </w:pPr>
            <w:r w:rsidRPr="00370A37">
              <w:rPr>
                <w:sz w:val="20"/>
                <w:szCs w:val="20"/>
              </w:rPr>
              <w:t>&gt;8 – 13</w:t>
            </w:r>
          </w:p>
          <w:p w14:paraId="6FBA2249" w14:textId="77777777" w:rsidR="006B5CE6" w:rsidRPr="00370A37" w:rsidRDefault="006B5CE6" w:rsidP="006B5CE6">
            <w:pPr>
              <w:cnfStyle w:val="000000000000" w:firstRow="0" w:lastRow="0" w:firstColumn="0" w:lastColumn="0" w:oddVBand="0" w:evenVBand="0" w:oddHBand="0" w:evenHBand="0" w:firstRowFirstColumn="0" w:firstRowLastColumn="0" w:lastRowFirstColumn="0" w:lastRowLastColumn="0"/>
              <w:rPr>
                <w:sz w:val="20"/>
                <w:szCs w:val="20"/>
              </w:rPr>
            </w:pPr>
            <w:r w:rsidRPr="00370A37">
              <w:rPr>
                <w:sz w:val="20"/>
                <w:szCs w:val="20"/>
              </w:rPr>
              <w:t>[&gt; 0.4 – 0.6]</w:t>
            </w:r>
          </w:p>
        </w:tc>
        <w:tc>
          <w:tcPr>
            <w:tcW w:w="783" w:type="pct"/>
          </w:tcPr>
          <w:p w14:paraId="52C24D32" w14:textId="77777777" w:rsidR="006B5CE6" w:rsidRDefault="006B5CE6" w:rsidP="006B5CE6">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&gt;13</w:t>
            </w:r>
            <w:r w:rsidRPr="00663EC2">
              <w:rPr>
                <w:sz w:val="20"/>
                <w:szCs w:val="20"/>
              </w:rPr>
              <w:t xml:space="preserve"> </w:t>
            </w:r>
            <w:r>
              <w:rPr>
                <w:sz w:val="20"/>
                <w:szCs w:val="20"/>
              </w:rPr>
              <w:t>–</w:t>
            </w:r>
            <w:r w:rsidRPr="00663EC2">
              <w:rPr>
                <w:sz w:val="20"/>
                <w:szCs w:val="20"/>
              </w:rPr>
              <w:t xml:space="preserve"> </w:t>
            </w:r>
            <w:r>
              <w:rPr>
                <w:sz w:val="20"/>
                <w:szCs w:val="20"/>
              </w:rPr>
              <w:t>17</w:t>
            </w:r>
          </w:p>
          <w:p w14:paraId="0318489D" w14:textId="77777777" w:rsidR="006B5CE6" w:rsidRPr="00663EC2" w:rsidRDefault="006B5CE6" w:rsidP="006B5CE6">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[&gt; 0.6 – 0.8]</w:t>
            </w:r>
          </w:p>
        </w:tc>
        <w:tc>
          <w:tcPr>
            <w:tcW w:w="734" w:type="pct"/>
          </w:tcPr>
          <w:p w14:paraId="55A67385" w14:textId="77777777" w:rsidR="006B5CE6" w:rsidRDefault="006B5CE6" w:rsidP="006B5CE6">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&gt;17</w:t>
            </w:r>
            <w:r w:rsidRPr="00663EC2">
              <w:rPr>
                <w:sz w:val="20"/>
                <w:szCs w:val="20"/>
              </w:rPr>
              <w:t xml:space="preserve"> </w:t>
            </w:r>
            <w:r>
              <w:rPr>
                <w:sz w:val="20"/>
                <w:szCs w:val="20"/>
              </w:rPr>
              <w:t>–</w:t>
            </w:r>
            <w:r w:rsidRPr="00663EC2">
              <w:rPr>
                <w:sz w:val="20"/>
                <w:szCs w:val="20"/>
              </w:rPr>
              <w:t xml:space="preserve"> </w:t>
            </w:r>
            <w:r>
              <w:rPr>
                <w:sz w:val="20"/>
                <w:szCs w:val="20"/>
              </w:rPr>
              <w:t>22</w:t>
            </w:r>
          </w:p>
          <w:p w14:paraId="6DAA8FE8" w14:textId="77777777" w:rsidR="006B5CE6" w:rsidRPr="00663EC2" w:rsidRDefault="006B5CE6" w:rsidP="006B5CE6">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[&gt; 0.8 – 1.0]</w:t>
            </w:r>
          </w:p>
        </w:tc>
      </w:tr>
    </w:tbl>
    <w:p w14:paraId="457A168F" w14:textId="77777777" w:rsidR="006B5CE6" w:rsidRDefault="006B5CE6" w:rsidP="006B5CE6">
      <w:pPr>
        <w:spacing w:after="120"/>
        <w:rPr>
          <w:color w:val="000000" w:themeColor="text1"/>
        </w:rPr>
      </w:pPr>
    </w:p>
    <w:p w14:paraId="77C045B6" w14:textId="7913B392" w:rsidR="006B5CE6" w:rsidRPr="00466844" w:rsidRDefault="009B30A6" w:rsidP="006B5CE6">
      <w:pPr>
        <w:spacing w:after="120"/>
        <w:rPr>
          <w:color w:val="000000" w:themeColor="text1"/>
        </w:rPr>
      </w:pPr>
      <w:r w:rsidRPr="009B30A6">
        <w:rPr>
          <w:color w:val="000000" w:themeColor="text1"/>
        </w:rPr>
        <w:t>A</w:t>
      </w:r>
      <w:r>
        <w:rPr>
          <w:color w:val="000000" w:themeColor="text1"/>
        </w:rPr>
        <w:t>n a</w:t>
      </w:r>
      <w:r w:rsidRPr="009B30A6">
        <w:rPr>
          <w:color w:val="000000" w:themeColor="text1"/>
        </w:rPr>
        <w:t xml:space="preserve">nnual “potential” risk maps were produced </w:t>
      </w:r>
      <w:r>
        <w:rPr>
          <w:color w:val="000000" w:themeColor="text1"/>
        </w:rPr>
        <w:t xml:space="preserve">for the wet season </w:t>
      </w:r>
      <w:r w:rsidR="005006CE">
        <w:rPr>
          <w:color w:val="000000" w:themeColor="text1"/>
        </w:rPr>
        <w:t>2013-2014</w:t>
      </w:r>
      <w:r>
        <w:rPr>
          <w:color w:val="000000" w:themeColor="text1"/>
        </w:rPr>
        <w:t xml:space="preserve">. </w:t>
      </w:r>
      <w:r w:rsidR="006B5CE6" w:rsidRPr="005F5FB8">
        <w:rPr>
          <w:color w:val="000000" w:themeColor="text1"/>
        </w:rPr>
        <w:t>Each</w:t>
      </w:r>
      <w:r w:rsidR="006B5CE6" w:rsidRPr="00466844">
        <w:rPr>
          <w:color w:val="000000" w:themeColor="text1"/>
        </w:rPr>
        <w:t xml:space="preserve"> </w:t>
      </w:r>
      <w:r w:rsidR="005006CE">
        <w:rPr>
          <w:color w:val="000000" w:themeColor="text1"/>
        </w:rPr>
        <w:t>2013-2014</w:t>
      </w:r>
      <w:r>
        <w:rPr>
          <w:color w:val="000000" w:themeColor="text1"/>
        </w:rPr>
        <w:t xml:space="preserve"> frequency </w:t>
      </w:r>
      <w:r w:rsidR="006B5CE6" w:rsidRPr="00466844">
        <w:rPr>
          <w:color w:val="000000" w:themeColor="text1"/>
        </w:rPr>
        <w:t>map (Primary, Secondary and Tertiary) is attributed a “potential” risk level (I to IV) using the simplified risk matrix</w:t>
      </w:r>
      <w:r>
        <w:rPr>
          <w:color w:val="000000" w:themeColor="text1"/>
        </w:rPr>
        <w:t xml:space="preserve"> (</w:t>
      </w:r>
      <w:r w:rsidR="005935D5">
        <w:rPr>
          <w:color w:val="000000" w:themeColor="text1"/>
        </w:rPr>
        <w:fldChar w:fldCharType="begin"/>
      </w:r>
      <w:r>
        <w:rPr>
          <w:color w:val="000000" w:themeColor="text1"/>
        </w:rPr>
        <w:instrText xml:space="preserve"> REF _Ref428190903 \h </w:instrText>
      </w:r>
      <w:r w:rsidR="005935D5">
        <w:rPr>
          <w:color w:val="000000" w:themeColor="text1"/>
        </w:rPr>
      </w:r>
      <w:r w:rsidR="005935D5">
        <w:rPr>
          <w:color w:val="000000" w:themeColor="text1"/>
        </w:rPr>
        <w:fldChar w:fldCharType="separate"/>
      </w:r>
      <w:r w:rsidR="000E22F3" w:rsidRPr="00E845F6">
        <w:t xml:space="preserve">Figure </w:t>
      </w:r>
      <w:r w:rsidR="000E22F3">
        <w:rPr>
          <w:noProof/>
        </w:rPr>
        <w:t>5</w:t>
      </w:r>
      <w:r w:rsidR="000E22F3">
        <w:noBreakHyphen/>
      </w:r>
      <w:r w:rsidR="000E22F3">
        <w:rPr>
          <w:noProof/>
        </w:rPr>
        <w:t>3</w:t>
      </w:r>
      <w:r w:rsidR="005935D5">
        <w:rPr>
          <w:color w:val="000000" w:themeColor="text1"/>
        </w:rPr>
        <w:fldChar w:fldCharType="end"/>
      </w:r>
      <w:r>
        <w:rPr>
          <w:color w:val="000000" w:themeColor="text1"/>
        </w:rPr>
        <w:t>)</w:t>
      </w:r>
      <w:r w:rsidR="006B5CE6" w:rsidRPr="00466844">
        <w:rPr>
          <w:color w:val="000000" w:themeColor="text1"/>
        </w:rPr>
        <w:t xml:space="preserve">.The three reclassified water type maps are finally combined to create </w:t>
      </w:r>
      <w:r w:rsidR="006B5CE6" w:rsidRPr="00466844">
        <w:t xml:space="preserve">an </w:t>
      </w:r>
      <w:r w:rsidR="006B5CE6" w:rsidRPr="008C3B95">
        <w:t>annual river plume risk map. The maximum risk category value of each cell/likelihood map is selected to keep the highest potential risk level (</w:t>
      </w:r>
      <w:r w:rsidR="00434EFC" w:rsidRPr="008C3B95">
        <w:fldChar w:fldCharType="begin"/>
      </w:r>
      <w:r w:rsidR="00434EFC" w:rsidRPr="008C3B95">
        <w:instrText xml:space="preserve"> REF _Ref428191856 \h  \* MERGEFORMAT </w:instrText>
      </w:r>
      <w:r w:rsidR="00434EFC" w:rsidRPr="008C3B95">
        <w:fldChar w:fldCharType="separate"/>
      </w:r>
      <w:r w:rsidR="000E22F3" w:rsidRPr="000E22F3">
        <w:rPr>
          <w:rFonts w:cs="Times New Roman"/>
          <w:lang w:val="en-US"/>
        </w:rPr>
        <w:t>Figure 5</w:t>
      </w:r>
      <w:r w:rsidR="000E22F3" w:rsidRPr="000E22F3">
        <w:rPr>
          <w:rFonts w:cs="Times New Roman"/>
          <w:lang w:val="en-US"/>
        </w:rPr>
        <w:noBreakHyphen/>
        <w:t>4</w:t>
      </w:r>
      <w:r w:rsidR="00434EFC" w:rsidRPr="008C3B95">
        <w:fldChar w:fldCharType="end"/>
      </w:r>
      <w:r w:rsidR="006B5CE6" w:rsidRPr="008C3B95">
        <w:t>).</w:t>
      </w:r>
      <w:r w:rsidR="006B5CE6" w:rsidRPr="00466844">
        <w:t xml:space="preserve">  A </w:t>
      </w:r>
      <w:r w:rsidR="000A246A">
        <w:t>four-</w:t>
      </w:r>
      <w:r w:rsidR="006B5CE6" w:rsidRPr="00466844">
        <w:t>pixel majority filter is used to smooth the final maps.</w:t>
      </w:r>
      <w:r w:rsidRPr="009B30A6">
        <w:rPr>
          <w:rFonts w:ascii="Calibri" w:eastAsia="Calibri" w:hAnsi="Calibri" w:cs="Times New Roman"/>
          <w:lang w:eastAsia="en-US"/>
        </w:rPr>
        <w:t xml:space="preserve"> </w:t>
      </w:r>
      <w:r w:rsidRPr="00C97CC0">
        <w:rPr>
          <w:rFonts w:ascii="Calibri" w:eastAsia="Calibri" w:hAnsi="Calibri" w:cs="Times New Roman"/>
          <w:lang w:eastAsia="en-US"/>
        </w:rPr>
        <w:t>The term ‘potential’ is used as risk maps haven’t been yet validated against ecological health data to confirm the ecological consequences of the risk, i.e., the risk ranking in</w:t>
      </w:r>
      <w:r>
        <w:rPr>
          <w:rFonts w:ascii="Calibri" w:eastAsia="Calibri" w:hAnsi="Calibri" w:cs="Times New Roman"/>
          <w:lang w:eastAsia="en-US"/>
        </w:rPr>
        <w:t xml:space="preserve"> </w:t>
      </w:r>
      <w:r w:rsidR="000A246A">
        <w:t xml:space="preserve">Figure 5-4 </w:t>
      </w:r>
      <w:r w:rsidRPr="00C97CC0">
        <w:rPr>
          <w:rFonts w:ascii="Calibri" w:eastAsia="Calibri" w:hAnsi="Calibri" w:cs="Times New Roman"/>
          <w:lang w:eastAsia="en-US"/>
        </w:rPr>
        <w:t>(</w:t>
      </w:r>
      <w:r>
        <w:rPr>
          <w:rFonts w:ascii="Calibri" w:eastAsia="Calibri" w:hAnsi="Calibri" w:cs="Times New Roman"/>
          <w:lang w:eastAsia="en-US"/>
        </w:rPr>
        <w:t>I, II, III, IV</w:t>
      </w:r>
      <w:r w:rsidRPr="00C97CC0">
        <w:rPr>
          <w:rFonts w:ascii="Calibri" w:eastAsia="Calibri" w:hAnsi="Calibri" w:cs="Times New Roman"/>
          <w:lang w:eastAsia="en-US"/>
        </w:rPr>
        <w:t>) given a combination of magnitude and likelihood is, at this stage, theoretical.</w:t>
      </w:r>
    </w:p>
    <w:p w14:paraId="263F4830" w14:textId="77777777" w:rsidR="006B5CE6" w:rsidRPr="00466844" w:rsidRDefault="006B5CE6" w:rsidP="006B5CE6">
      <w:pPr>
        <w:spacing w:after="120"/>
        <w:rPr>
          <w:color w:val="000000" w:themeColor="text1"/>
        </w:rPr>
      </w:pPr>
    </w:p>
    <w:p w14:paraId="64C110A8" w14:textId="77777777" w:rsidR="006B5CE6" w:rsidRDefault="006B5CE6" w:rsidP="006B5CE6">
      <w:pPr>
        <w:keepNext/>
        <w:spacing w:after="120"/>
      </w:pPr>
      <w:r>
        <w:rPr>
          <w:noProof/>
          <w:color w:val="000000" w:themeColor="text1"/>
        </w:rPr>
        <w:drawing>
          <wp:inline distT="0" distB="0" distL="0" distR="0" wp14:anchorId="2A113639" wp14:editId="797D46DB">
            <wp:extent cx="5724000" cy="3380400"/>
            <wp:effectExtent l="0" t="0" r="0" b="0"/>
            <wp:docPr id="50" name="Picture 50" descr="theoretical example of the production of an annual risk map and the results for 2 pixels (P1 and P2) in the GBR, their classification, and final risk classification." title="Fig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7" cstate="screen">
                      <a:extLst>
                        <a:ext uri="{28A0092B-C50C-407E-A947-70E740481C1C}">
                          <a14:useLocalDpi xmlns:a14="http://schemas.microsoft.com/office/drawing/2010/main"/>
                        </a:ext>
                      </a:extLst>
                    </a:blip>
                    <a:srcRect/>
                    <a:stretch>
                      <a:fillRect/>
                    </a:stretch>
                  </pic:blipFill>
                  <pic:spPr bwMode="auto">
                    <a:xfrm>
                      <a:off x="0" y="0"/>
                      <a:ext cx="5724000" cy="3380400"/>
                    </a:xfrm>
                    <a:prstGeom prst="rect">
                      <a:avLst/>
                    </a:prstGeom>
                    <a:noFill/>
                  </pic:spPr>
                </pic:pic>
              </a:graphicData>
            </a:graphic>
          </wp:inline>
        </w:drawing>
      </w:r>
    </w:p>
    <w:p w14:paraId="5DA8F836" w14:textId="05C472E6" w:rsidR="006B5CE6" w:rsidRPr="00E845F6" w:rsidRDefault="006B5CE6" w:rsidP="00E845F6">
      <w:pPr>
        <w:pStyle w:val="Caption"/>
      </w:pPr>
      <w:bookmarkStart w:id="226" w:name="_Ref428191856"/>
      <w:bookmarkStart w:id="227" w:name="_Toc428274739"/>
      <w:bookmarkStart w:id="228" w:name="_Toc454303921"/>
      <w:r w:rsidRPr="00E845F6">
        <w:t xml:space="preserve">Figure </w:t>
      </w:r>
      <w:r w:rsidR="009F4CB0">
        <w:fldChar w:fldCharType="begin"/>
      </w:r>
      <w:r w:rsidR="009F4CB0">
        <w:instrText xml:space="preserve"> STYLEREF 1 \s </w:instrText>
      </w:r>
      <w:r w:rsidR="009F4CB0">
        <w:fldChar w:fldCharType="separate"/>
      </w:r>
      <w:r w:rsidR="000E22F3">
        <w:rPr>
          <w:noProof/>
        </w:rPr>
        <w:t>5</w:t>
      </w:r>
      <w:r w:rsidR="009F4CB0">
        <w:fldChar w:fldCharType="end"/>
      </w:r>
      <w:r w:rsidR="009F4CB0">
        <w:noBreakHyphen/>
      </w:r>
      <w:r w:rsidR="009F4CB0">
        <w:fldChar w:fldCharType="begin"/>
      </w:r>
      <w:r w:rsidR="009F4CB0">
        <w:instrText xml:space="preserve"> SEQ Figure \* ARABIC \s 1 </w:instrText>
      </w:r>
      <w:r w:rsidR="009F4CB0">
        <w:fldChar w:fldCharType="separate"/>
      </w:r>
      <w:r w:rsidR="000E22F3">
        <w:rPr>
          <w:noProof/>
        </w:rPr>
        <w:t>4</w:t>
      </w:r>
      <w:r w:rsidR="009F4CB0">
        <w:fldChar w:fldCharType="end"/>
      </w:r>
      <w:bookmarkEnd w:id="226"/>
      <w:r w:rsidRPr="00E845F6">
        <w:t xml:space="preserve">:  </w:t>
      </w:r>
      <w:r w:rsidR="008D578B" w:rsidRPr="00E845F6">
        <w:t>T</w:t>
      </w:r>
      <w:r w:rsidRPr="00E845F6">
        <w:t>heoretical example of the production of an annual risk map and the results for 2 pixels (P1 and P2) in the GBR, their classification, and final risk classification</w:t>
      </w:r>
      <w:bookmarkEnd w:id="227"/>
      <w:r w:rsidR="009B30A6" w:rsidRPr="00E845F6">
        <w:t>.</w:t>
      </w:r>
      <w:bookmarkEnd w:id="228"/>
    </w:p>
    <w:p w14:paraId="61CEF64F" w14:textId="77777777" w:rsidR="00131E41" w:rsidRPr="00D47A52" w:rsidRDefault="00131E41" w:rsidP="00B46AF9">
      <w:pPr>
        <w:pStyle w:val="Heading2"/>
      </w:pPr>
      <w:bookmarkStart w:id="229" w:name="_Toc443299492"/>
      <w:bookmarkStart w:id="230" w:name="_Toc443299705"/>
      <w:bookmarkStart w:id="231" w:name="_Toc454304721"/>
      <w:r w:rsidRPr="00D47A52">
        <w:lastRenderedPageBreak/>
        <w:t>Exposure of GBR ecosystems to river plumes</w:t>
      </w:r>
      <w:bookmarkEnd w:id="229"/>
      <w:bookmarkEnd w:id="230"/>
      <w:bookmarkEnd w:id="231"/>
    </w:p>
    <w:p w14:paraId="5BCC102F" w14:textId="77777777" w:rsidR="009B30A6" w:rsidRDefault="009B30A6" w:rsidP="009B30A6">
      <w:r>
        <w:t>A risk does not exist unless (i) the stressor has the inherent ability to cause one or more adverse effects, and (ii) it co-occurs or comes into contact with an ecological component (i.e., organisms, populations, communities, or ecosystems; US EPA, 1998) susceptible to the stressor. Ecological consequences of the risk will primarily be a function of the presence/absence of GBR</w:t>
      </w:r>
      <w:r w:rsidRPr="00256F25">
        <w:t xml:space="preserve"> </w:t>
      </w:r>
      <w:r>
        <w:t xml:space="preserve">ecosystems subjected to different occurrence and magnitude of risk (i.e. potential risk score). Community characteristics such as the sensitivity and resilience of particular seagrass or coral communities, including the resilience associated with their natural levels of exposure to pollutants, are additional parameters that must be considered when scoring the risk from river plume exposure. However, the consequence of the exposure of species is complicated by the influence of the combined stressors and additional external influences including weather and climate conditions and the ecological significance of pollutant concentrations are mostly unknown at a regional or species level (Brodie et al., 2013). </w:t>
      </w:r>
    </w:p>
    <w:p w14:paraId="744E0002" w14:textId="77777777" w:rsidR="000E22F3" w:rsidRPr="000E22F3" w:rsidRDefault="009B30A6" w:rsidP="00E845F6">
      <w:pPr>
        <w:rPr>
          <w:rFonts w:eastAsia="Calibri"/>
          <w:lang w:eastAsia="en-US"/>
        </w:rPr>
      </w:pPr>
      <w:r>
        <w:t>In this report we simply describe</w:t>
      </w:r>
      <w:r w:rsidRPr="009A7C0A">
        <w:t xml:space="preserve"> the area (km</w:t>
      </w:r>
      <w:r w:rsidRPr="009A7C0A">
        <w:rPr>
          <w:vertAlign w:val="superscript"/>
        </w:rPr>
        <w:t>2</w:t>
      </w:r>
      <w:r w:rsidRPr="009A7C0A">
        <w:t>) and percentage (%) of coral reefs and seagrass meadows exposed to</w:t>
      </w:r>
      <w:r>
        <w:t xml:space="preserve"> river plume and to</w:t>
      </w:r>
      <w:r w:rsidRPr="009A7C0A">
        <w:t xml:space="preserve"> different categories of </w:t>
      </w:r>
      <w:r>
        <w:t xml:space="preserve">potential </w:t>
      </w:r>
      <w:r w:rsidRPr="009A7C0A">
        <w:t>risk</w:t>
      </w:r>
      <w:r>
        <w:t xml:space="preserve"> from river plume exposure</w:t>
      </w:r>
      <w:r w:rsidRPr="009A7C0A">
        <w:t xml:space="preserve">. Areas of GBR waters within each marine NRM region exposed to different categories of river plume and river plume risk are also reported in recognition of other important habitats and populations that exist in these areas (Brodie et al., 2013). </w:t>
      </w:r>
      <w:r w:rsidR="00434EFC">
        <w:fldChar w:fldCharType="begin"/>
      </w:r>
      <w:r w:rsidR="00434EFC">
        <w:instrText xml:space="preserve"> REF _Ref432671074 \h  \* MERGEFORMAT </w:instrText>
      </w:r>
      <w:r w:rsidR="00434EFC">
        <w:fldChar w:fldCharType="separate"/>
      </w:r>
    </w:p>
    <w:p w14:paraId="3E95D2F6" w14:textId="77158484" w:rsidR="00131E41" w:rsidRPr="00ED3D85" w:rsidRDefault="000E22F3" w:rsidP="00131E41">
      <w:pPr>
        <w:rPr>
          <w:rFonts w:eastAsia="Calibri"/>
          <w:lang w:eastAsia="en-US"/>
        </w:rPr>
      </w:pPr>
      <w:r w:rsidRPr="000E22F3">
        <w:rPr>
          <w:rFonts w:eastAsia="Calibri"/>
          <w:lang w:eastAsia="en-US"/>
        </w:rPr>
        <w:t xml:space="preserve">Figure </w:t>
      </w:r>
      <w:r>
        <w:rPr>
          <w:noProof/>
        </w:rPr>
        <w:t>5</w:t>
      </w:r>
      <w:r>
        <w:rPr>
          <w:noProof/>
        </w:rPr>
        <w:noBreakHyphen/>
        <w:t>5</w:t>
      </w:r>
      <w:r w:rsidR="00434EFC">
        <w:fldChar w:fldCharType="end"/>
      </w:r>
      <w:r w:rsidR="00131E41" w:rsidRPr="00C05222">
        <w:rPr>
          <w:rFonts w:eastAsia="Calibri"/>
          <w:lang w:eastAsia="en-US"/>
        </w:rPr>
        <w:t xml:space="preserve"> and </w:t>
      </w:r>
      <w:r w:rsidR="00434EFC">
        <w:fldChar w:fldCharType="begin"/>
      </w:r>
      <w:r w:rsidR="00434EFC">
        <w:instrText xml:space="preserve"> REF _Ref432671080 \h  \* MERGEFORMAT </w:instrText>
      </w:r>
      <w:r w:rsidR="00434EFC">
        <w:fldChar w:fldCharType="separate"/>
      </w:r>
      <w:r w:rsidRPr="000E22F3">
        <w:rPr>
          <w:rFonts w:eastAsia="Calibri"/>
          <w:lang w:eastAsia="en-US"/>
        </w:rPr>
        <w:t>Figure 5</w:t>
      </w:r>
      <w:r w:rsidRPr="000E22F3">
        <w:rPr>
          <w:rFonts w:eastAsia="Calibri"/>
          <w:lang w:eastAsia="en-US"/>
        </w:rPr>
        <w:noBreakHyphen/>
        <w:t>6</w:t>
      </w:r>
      <w:r w:rsidR="00434EFC">
        <w:fldChar w:fldCharType="end"/>
      </w:r>
      <w:r w:rsidR="00131E41" w:rsidRPr="00C05222">
        <w:rPr>
          <w:rFonts w:eastAsia="Calibri"/>
          <w:lang w:eastAsia="en-US"/>
        </w:rPr>
        <w:t xml:space="preserve"> present the marine boundaries used for the GBR Marine Park, each NRM region and the seagrass and coral reefs ecosystems. </w:t>
      </w:r>
      <w:r w:rsidR="00131E41">
        <w:rPr>
          <w:rFonts w:eastAsia="Calibri"/>
          <w:lang w:eastAsia="en-US"/>
        </w:rPr>
        <w:t xml:space="preserve">We assumed in this study that the shapefile can be used as a representation of the actual seagrass distribution. </w:t>
      </w:r>
      <w:r w:rsidR="00131E41" w:rsidRPr="00DF1C49">
        <w:rPr>
          <w:rFonts w:eastAsia="Calibri"/>
          <w:lang w:eastAsia="en-US"/>
        </w:rPr>
        <w:t>Spatial distribution of the deepwater seagrass is a statistically mode</w:t>
      </w:r>
      <w:r w:rsidR="00131E41">
        <w:rPr>
          <w:rFonts w:eastAsia="Calibri"/>
          <w:lang w:eastAsia="en-US"/>
        </w:rPr>
        <w:t>l</w:t>
      </w:r>
      <w:r w:rsidR="00131E41" w:rsidRPr="00DF1C49">
        <w:rPr>
          <w:rFonts w:eastAsia="Calibri"/>
          <w:lang w:eastAsia="en-US"/>
        </w:rPr>
        <w:t>led pro</w:t>
      </w:r>
      <w:r w:rsidR="00131E41">
        <w:rPr>
          <w:rFonts w:eastAsia="Calibri"/>
          <w:lang w:eastAsia="en-US"/>
        </w:rPr>
        <w:t>b</w:t>
      </w:r>
      <w:r w:rsidR="00131E41" w:rsidRPr="00DF1C49">
        <w:rPr>
          <w:rFonts w:eastAsia="Calibri"/>
          <w:lang w:eastAsia="en-US"/>
        </w:rPr>
        <w:t>ability of seagrass presence (using generali</w:t>
      </w:r>
      <w:r w:rsidR="00554012">
        <w:rPr>
          <w:rFonts w:eastAsia="Calibri"/>
          <w:lang w:eastAsia="en-US"/>
        </w:rPr>
        <w:t>s</w:t>
      </w:r>
      <w:r w:rsidR="00131E41" w:rsidRPr="00DF1C49">
        <w:rPr>
          <w:rFonts w:eastAsia="Calibri"/>
          <w:lang w:eastAsia="en-US"/>
        </w:rPr>
        <w:t>ed additive models (GAMs) with binomial error and smoothed terms in relative distance across and along the GBR) in GBRWHA wat</w:t>
      </w:r>
      <w:r w:rsidR="00131E41">
        <w:rPr>
          <w:rFonts w:eastAsia="Calibri"/>
          <w:lang w:eastAsia="en-US"/>
        </w:rPr>
        <w:t>ers &gt;15m depth, based on ground-truthing of each data point</w:t>
      </w:r>
      <w:r w:rsidR="00131E41" w:rsidRPr="00DF1C49">
        <w:rPr>
          <w:rFonts w:eastAsia="Calibri"/>
          <w:lang w:eastAsia="en-US"/>
        </w:rPr>
        <w:t>. For details on approach, see Coles et al. (2009).</w:t>
      </w:r>
    </w:p>
    <w:p w14:paraId="5ADB10E7" w14:textId="77777777" w:rsidR="00E845F6" w:rsidRDefault="00131E41" w:rsidP="00E845F6">
      <w:r w:rsidRPr="00DF1C49">
        <w:rPr>
          <w:rFonts w:ascii="Calibri" w:eastAsia="Calibri" w:hAnsi="Calibri" w:cs="Times New Roman"/>
          <w:noProof/>
        </w:rPr>
        <w:drawing>
          <wp:anchor distT="0" distB="0" distL="114300" distR="114300" simplePos="0" relativeHeight="251786240" behindDoc="0" locked="0" layoutInCell="1" allowOverlap="1" wp14:anchorId="25544435" wp14:editId="22454F64">
            <wp:simplePos x="0" y="0"/>
            <wp:positionH relativeFrom="column">
              <wp:posOffset>8255</wp:posOffset>
            </wp:positionH>
            <wp:positionV relativeFrom="paragraph">
              <wp:posOffset>123825</wp:posOffset>
            </wp:positionV>
            <wp:extent cx="3956050" cy="4036695"/>
            <wp:effectExtent l="19050" t="19050" r="25400" b="20955"/>
            <wp:wrapSquare wrapText="bothSides"/>
            <wp:docPr id="77" name="Picture 3" descr="Marine boundaries used for the GBR Marine Park (a), each NRM region and the coral reefs ecosystems. Coral Reef and NRM layers derived from: GBRMPA, 2013, GBR feature shapefiles and enlargements around (b) the Tully-Herbert Rivers and (c) the Burdekin river. " title="Fig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8" cstate="screen">
                      <a:extLst>
                        <a:ext uri="{28A0092B-C50C-407E-A947-70E740481C1C}">
                          <a14:useLocalDpi xmlns:a14="http://schemas.microsoft.com/office/drawing/2010/main"/>
                        </a:ext>
                      </a:extLst>
                    </a:blip>
                    <a:srcRect/>
                    <a:stretch>
                      <a:fillRect/>
                    </a:stretch>
                  </pic:blipFill>
                  <pic:spPr bwMode="auto">
                    <a:xfrm>
                      <a:off x="0" y="0"/>
                      <a:ext cx="3956050" cy="4036695"/>
                    </a:xfrm>
                    <a:prstGeom prst="rect">
                      <a:avLst/>
                    </a:prstGeom>
                    <a:solidFill>
                      <a:sysClr val="window" lastClr="FFFFFF"/>
                    </a:solidFill>
                    <a:ln>
                      <a:solidFill>
                        <a:schemeClr val="tx1"/>
                      </a:solidFill>
                    </a:ln>
                  </pic:spPr>
                </pic:pic>
              </a:graphicData>
            </a:graphic>
          </wp:anchor>
        </w:drawing>
      </w:r>
      <w:bookmarkStart w:id="232" w:name="_Ref432671074"/>
      <w:bookmarkStart w:id="233" w:name="_Toc427833269"/>
    </w:p>
    <w:p w14:paraId="43D8357B" w14:textId="1A5827F9" w:rsidR="00131E41" w:rsidRDefault="00131E41" w:rsidP="00E845F6">
      <w:pPr>
        <w:rPr>
          <w:rFonts w:eastAsia="Calibri"/>
        </w:rPr>
      </w:pPr>
      <w:bookmarkStart w:id="234" w:name="_Toc454303922"/>
      <w:r w:rsidRPr="00E11FA7">
        <w:t xml:space="preserve">Figure </w:t>
      </w:r>
      <w:fldSimple w:instr=" STYLEREF 1 \s ">
        <w:r w:rsidR="000E22F3">
          <w:rPr>
            <w:noProof/>
          </w:rPr>
          <w:t>5</w:t>
        </w:r>
      </w:fldSimple>
      <w:r w:rsidR="009F4CB0">
        <w:noBreakHyphen/>
      </w:r>
      <w:fldSimple w:instr=" SEQ Figure \* ARABIC \s 1 ">
        <w:r w:rsidR="000E22F3">
          <w:rPr>
            <w:noProof/>
          </w:rPr>
          <w:t>5</w:t>
        </w:r>
      </w:fldSimple>
      <w:bookmarkEnd w:id="232"/>
      <w:r w:rsidRPr="00E11FA7">
        <w:t xml:space="preserve">: </w:t>
      </w:r>
      <w:r w:rsidRPr="00E11FA7">
        <w:rPr>
          <w:rFonts w:eastAsia="Calibri"/>
        </w:rPr>
        <w:t>Marine boundaries used for the GBR Marine Park (a), each NRM region and the coral reefs ecosystems. Coral Reef and NRM layers derived from: GBRMPA, 2013, GBR feature shapefiles and enlargements around (b) the Tully-Herbert Rivers and (c) the Burdekin river.</w:t>
      </w:r>
      <w:bookmarkEnd w:id="233"/>
      <w:bookmarkEnd w:id="234"/>
      <w:r w:rsidRPr="00E11FA7">
        <w:rPr>
          <w:rFonts w:eastAsia="Calibri"/>
        </w:rPr>
        <w:t xml:space="preserve"> </w:t>
      </w:r>
    </w:p>
    <w:p w14:paraId="588882B4" w14:textId="77777777" w:rsidR="00131E41" w:rsidRDefault="00131E41" w:rsidP="00131E41">
      <w:pPr>
        <w:rPr>
          <w:rFonts w:eastAsia="Calibri"/>
          <w:lang w:val="en-GB" w:eastAsia="en-US"/>
        </w:rPr>
      </w:pPr>
    </w:p>
    <w:p w14:paraId="080B1720" w14:textId="77777777" w:rsidR="00131E41" w:rsidRDefault="00131E41" w:rsidP="00131E41">
      <w:pPr>
        <w:rPr>
          <w:rFonts w:eastAsia="Calibri"/>
          <w:lang w:val="en-GB" w:eastAsia="en-US"/>
        </w:rPr>
      </w:pPr>
    </w:p>
    <w:p w14:paraId="2C82D109" w14:textId="090A6307" w:rsidR="00131E41" w:rsidRDefault="00131E41" w:rsidP="00131E41">
      <w:pPr>
        <w:rPr>
          <w:rFonts w:eastAsia="Calibri"/>
          <w:lang w:val="en-GB" w:eastAsia="en-US"/>
        </w:rPr>
      </w:pPr>
    </w:p>
    <w:p w14:paraId="319A18C4" w14:textId="77777777" w:rsidR="00131E41" w:rsidRDefault="00131E41" w:rsidP="00131E41">
      <w:pPr>
        <w:rPr>
          <w:rFonts w:eastAsia="Calibri"/>
          <w:lang w:val="en-GB" w:eastAsia="en-US"/>
        </w:rPr>
      </w:pPr>
    </w:p>
    <w:p w14:paraId="7FB4F084" w14:textId="77777777" w:rsidR="00131E41" w:rsidRDefault="00131E41" w:rsidP="00131E41">
      <w:pPr>
        <w:rPr>
          <w:rFonts w:eastAsia="Calibri"/>
          <w:lang w:val="en-GB" w:eastAsia="en-US"/>
        </w:rPr>
      </w:pPr>
    </w:p>
    <w:p w14:paraId="58037A7B" w14:textId="47600686" w:rsidR="00316965" w:rsidRDefault="00316965" w:rsidP="00E845F6">
      <w:pPr>
        <w:pStyle w:val="Caption"/>
      </w:pPr>
      <w:bookmarkStart w:id="235" w:name="_Ref432671080"/>
      <w:bookmarkStart w:id="236" w:name="_Toc454303923"/>
      <w:bookmarkStart w:id="237" w:name="_Toc427833270"/>
      <w:r w:rsidRPr="00D47A52">
        <w:rPr>
          <w:noProof/>
          <w:lang w:val="en-AU" w:eastAsia="en-AU"/>
        </w:rPr>
        <w:lastRenderedPageBreak/>
        <w:drawing>
          <wp:anchor distT="0" distB="0" distL="114300" distR="114300" simplePos="0" relativeHeight="251787264" behindDoc="0" locked="0" layoutInCell="1" allowOverlap="1" wp14:anchorId="43AE4BFC" wp14:editId="234BB6F7">
            <wp:simplePos x="0" y="0"/>
            <wp:positionH relativeFrom="margin">
              <wp:posOffset>36830</wp:posOffset>
            </wp:positionH>
            <wp:positionV relativeFrom="paragraph">
              <wp:posOffset>117475</wp:posOffset>
            </wp:positionV>
            <wp:extent cx="3954145" cy="3930650"/>
            <wp:effectExtent l="19050" t="19050" r="27305" b="12700"/>
            <wp:wrapSquare wrapText="bothSides"/>
            <wp:docPr id="78" name="Picture 11" descr="Marine boundaries used for the GBR Marine Park (a), each NRM region and the coral reefs ecosystems. NRM layers derived from: GBRMPA, 2013, GBR feature shapefiles and seagrass layers from DAFF, Feb. 2013; and enlargements around (b) the Tully-Herbert rivers and (c) the Burdekin rivers. Spatial distribution of the surveyed seagrasses bed is an historical layer composed from all meadows examined between 1984 and 2008 (see reports at: http://www.seagrasswatch.org/meg.html). " title="Fig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9" cstate="screen">
                      <a:extLst>
                        <a:ext uri="{28A0092B-C50C-407E-A947-70E740481C1C}">
                          <a14:useLocalDpi xmlns:a14="http://schemas.microsoft.com/office/drawing/2010/main"/>
                        </a:ext>
                      </a:extLst>
                    </a:blip>
                    <a:srcRect/>
                    <a:stretch>
                      <a:fillRect/>
                    </a:stretch>
                  </pic:blipFill>
                  <pic:spPr bwMode="auto">
                    <a:xfrm>
                      <a:off x="0" y="0"/>
                      <a:ext cx="3954145" cy="3930650"/>
                    </a:xfrm>
                    <a:prstGeom prst="rect">
                      <a:avLst/>
                    </a:prstGeom>
                    <a:solidFill>
                      <a:sysClr val="window" lastClr="FFFFFF"/>
                    </a:solidFill>
                    <a:ln>
                      <a:solidFill>
                        <a:schemeClr val="tx1"/>
                      </a:solidFill>
                    </a:ln>
                  </pic:spPr>
                </pic:pic>
              </a:graphicData>
            </a:graphic>
          </wp:anchor>
        </w:drawing>
      </w:r>
    </w:p>
    <w:p w14:paraId="187EA1A5" w14:textId="5C586D25" w:rsidR="00316965" w:rsidRDefault="00316965" w:rsidP="00E845F6">
      <w:pPr>
        <w:pStyle w:val="Caption"/>
      </w:pPr>
    </w:p>
    <w:p w14:paraId="40E7DB61" w14:textId="77777777" w:rsidR="00316965" w:rsidRDefault="00316965" w:rsidP="00316965">
      <w:pPr>
        <w:rPr>
          <w:lang w:val="en-GB" w:eastAsia="en-US"/>
        </w:rPr>
      </w:pPr>
    </w:p>
    <w:p w14:paraId="19D7E950" w14:textId="77777777" w:rsidR="00316965" w:rsidRDefault="00316965" w:rsidP="00316965">
      <w:pPr>
        <w:rPr>
          <w:lang w:val="en-GB" w:eastAsia="en-US"/>
        </w:rPr>
      </w:pPr>
    </w:p>
    <w:p w14:paraId="0B1E6A12" w14:textId="77777777" w:rsidR="00316965" w:rsidRDefault="00316965" w:rsidP="00316965">
      <w:pPr>
        <w:rPr>
          <w:lang w:val="en-GB" w:eastAsia="en-US"/>
        </w:rPr>
      </w:pPr>
    </w:p>
    <w:p w14:paraId="28D7FD5F" w14:textId="77777777" w:rsidR="00316965" w:rsidRDefault="00316965" w:rsidP="00316965">
      <w:pPr>
        <w:rPr>
          <w:lang w:val="en-GB" w:eastAsia="en-US"/>
        </w:rPr>
      </w:pPr>
    </w:p>
    <w:p w14:paraId="011FEE45" w14:textId="77777777" w:rsidR="00316965" w:rsidRDefault="00316965" w:rsidP="00316965">
      <w:pPr>
        <w:rPr>
          <w:lang w:val="en-GB" w:eastAsia="en-US"/>
        </w:rPr>
      </w:pPr>
    </w:p>
    <w:p w14:paraId="41048EDB" w14:textId="77777777" w:rsidR="00316965" w:rsidRDefault="00316965" w:rsidP="00316965">
      <w:pPr>
        <w:rPr>
          <w:lang w:val="en-GB" w:eastAsia="en-US"/>
        </w:rPr>
      </w:pPr>
    </w:p>
    <w:p w14:paraId="66E92D77" w14:textId="77777777" w:rsidR="00316965" w:rsidRDefault="00316965" w:rsidP="00316965">
      <w:pPr>
        <w:rPr>
          <w:lang w:val="en-GB" w:eastAsia="en-US"/>
        </w:rPr>
      </w:pPr>
    </w:p>
    <w:p w14:paraId="1A822598" w14:textId="77777777" w:rsidR="00316965" w:rsidRDefault="00316965" w:rsidP="00316965">
      <w:pPr>
        <w:rPr>
          <w:lang w:val="en-GB" w:eastAsia="en-US"/>
        </w:rPr>
      </w:pPr>
    </w:p>
    <w:p w14:paraId="0DE8F943" w14:textId="77777777" w:rsidR="00316965" w:rsidRDefault="00316965" w:rsidP="00316965">
      <w:pPr>
        <w:rPr>
          <w:lang w:val="en-GB" w:eastAsia="en-US"/>
        </w:rPr>
      </w:pPr>
    </w:p>
    <w:p w14:paraId="3DAF25EE" w14:textId="77777777" w:rsidR="00316965" w:rsidRDefault="00316965" w:rsidP="00316965">
      <w:pPr>
        <w:rPr>
          <w:lang w:val="en-GB" w:eastAsia="en-US"/>
        </w:rPr>
      </w:pPr>
    </w:p>
    <w:p w14:paraId="034EE3D8" w14:textId="77777777" w:rsidR="00316965" w:rsidRDefault="00316965" w:rsidP="00316965">
      <w:pPr>
        <w:rPr>
          <w:lang w:val="en-GB" w:eastAsia="en-US"/>
        </w:rPr>
      </w:pPr>
    </w:p>
    <w:p w14:paraId="04879AC8" w14:textId="77777777" w:rsidR="00316965" w:rsidRPr="00316965" w:rsidRDefault="00316965" w:rsidP="00316965">
      <w:pPr>
        <w:rPr>
          <w:lang w:val="en-GB" w:eastAsia="en-US"/>
        </w:rPr>
      </w:pPr>
    </w:p>
    <w:p w14:paraId="2E6FBE3C" w14:textId="61499ECF" w:rsidR="00E845F6" w:rsidRPr="00E845F6" w:rsidRDefault="00131E41" w:rsidP="00316965">
      <w:pPr>
        <w:pStyle w:val="Caption"/>
      </w:pPr>
      <w:r w:rsidRPr="00D47A52">
        <w:t xml:space="preserve">Figure </w:t>
      </w:r>
      <w:r w:rsidR="009F4CB0">
        <w:fldChar w:fldCharType="begin"/>
      </w:r>
      <w:r w:rsidR="009F4CB0">
        <w:instrText xml:space="preserve"> STYLEREF 1 \s </w:instrText>
      </w:r>
      <w:r w:rsidR="009F4CB0">
        <w:fldChar w:fldCharType="separate"/>
      </w:r>
      <w:r w:rsidR="000E22F3">
        <w:rPr>
          <w:noProof/>
        </w:rPr>
        <w:t>5</w:t>
      </w:r>
      <w:r w:rsidR="009F4CB0">
        <w:fldChar w:fldCharType="end"/>
      </w:r>
      <w:r w:rsidR="009F4CB0">
        <w:noBreakHyphen/>
      </w:r>
      <w:r w:rsidR="009F4CB0">
        <w:fldChar w:fldCharType="begin"/>
      </w:r>
      <w:r w:rsidR="009F4CB0">
        <w:instrText xml:space="preserve"> SEQ Figure \* ARABIC \s 1 </w:instrText>
      </w:r>
      <w:r w:rsidR="009F4CB0">
        <w:fldChar w:fldCharType="separate"/>
      </w:r>
      <w:r w:rsidR="000E22F3">
        <w:rPr>
          <w:noProof/>
        </w:rPr>
        <w:t>6</w:t>
      </w:r>
      <w:r w:rsidR="009F4CB0">
        <w:fldChar w:fldCharType="end"/>
      </w:r>
      <w:bookmarkEnd w:id="235"/>
      <w:r w:rsidRPr="00D47A52">
        <w:t xml:space="preserve">: Marine boundaries used for the GBR Marine Park (a), each NRM region and the coral reefs ecosystems. NRM layers derived from: GBRMPA, 2013, GBR feature shapefiles and seagrass layers from DAFF, Feb. 2013. Spatial distribution of seagrass is a historical layer </w:t>
      </w:r>
      <w:r w:rsidR="00D47A52">
        <w:t>f</w:t>
      </w:r>
      <w:r w:rsidRPr="00D47A52">
        <w:t>rom all meadows examined between 1984 and 2008 (see reports at</w:t>
      </w:r>
      <w:r w:rsidRPr="00DF1C49">
        <w:rPr>
          <w:rFonts w:eastAsia="Calibri"/>
        </w:rPr>
        <w:t xml:space="preserve">: </w:t>
      </w:r>
      <w:hyperlink r:id="rId100" w:history="1">
        <w:r w:rsidR="00E845F6" w:rsidRPr="00E845F6">
          <w:t>http://www.seagrasswatch</w:t>
        </w:r>
      </w:hyperlink>
      <w:r w:rsidR="00E845F6" w:rsidRPr="00E845F6">
        <w:t>.</w:t>
      </w:r>
      <w:bookmarkEnd w:id="236"/>
      <w:r w:rsidR="00E845F6">
        <w:t>org</w:t>
      </w:r>
      <w:r w:rsidR="00E845F6" w:rsidRPr="00E845F6">
        <w:t>/meg.html</w:t>
      </w:r>
    </w:p>
    <w:p w14:paraId="3B23085A" w14:textId="2BA6B628" w:rsidR="00E92024" w:rsidRDefault="00E92024" w:rsidP="00E845F6">
      <w:pPr>
        <w:pStyle w:val="Caption"/>
        <w:rPr>
          <w:rFonts w:eastAsia="Calibri"/>
        </w:rPr>
      </w:pPr>
      <w:r>
        <w:rPr>
          <w:rFonts w:eastAsia="Calibri"/>
        </w:rPr>
        <w:br w:type="page"/>
      </w:r>
    </w:p>
    <w:p w14:paraId="4A043744" w14:textId="77777777" w:rsidR="00131E41" w:rsidRPr="00D47A52" w:rsidRDefault="00131E41" w:rsidP="00B46AF9">
      <w:pPr>
        <w:pStyle w:val="Heading2"/>
        <w:numPr>
          <w:ilvl w:val="1"/>
          <w:numId w:val="3"/>
        </w:numPr>
      </w:pPr>
      <w:bookmarkStart w:id="238" w:name="_Toc443299493"/>
      <w:bookmarkStart w:id="239" w:name="_Toc443299706"/>
      <w:bookmarkStart w:id="240" w:name="_Toc454304722"/>
      <w:bookmarkEnd w:id="237"/>
      <w:r w:rsidRPr="00D47A52">
        <w:lastRenderedPageBreak/>
        <w:t>Results</w:t>
      </w:r>
      <w:bookmarkEnd w:id="238"/>
      <w:bookmarkEnd w:id="239"/>
      <w:bookmarkEnd w:id="240"/>
    </w:p>
    <w:p w14:paraId="1EC90BFD" w14:textId="000798A9" w:rsidR="00131E41" w:rsidRPr="00D47A52" w:rsidRDefault="000A6B4D" w:rsidP="000A6B4D">
      <w:pPr>
        <w:pStyle w:val="Heading2"/>
      </w:pPr>
      <w:bookmarkStart w:id="241" w:name="_Toc427251549"/>
      <w:bookmarkStart w:id="242" w:name="_Toc427831212"/>
      <w:bookmarkStart w:id="243" w:name="_Toc428793343"/>
      <w:bookmarkStart w:id="244" w:name="_Toc428851348"/>
      <w:bookmarkStart w:id="245" w:name="_Toc443299494"/>
      <w:bookmarkStart w:id="246" w:name="_Toc443299707"/>
      <w:bookmarkStart w:id="247" w:name="_Toc454304723"/>
      <w:r>
        <w:t xml:space="preserve">Plume </w:t>
      </w:r>
      <w:r w:rsidR="00131E41" w:rsidRPr="00D47A52">
        <w:t>frequency maps</w:t>
      </w:r>
      <w:bookmarkEnd w:id="241"/>
      <w:bookmarkEnd w:id="242"/>
      <w:bookmarkEnd w:id="243"/>
      <w:bookmarkEnd w:id="244"/>
      <w:bookmarkEnd w:id="245"/>
      <w:bookmarkEnd w:id="246"/>
      <w:r>
        <w:t>, 2013-2014</w:t>
      </w:r>
      <w:bookmarkEnd w:id="247"/>
    </w:p>
    <w:p w14:paraId="21DDAC0C" w14:textId="0436F2E9" w:rsidR="00131E41" w:rsidRPr="00DF1C49" w:rsidRDefault="00131E41" w:rsidP="00131E41">
      <w:pPr>
        <w:rPr>
          <w:rFonts w:ascii="Calibri" w:eastAsia="Calibri" w:hAnsi="Calibri" w:cs="Times New Roman"/>
          <w:lang w:eastAsia="en-US"/>
        </w:rPr>
      </w:pPr>
      <w:r>
        <w:rPr>
          <w:rFonts w:ascii="Calibri" w:eastAsia="Calibri" w:hAnsi="Calibri" w:cs="Times New Roman"/>
          <w:lang w:eastAsia="en-US"/>
        </w:rPr>
        <w:t>The annual frequency maps</w:t>
      </w:r>
      <w:r w:rsidRPr="00DF1C49">
        <w:rPr>
          <w:rFonts w:ascii="Calibri" w:eastAsia="Calibri" w:hAnsi="Calibri" w:cs="Times New Roman"/>
          <w:lang w:eastAsia="en-US"/>
        </w:rPr>
        <w:t xml:space="preserve"> illustrate GBR marine areas affected by river plume waters as well as the spatial </w:t>
      </w:r>
      <w:r w:rsidRPr="00593CC8">
        <w:rPr>
          <w:rFonts w:ascii="Calibri" w:eastAsia="Calibri" w:hAnsi="Calibri" w:cs="Times New Roman"/>
          <w:color w:val="000000" w:themeColor="text1"/>
          <w:lang w:eastAsia="en-US"/>
        </w:rPr>
        <w:t xml:space="preserve">distribution and frequencies of occurrence of the three GBR plume water types (Primary, Secondary, and Tertiary) during the wet season </w:t>
      </w:r>
      <w:r w:rsidR="005006CE">
        <w:rPr>
          <w:rFonts w:ascii="Calibri" w:eastAsia="Calibri" w:hAnsi="Calibri" w:cs="Times New Roman"/>
          <w:color w:val="000000" w:themeColor="text1"/>
          <w:lang w:eastAsia="en-US"/>
        </w:rPr>
        <w:t>2013-2014</w:t>
      </w:r>
      <w:r w:rsidR="00855A5C">
        <w:rPr>
          <w:rFonts w:ascii="Calibri" w:eastAsia="Calibri" w:hAnsi="Calibri" w:cs="Times New Roman"/>
          <w:color w:val="000000" w:themeColor="text1"/>
          <w:lang w:eastAsia="en-US"/>
        </w:rPr>
        <w:t xml:space="preserve"> (</w:t>
      </w:r>
      <w:r w:rsidR="005935D5" w:rsidRPr="00933636">
        <w:rPr>
          <w:rFonts w:ascii="Calibri" w:eastAsia="Calibri" w:hAnsi="Calibri" w:cs="Times New Roman"/>
          <w:color w:val="0D0D0D" w:themeColor="text1" w:themeTint="F2"/>
          <w:lang w:eastAsia="en-US"/>
        </w:rPr>
        <w:fldChar w:fldCharType="begin"/>
      </w:r>
      <w:r w:rsidR="00855A5C" w:rsidRPr="00933636">
        <w:rPr>
          <w:rFonts w:ascii="Calibri" w:eastAsia="Calibri" w:hAnsi="Calibri" w:cs="Times New Roman"/>
          <w:color w:val="0D0D0D" w:themeColor="text1" w:themeTint="F2"/>
          <w:lang w:eastAsia="en-US"/>
        </w:rPr>
        <w:instrText xml:space="preserve"> REF _Ref433188553 \h </w:instrText>
      </w:r>
      <w:r w:rsidR="005935D5" w:rsidRPr="00933636">
        <w:rPr>
          <w:rFonts w:ascii="Calibri" w:eastAsia="Calibri" w:hAnsi="Calibri" w:cs="Times New Roman"/>
          <w:color w:val="0D0D0D" w:themeColor="text1" w:themeTint="F2"/>
          <w:lang w:eastAsia="en-US"/>
        </w:rPr>
      </w:r>
      <w:r w:rsidR="005935D5" w:rsidRPr="00933636">
        <w:rPr>
          <w:rFonts w:ascii="Calibri" w:eastAsia="Calibri" w:hAnsi="Calibri" w:cs="Times New Roman"/>
          <w:color w:val="0D0D0D" w:themeColor="text1" w:themeTint="F2"/>
          <w:lang w:eastAsia="en-US"/>
        </w:rPr>
        <w:fldChar w:fldCharType="separate"/>
      </w:r>
      <w:r w:rsidR="000E22F3" w:rsidRPr="009B30A6">
        <w:rPr>
          <w:rFonts w:eastAsia="Calibri"/>
        </w:rPr>
        <w:t xml:space="preserve">Figure </w:t>
      </w:r>
      <w:r w:rsidR="000E22F3">
        <w:rPr>
          <w:rFonts w:eastAsia="Calibri"/>
          <w:noProof/>
        </w:rPr>
        <w:t>5</w:t>
      </w:r>
      <w:r w:rsidR="000E22F3">
        <w:rPr>
          <w:rFonts w:eastAsia="Calibri"/>
        </w:rPr>
        <w:noBreakHyphen/>
      </w:r>
      <w:r w:rsidR="000E22F3">
        <w:rPr>
          <w:rFonts w:eastAsia="Calibri"/>
          <w:noProof/>
        </w:rPr>
        <w:t>7</w:t>
      </w:r>
      <w:r w:rsidR="005935D5" w:rsidRPr="00933636">
        <w:rPr>
          <w:rFonts w:ascii="Calibri" w:eastAsia="Calibri" w:hAnsi="Calibri" w:cs="Times New Roman"/>
          <w:color w:val="0D0D0D" w:themeColor="text1" w:themeTint="F2"/>
          <w:lang w:eastAsia="en-US"/>
        </w:rPr>
        <w:fldChar w:fldCharType="end"/>
      </w:r>
      <w:r w:rsidR="005A44ED" w:rsidRPr="00933636">
        <w:rPr>
          <w:rFonts w:ascii="Calibri" w:eastAsia="Calibri" w:hAnsi="Calibri" w:cs="Times New Roman"/>
          <w:color w:val="0D0D0D" w:themeColor="text1" w:themeTint="F2"/>
          <w:lang w:eastAsia="en-US"/>
        </w:rPr>
        <w:t xml:space="preserve"> to </w:t>
      </w:r>
      <w:r w:rsidR="005935D5">
        <w:rPr>
          <w:rFonts w:ascii="Calibri" w:eastAsia="Calibri" w:hAnsi="Calibri" w:cs="Times New Roman"/>
          <w:color w:val="000000" w:themeColor="text1"/>
          <w:lang w:eastAsia="en-US"/>
        </w:rPr>
        <w:fldChar w:fldCharType="begin"/>
      </w:r>
      <w:r w:rsidR="00855A5C">
        <w:rPr>
          <w:rFonts w:ascii="Calibri" w:eastAsia="Calibri" w:hAnsi="Calibri" w:cs="Times New Roman"/>
          <w:color w:val="000000" w:themeColor="text1"/>
          <w:lang w:eastAsia="en-US"/>
        </w:rPr>
        <w:instrText xml:space="preserve"> REF _Ref428260588 \h </w:instrText>
      </w:r>
      <w:r w:rsidR="005935D5">
        <w:rPr>
          <w:rFonts w:ascii="Calibri" w:eastAsia="Calibri" w:hAnsi="Calibri" w:cs="Times New Roman"/>
          <w:color w:val="000000" w:themeColor="text1"/>
          <w:lang w:eastAsia="en-US"/>
        </w:rPr>
      </w:r>
      <w:r w:rsidR="005935D5">
        <w:rPr>
          <w:rFonts w:ascii="Calibri" w:eastAsia="Calibri" w:hAnsi="Calibri" w:cs="Times New Roman"/>
          <w:color w:val="000000" w:themeColor="text1"/>
          <w:lang w:eastAsia="en-US"/>
        </w:rPr>
        <w:fldChar w:fldCharType="separate"/>
      </w:r>
      <w:r w:rsidR="000E22F3" w:rsidRPr="009B30A6">
        <w:rPr>
          <w:rFonts w:eastAsia="Calibri"/>
        </w:rPr>
        <w:t xml:space="preserve">Figure </w:t>
      </w:r>
      <w:r w:rsidR="000E22F3">
        <w:rPr>
          <w:rFonts w:eastAsia="Calibri"/>
          <w:noProof/>
        </w:rPr>
        <w:t>5</w:t>
      </w:r>
      <w:r w:rsidR="000E22F3">
        <w:rPr>
          <w:rFonts w:eastAsia="Calibri"/>
        </w:rPr>
        <w:noBreakHyphen/>
      </w:r>
      <w:r w:rsidR="000E22F3">
        <w:rPr>
          <w:rFonts w:eastAsia="Calibri"/>
          <w:noProof/>
        </w:rPr>
        <w:t>9</w:t>
      </w:r>
      <w:r w:rsidR="005935D5">
        <w:rPr>
          <w:rFonts w:ascii="Calibri" w:eastAsia="Calibri" w:hAnsi="Calibri" w:cs="Times New Roman"/>
          <w:color w:val="000000" w:themeColor="text1"/>
          <w:lang w:eastAsia="en-US"/>
        </w:rPr>
        <w:fldChar w:fldCharType="end"/>
      </w:r>
      <w:r w:rsidR="00855A5C">
        <w:rPr>
          <w:rFonts w:ascii="Calibri" w:eastAsia="Calibri" w:hAnsi="Calibri" w:cs="Times New Roman"/>
          <w:color w:val="000000" w:themeColor="text1"/>
          <w:lang w:eastAsia="en-US"/>
        </w:rPr>
        <w:t>)</w:t>
      </w:r>
      <w:r w:rsidRPr="00593CC8">
        <w:rPr>
          <w:rFonts w:ascii="Calibri" w:eastAsia="Calibri" w:hAnsi="Calibri" w:cs="Times New Roman"/>
          <w:color w:val="000000" w:themeColor="text1"/>
          <w:lang w:eastAsia="en-US"/>
        </w:rPr>
        <w:t xml:space="preserve">. Enlargements around </w:t>
      </w:r>
      <w:r w:rsidR="00E92024">
        <w:rPr>
          <w:rFonts w:ascii="Calibri" w:eastAsia="Calibri" w:hAnsi="Calibri" w:cs="Times New Roman"/>
          <w:color w:val="000000" w:themeColor="text1"/>
          <w:lang w:eastAsia="en-US"/>
        </w:rPr>
        <w:t>th</w:t>
      </w:r>
      <w:r w:rsidR="00855A5C">
        <w:rPr>
          <w:rFonts w:ascii="Calibri" w:eastAsia="Calibri" w:hAnsi="Calibri" w:cs="Times New Roman"/>
          <w:color w:val="000000" w:themeColor="text1"/>
          <w:lang w:eastAsia="en-US"/>
        </w:rPr>
        <w:t>e</w:t>
      </w:r>
      <w:r w:rsidRPr="00593CC8">
        <w:rPr>
          <w:rFonts w:ascii="Calibri" w:eastAsia="Calibri" w:hAnsi="Calibri" w:cs="Times New Roman"/>
          <w:color w:val="000000" w:themeColor="text1"/>
          <w:lang w:eastAsia="en-US"/>
        </w:rPr>
        <w:t xml:space="preserve"> regions </w:t>
      </w:r>
      <w:r w:rsidR="00855A5C">
        <w:rPr>
          <w:rFonts w:ascii="Calibri" w:eastAsia="Calibri" w:hAnsi="Calibri" w:cs="Times New Roman"/>
          <w:color w:val="000000" w:themeColor="text1"/>
          <w:lang w:eastAsia="en-US"/>
        </w:rPr>
        <w:t xml:space="preserve">of the GBR </w:t>
      </w:r>
      <w:r w:rsidRPr="00593CC8">
        <w:rPr>
          <w:rFonts w:ascii="Calibri" w:eastAsia="Calibri" w:hAnsi="Calibri" w:cs="Times New Roman"/>
          <w:color w:val="000000" w:themeColor="text1"/>
          <w:lang w:eastAsia="en-US"/>
        </w:rPr>
        <w:t xml:space="preserve">are presented in </w:t>
      </w:r>
      <w:r w:rsidR="005935D5">
        <w:rPr>
          <w:rFonts w:ascii="Calibri" w:eastAsia="Calibri" w:hAnsi="Calibri" w:cs="Times New Roman"/>
          <w:color w:val="000000" w:themeColor="text1"/>
          <w:lang w:eastAsia="en-US"/>
        </w:rPr>
        <w:fldChar w:fldCharType="begin"/>
      </w:r>
      <w:r w:rsidR="00855A5C">
        <w:rPr>
          <w:rFonts w:ascii="Calibri" w:eastAsia="Calibri" w:hAnsi="Calibri" w:cs="Times New Roman"/>
          <w:color w:val="000000" w:themeColor="text1"/>
          <w:lang w:eastAsia="en-US"/>
        </w:rPr>
        <w:instrText xml:space="preserve"> REF _Ref392773713 \h </w:instrText>
      </w:r>
      <w:r w:rsidR="005935D5">
        <w:rPr>
          <w:rFonts w:ascii="Calibri" w:eastAsia="Calibri" w:hAnsi="Calibri" w:cs="Times New Roman"/>
          <w:color w:val="000000" w:themeColor="text1"/>
          <w:lang w:eastAsia="en-US"/>
        </w:rPr>
      </w:r>
      <w:r w:rsidR="005935D5">
        <w:rPr>
          <w:rFonts w:ascii="Calibri" w:eastAsia="Calibri" w:hAnsi="Calibri" w:cs="Times New Roman"/>
          <w:color w:val="000000" w:themeColor="text1"/>
          <w:lang w:eastAsia="en-US"/>
        </w:rPr>
        <w:fldChar w:fldCharType="separate"/>
      </w:r>
      <w:r w:rsidR="000E22F3" w:rsidRPr="009B30A6">
        <w:rPr>
          <w:rFonts w:eastAsia="Calibri"/>
        </w:rPr>
        <w:t xml:space="preserve">Figure </w:t>
      </w:r>
      <w:r w:rsidR="000E22F3">
        <w:rPr>
          <w:rFonts w:eastAsia="Calibri"/>
          <w:noProof/>
        </w:rPr>
        <w:t>5</w:t>
      </w:r>
      <w:r w:rsidR="000E22F3">
        <w:rPr>
          <w:rFonts w:eastAsia="Calibri"/>
        </w:rPr>
        <w:noBreakHyphen/>
      </w:r>
      <w:r w:rsidR="000E22F3">
        <w:rPr>
          <w:rFonts w:eastAsia="Calibri"/>
          <w:noProof/>
        </w:rPr>
        <w:t>8</w:t>
      </w:r>
      <w:r w:rsidR="005935D5">
        <w:rPr>
          <w:rFonts w:ascii="Calibri" w:eastAsia="Calibri" w:hAnsi="Calibri" w:cs="Times New Roman"/>
          <w:color w:val="000000" w:themeColor="text1"/>
          <w:lang w:eastAsia="en-US"/>
        </w:rPr>
        <w:fldChar w:fldCharType="end"/>
      </w:r>
      <w:r w:rsidR="005A44ED">
        <w:rPr>
          <w:rFonts w:ascii="Calibri" w:eastAsia="Calibri" w:hAnsi="Calibri" w:cs="Times New Roman"/>
          <w:color w:val="000000" w:themeColor="text1"/>
          <w:lang w:eastAsia="en-US"/>
        </w:rPr>
        <w:t xml:space="preserve"> to </w:t>
      </w:r>
      <w:r w:rsidR="005935D5">
        <w:rPr>
          <w:rFonts w:ascii="Calibri" w:eastAsia="Calibri" w:hAnsi="Calibri" w:cs="Times New Roman"/>
          <w:color w:val="000000" w:themeColor="text1"/>
          <w:lang w:eastAsia="en-US"/>
        </w:rPr>
        <w:fldChar w:fldCharType="begin"/>
      </w:r>
      <w:r w:rsidR="00855A5C">
        <w:rPr>
          <w:rFonts w:ascii="Calibri" w:eastAsia="Calibri" w:hAnsi="Calibri" w:cs="Times New Roman"/>
          <w:color w:val="000000" w:themeColor="text1"/>
          <w:lang w:eastAsia="en-US"/>
        </w:rPr>
        <w:instrText xml:space="preserve"> REF _Ref392778794 \h </w:instrText>
      </w:r>
      <w:r w:rsidR="005935D5">
        <w:rPr>
          <w:rFonts w:ascii="Calibri" w:eastAsia="Calibri" w:hAnsi="Calibri" w:cs="Times New Roman"/>
          <w:color w:val="000000" w:themeColor="text1"/>
          <w:lang w:eastAsia="en-US"/>
        </w:rPr>
      </w:r>
      <w:r w:rsidR="005935D5">
        <w:rPr>
          <w:rFonts w:ascii="Calibri" w:eastAsia="Calibri" w:hAnsi="Calibri" w:cs="Times New Roman"/>
          <w:color w:val="000000" w:themeColor="text1"/>
          <w:lang w:eastAsia="en-US"/>
        </w:rPr>
        <w:fldChar w:fldCharType="separate"/>
      </w:r>
      <w:r w:rsidR="000E22F3" w:rsidRPr="003D6318">
        <w:t xml:space="preserve">Figure </w:t>
      </w:r>
      <w:r w:rsidR="000E22F3">
        <w:rPr>
          <w:noProof/>
        </w:rPr>
        <w:t>5</w:t>
      </w:r>
      <w:r w:rsidR="000E22F3">
        <w:noBreakHyphen/>
      </w:r>
      <w:r w:rsidR="000E22F3">
        <w:rPr>
          <w:noProof/>
        </w:rPr>
        <w:t>10</w:t>
      </w:r>
      <w:r w:rsidR="005935D5">
        <w:rPr>
          <w:rFonts w:ascii="Calibri" w:eastAsia="Calibri" w:hAnsi="Calibri" w:cs="Times New Roman"/>
          <w:color w:val="000000" w:themeColor="text1"/>
          <w:lang w:eastAsia="en-US"/>
        </w:rPr>
        <w:fldChar w:fldCharType="end"/>
      </w:r>
      <w:r w:rsidRPr="00593CC8">
        <w:rPr>
          <w:rFonts w:ascii="Calibri" w:eastAsia="Calibri" w:hAnsi="Calibri" w:cs="Times New Roman"/>
          <w:color w:val="000000" w:themeColor="text1"/>
          <w:lang w:eastAsia="en-US"/>
        </w:rPr>
        <w:t xml:space="preserve">. Note that this mapping exercise only identifies the </w:t>
      </w:r>
      <w:r w:rsidRPr="00E92024">
        <w:rPr>
          <w:rFonts w:ascii="Calibri" w:eastAsia="Calibri" w:hAnsi="Calibri" w:cs="Times New Roman"/>
          <w:b/>
          <w:color w:val="000000" w:themeColor="text1"/>
          <w:lang w:eastAsia="en-US"/>
        </w:rPr>
        <w:t>surface</w:t>
      </w:r>
      <w:r w:rsidRPr="00593CC8">
        <w:rPr>
          <w:rFonts w:ascii="Calibri" w:eastAsia="Calibri" w:hAnsi="Calibri" w:cs="Times New Roman"/>
          <w:color w:val="000000" w:themeColor="text1"/>
          <w:lang w:eastAsia="en-US"/>
        </w:rPr>
        <w:t xml:space="preserve"> river plume waters and plume </w:t>
      </w:r>
      <w:r w:rsidRPr="007D397E">
        <w:rPr>
          <w:rFonts w:ascii="Calibri" w:eastAsia="Calibri" w:hAnsi="Calibri" w:cs="Times New Roman"/>
          <w:lang w:eastAsia="en-US"/>
        </w:rPr>
        <w:t xml:space="preserve">water types and is not identifying scale or extent of impact on GBR ecosystems. </w:t>
      </w:r>
    </w:p>
    <w:p w14:paraId="501E189B" w14:textId="77777777" w:rsidR="00131E41" w:rsidRDefault="00131E41" w:rsidP="0065493C">
      <w:pPr>
        <w:rPr>
          <w:rFonts w:eastAsia="Calibri"/>
        </w:rPr>
      </w:pPr>
      <w:r>
        <w:rPr>
          <w:rFonts w:ascii="Calibri" w:eastAsia="Calibri" w:hAnsi="Calibri" w:cs="Times New Roman"/>
          <w:lang w:eastAsia="en-US"/>
        </w:rPr>
        <w:t>The plume water type maps</w:t>
      </w:r>
      <w:r w:rsidRPr="00DF1C49">
        <w:rPr>
          <w:rFonts w:ascii="Calibri" w:eastAsia="Calibri" w:hAnsi="Calibri" w:cs="Times New Roman"/>
          <w:lang w:eastAsia="en-US"/>
        </w:rPr>
        <w:t xml:space="preserve"> </w:t>
      </w:r>
      <w:r>
        <w:rPr>
          <w:rFonts w:ascii="Calibri" w:eastAsia="Calibri" w:hAnsi="Calibri" w:cs="Times New Roman"/>
          <w:lang w:eastAsia="en-US"/>
        </w:rPr>
        <w:t xml:space="preserve">provide </w:t>
      </w:r>
      <w:r w:rsidRPr="00DF1C49">
        <w:rPr>
          <w:rFonts w:ascii="Calibri" w:eastAsia="Calibri" w:hAnsi="Calibri" w:cs="Times New Roman"/>
          <w:lang w:eastAsia="en-US"/>
        </w:rPr>
        <w:t>inform</w:t>
      </w:r>
      <w:r>
        <w:rPr>
          <w:rFonts w:ascii="Calibri" w:eastAsia="Calibri" w:hAnsi="Calibri" w:cs="Times New Roman"/>
          <w:lang w:eastAsia="en-US"/>
        </w:rPr>
        <w:t>ation</w:t>
      </w:r>
      <w:r w:rsidRPr="00DF1C49">
        <w:rPr>
          <w:rFonts w:ascii="Calibri" w:eastAsia="Calibri" w:hAnsi="Calibri" w:cs="Times New Roman"/>
          <w:lang w:eastAsia="en-US"/>
        </w:rPr>
        <w:t xml:space="preserve"> on the type/composition of river plume (through the Primary, Secondary, and Tertiary water type classification) and on the frequency of occurrence (or likelihood) of these plume water </w:t>
      </w:r>
      <w:r w:rsidRPr="00593CC8">
        <w:rPr>
          <w:rFonts w:ascii="Calibri" w:eastAsia="Calibri" w:hAnsi="Calibri" w:cs="Times New Roman"/>
          <w:color w:val="000000" w:themeColor="text1"/>
          <w:lang w:eastAsia="en-US"/>
        </w:rPr>
        <w:t xml:space="preserve">types. </w:t>
      </w:r>
      <w:r w:rsidR="00855A5C">
        <w:t>These maps illustrate a</w:t>
      </w:r>
      <w:r w:rsidR="00855A5C" w:rsidRPr="003A754A">
        <w:t xml:space="preserve"> </w:t>
      </w:r>
      <w:r w:rsidR="00855A5C">
        <w:t xml:space="preserve">well-documented </w:t>
      </w:r>
      <w:r w:rsidR="00855A5C" w:rsidRPr="003A754A">
        <w:t>inshore to offshore spatial pattern</w:t>
      </w:r>
      <w:r w:rsidR="00855A5C">
        <w:t xml:space="preserve"> (e.g., Devlin et al., </w:t>
      </w:r>
      <w:r w:rsidR="008029CF">
        <w:t>2015</w:t>
      </w:r>
      <w:r w:rsidR="00855A5C">
        <w:t>), with coastal</w:t>
      </w:r>
      <w:r w:rsidR="00855A5C" w:rsidRPr="003A754A">
        <w:t xml:space="preserve"> areas experienc</w:t>
      </w:r>
      <w:r w:rsidR="00855A5C">
        <w:t>ing the</w:t>
      </w:r>
      <w:r w:rsidR="00855A5C" w:rsidRPr="003A754A">
        <w:t xml:space="preserve"> </w:t>
      </w:r>
      <w:r w:rsidR="00855A5C">
        <w:t>highest frequency of occurrence of Primary plume waters and offshore areas less frequently exposed to plume and, when exposed, more frequently reached by the tertiary water type of river plumes.</w:t>
      </w:r>
    </w:p>
    <w:p w14:paraId="2DA2E0C1" w14:textId="77777777" w:rsidR="009B30A6" w:rsidRPr="00BC409E" w:rsidRDefault="009B30A6" w:rsidP="009B30A6"/>
    <w:p w14:paraId="5C951BE9" w14:textId="77777777" w:rsidR="009B30A6" w:rsidRDefault="009B30A6" w:rsidP="009B30A6">
      <w:r>
        <w:rPr>
          <w:noProof/>
        </w:rPr>
        <w:lastRenderedPageBreak/>
        <w:drawing>
          <wp:anchor distT="0" distB="0" distL="114300" distR="114300" simplePos="0" relativeHeight="251807744" behindDoc="0" locked="0" layoutInCell="1" allowOverlap="1" wp14:anchorId="1EBED78E" wp14:editId="3DBA8095">
            <wp:simplePos x="0" y="0"/>
            <wp:positionH relativeFrom="margin">
              <wp:align>left</wp:align>
            </wp:positionH>
            <wp:positionV relativeFrom="paragraph">
              <wp:posOffset>0</wp:posOffset>
            </wp:positionV>
            <wp:extent cx="5745480" cy="6336665"/>
            <wp:effectExtent l="0" t="0" r="7620" b="6985"/>
            <wp:wrapTopAndBottom/>
            <wp:docPr id="68" name="Picture 68" descr="2013-14 frequency map: full plume extent in the GBR" title="Fig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_FullExtent.tif"/>
                    <pic:cNvPicPr/>
                  </pic:nvPicPr>
                  <pic:blipFill rotWithShape="1">
                    <a:blip r:embed="rId101" cstate="screen">
                      <a:extLst>
                        <a:ext uri="{28A0092B-C50C-407E-A947-70E740481C1C}">
                          <a14:useLocalDpi xmlns:a14="http://schemas.microsoft.com/office/drawing/2010/main" val="0"/>
                        </a:ext>
                      </a:extLst>
                    </a:blip>
                    <a:srcRect/>
                    <a:stretch/>
                  </pic:blipFill>
                  <pic:spPr bwMode="auto">
                    <a:xfrm>
                      <a:off x="0" y="0"/>
                      <a:ext cx="5745480" cy="633666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F5CA4A4" w14:textId="7489FDB9" w:rsidR="009B30A6" w:rsidRPr="00BC409E" w:rsidRDefault="009B30A6" w:rsidP="008C3B95">
      <w:pPr>
        <w:pStyle w:val="Caption"/>
        <w:rPr>
          <w:b/>
          <w:bCs/>
          <w:color w:val="4F81BD" w:themeColor="accent1"/>
        </w:rPr>
      </w:pPr>
      <w:bookmarkStart w:id="248" w:name="_Ref433188553"/>
      <w:bookmarkStart w:id="249" w:name="_Toc428274746"/>
      <w:bookmarkStart w:id="250" w:name="_Toc454303924"/>
      <w:r w:rsidRPr="009B30A6">
        <w:rPr>
          <w:rFonts w:eastAsia="Calibri"/>
        </w:rPr>
        <w:t xml:space="preserve">Figure </w:t>
      </w:r>
      <w:r w:rsidR="009F4CB0">
        <w:rPr>
          <w:rFonts w:eastAsia="Calibri"/>
        </w:rPr>
        <w:fldChar w:fldCharType="begin"/>
      </w:r>
      <w:r w:rsidR="009F4CB0">
        <w:rPr>
          <w:rFonts w:eastAsia="Calibri"/>
        </w:rPr>
        <w:instrText xml:space="preserve"> STYLEREF 1 \s </w:instrText>
      </w:r>
      <w:r w:rsidR="009F4CB0">
        <w:rPr>
          <w:rFonts w:eastAsia="Calibri"/>
        </w:rPr>
        <w:fldChar w:fldCharType="separate"/>
      </w:r>
      <w:r w:rsidR="000E22F3">
        <w:rPr>
          <w:rFonts w:eastAsia="Calibri"/>
          <w:noProof/>
        </w:rPr>
        <w:t>5</w:t>
      </w:r>
      <w:r w:rsidR="009F4CB0">
        <w:rPr>
          <w:rFonts w:eastAsia="Calibri"/>
        </w:rPr>
        <w:fldChar w:fldCharType="end"/>
      </w:r>
      <w:r w:rsidR="009F4CB0">
        <w:rPr>
          <w:rFonts w:eastAsia="Calibri"/>
        </w:rPr>
        <w:noBreakHyphen/>
      </w:r>
      <w:r w:rsidR="009F4CB0">
        <w:rPr>
          <w:rFonts w:eastAsia="Calibri"/>
        </w:rPr>
        <w:fldChar w:fldCharType="begin"/>
      </w:r>
      <w:r w:rsidR="009F4CB0">
        <w:rPr>
          <w:rFonts w:eastAsia="Calibri"/>
        </w:rPr>
        <w:instrText xml:space="preserve"> SEQ Figure \* ARABIC \s 1 </w:instrText>
      </w:r>
      <w:r w:rsidR="009F4CB0">
        <w:rPr>
          <w:rFonts w:eastAsia="Calibri"/>
        </w:rPr>
        <w:fldChar w:fldCharType="separate"/>
      </w:r>
      <w:r w:rsidR="000E22F3">
        <w:rPr>
          <w:rFonts w:eastAsia="Calibri"/>
          <w:noProof/>
        </w:rPr>
        <w:t>7</w:t>
      </w:r>
      <w:r w:rsidR="009F4CB0">
        <w:rPr>
          <w:rFonts w:eastAsia="Calibri"/>
        </w:rPr>
        <w:fldChar w:fldCharType="end"/>
      </w:r>
      <w:bookmarkEnd w:id="248"/>
      <w:r w:rsidRPr="009B30A6">
        <w:rPr>
          <w:rFonts w:eastAsia="Calibri"/>
        </w:rPr>
        <w:t xml:space="preserve">: </w:t>
      </w:r>
      <w:r w:rsidR="005006CE">
        <w:rPr>
          <w:rFonts w:eastAsia="Calibri"/>
        </w:rPr>
        <w:t>2013-2014</w:t>
      </w:r>
      <w:r w:rsidRPr="009B30A6">
        <w:rPr>
          <w:rFonts w:eastAsia="Calibri"/>
        </w:rPr>
        <w:t xml:space="preserve"> </w:t>
      </w:r>
      <w:bookmarkEnd w:id="249"/>
      <w:r w:rsidR="00E92024">
        <w:rPr>
          <w:rFonts w:eastAsia="Calibri"/>
        </w:rPr>
        <w:t xml:space="preserve">plume </w:t>
      </w:r>
      <w:r w:rsidRPr="009B30A6">
        <w:rPr>
          <w:rFonts w:eastAsia="Calibri"/>
        </w:rPr>
        <w:t>frequency map: full plume extent in the GBR</w:t>
      </w:r>
      <w:r w:rsidR="00E92024">
        <w:rPr>
          <w:rFonts w:eastAsia="Calibri"/>
        </w:rPr>
        <w:t>.</w:t>
      </w:r>
      <w:r w:rsidR="0053571A">
        <w:rPr>
          <w:rFonts w:eastAsia="Calibri"/>
        </w:rPr>
        <w:t xml:space="preserve"> The scale is normalised between 0 and 1, where 1 is equivalent to 22 weeks (full wet season).</w:t>
      </w:r>
      <w:bookmarkEnd w:id="250"/>
    </w:p>
    <w:p w14:paraId="0025101B" w14:textId="77777777" w:rsidR="009B30A6" w:rsidRDefault="009B30A6" w:rsidP="009B30A6"/>
    <w:p w14:paraId="28E79E32" w14:textId="77777777" w:rsidR="009B30A6" w:rsidRDefault="009B30A6" w:rsidP="009B30A6">
      <w:pPr>
        <w:keepNext/>
      </w:pPr>
      <w:r>
        <w:rPr>
          <w:noProof/>
        </w:rPr>
        <w:lastRenderedPageBreak/>
        <w:drawing>
          <wp:inline distT="0" distB="0" distL="0" distR="0" wp14:anchorId="6635BF81" wp14:editId="280FB76A">
            <wp:extent cx="4816549" cy="8101177"/>
            <wp:effectExtent l="0" t="0" r="3175" b="0"/>
            <wp:docPr id="51" name="Picture 51" descr=" 2013-14 frequency map: full plume extent across NRM regions" title="Fig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02" cstate="screen">
                      <a:extLst>
                        <a:ext uri="{28A0092B-C50C-407E-A947-70E740481C1C}">
                          <a14:useLocalDpi xmlns:a14="http://schemas.microsoft.com/office/drawing/2010/main"/>
                        </a:ext>
                      </a:extLst>
                    </a:blip>
                    <a:srcRect/>
                    <a:stretch>
                      <a:fillRect/>
                    </a:stretch>
                  </pic:blipFill>
                  <pic:spPr bwMode="auto">
                    <a:xfrm>
                      <a:off x="0" y="0"/>
                      <a:ext cx="4826190" cy="8117393"/>
                    </a:xfrm>
                    <a:prstGeom prst="rect">
                      <a:avLst/>
                    </a:prstGeom>
                    <a:noFill/>
                  </pic:spPr>
                </pic:pic>
              </a:graphicData>
            </a:graphic>
          </wp:inline>
        </w:drawing>
      </w:r>
    </w:p>
    <w:p w14:paraId="58ACBB75" w14:textId="55541B6C" w:rsidR="009B30A6" w:rsidRPr="009B30A6" w:rsidRDefault="009B30A6" w:rsidP="0053571A">
      <w:pPr>
        <w:pStyle w:val="Caption"/>
        <w:rPr>
          <w:rFonts w:eastAsia="Calibri"/>
        </w:rPr>
      </w:pPr>
      <w:bookmarkStart w:id="251" w:name="_Ref392773713"/>
      <w:bookmarkStart w:id="252" w:name="_Toc428274747"/>
      <w:bookmarkStart w:id="253" w:name="_Toc454303925"/>
      <w:r w:rsidRPr="009B30A6">
        <w:rPr>
          <w:rFonts w:eastAsia="Calibri"/>
        </w:rPr>
        <w:t xml:space="preserve">Figure </w:t>
      </w:r>
      <w:r w:rsidR="009F4CB0">
        <w:rPr>
          <w:rFonts w:eastAsia="Calibri"/>
        </w:rPr>
        <w:fldChar w:fldCharType="begin"/>
      </w:r>
      <w:r w:rsidR="009F4CB0">
        <w:rPr>
          <w:rFonts w:eastAsia="Calibri"/>
        </w:rPr>
        <w:instrText xml:space="preserve"> STYLEREF 1 \s </w:instrText>
      </w:r>
      <w:r w:rsidR="009F4CB0">
        <w:rPr>
          <w:rFonts w:eastAsia="Calibri"/>
        </w:rPr>
        <w:fldChar w:fldCharType="separate"/>
      </w:r>
      <w:r w:rsidR="000E22F3">
        <w:rPr>
          <w:rFonts w:eastAsia="Calibri"/>
          <w:noProof/>
        </w:rPr>
        <w:t>5</w:t>
      </w:r>
      <w:r w:rsidR="009F4CB0">
        <w:rPr>
          <w:rFonts w:eastAsia="Calibri"/>
        </w:rPr>
        <w:fldChar w:fldCharType="end"/>
      </w:r>
      <w:r w:rsidR="009F4CB0">
        <w:rPr>
          <w:rFonts w:eastAsia="Calibri"/>
        </w:rPr>
        <w:noBreakHyphen/>
      </w:r>
      <w:r w:rsidR="009F4CB0">
        <w:rPr>
          <w:rFonts w:eastAsia="Calibri"/>
        </w:rPr>
        <w:fldChar w:fldCharType="begin"/>
      </w:r>
      <w:r w:rsidR="009F4CB0">
        <w:rPr>
          <w:rFonts w:eastAsia="Calibri"/>
        </w:rPr>
        <w:instrText xml:space="preserve"> SEQ Figure \* ARABIC \s 1 </w:instrText>
      </w:r>
      <w:r w:rsidR="009F4CB0">
        <w:rPr>
          <w:rFonts w:eastAsia="Calibri"/>
        </w:rPr>
        <w:fldChar w:fldCharType="separate"/>
      </w:r>
      <w:r w:rsidR="000E22F3">
        <w:rPr>
          <w:rFonts w:eastAsia="Calibri"/>
          <w:noProof/>
        </w:rPr>
        <w:t>8</w:t>
      </w:r>
      <w:r w:rsidR="009F4CB0">
        <w:rPr>
          <w:rFonts w:eastAsia="Calibri"/>
        </w:rPr>
        <w:fldChar w:fldCharType="end"/>
      </w:r>
      <w:bookmarkEnd w:id="251"/>
      <w:r w:rsidRPr="009B30A6">
        <w:rPr>
          <w:rFonts w:eastAsia="Calibri"/>
        </w:rPr>
        <w:t xml:space="preserve">: </w:t>
      </w:r>
      <w:bookmarkEnd w:id="252"/>
      <w:r w:rsidR="005006CE">
        <w:rPr>
          <w:rFonts w:eastAsia="Calibri"/>
        </w:rPr>
        <w:t>2013-2014</w:t>
      </w:r>
      <w:r w:rsidR="00E92024">
        <w:rPr>
          <w:rFonts w:eastAsia="Calibri"/>
        </w:rPr>
        <w:t xml:space="preserve"> plume</w:t>
      </w:r>
      <w:r w:rsidRPr="009B30A6">
        <w:rPr>
          <w:rFonts w:eastAsia="Calibri"/>
        </w:rPr>
        <w:t xml:space="preserve"> frequency map: </w:t>
      </w:r>
      <w:r w:rsidR="00E92024">
        <w:rPr>
          <w:rFonts w:eastAsia="Calibri"/>
        </w:rPr>
        <w:t>F</w:t>
      </w:r>
      <w:r w:rsidRPr="009B30A6">
        <w:rPr>
          <w:rFonts w:eastAsia="Calibri"/>
        </w:rPr>
        <w:t xml:space="preserve">ull plume extent across </w:t>
      </w:r>
      <w:r w:rsidR="00E92024">
        <w:rPr>
          <w:rFonts w:eastAsia="Calibri"/>
        </w:rPr>
        <w:t xml:space="preserve">each </w:t>
      </w:r>
      <w:r w:rsidRPr="009B30A6">
        <w:rPr>
          <w:rFonts w:eastAsia="Calibri"/>
        </w:rPr>
        <w:t>NRM region</w:t>
      </w:r>
      <w:r w:rsidR="00E92024">
        <w:rPr>
          <w:rFonts w:eastAsia="Calibri"/>
        </w:rPr>
        <w:t>.</w:t>
      </w:r>
      <w:r w:rsidR="0053571A">
        <w:rPr>
          <w:rFonts w:eastAsia="Calibri"/>
        </w:rPr>
        <w:t xml:space="preserve"> The scale is as per Figure 5-7 and is normalised between 0 and 1, where 1 is equivalent to 22 weeks (full wet season).</w:t>
      </w:r>
      <w:bookmarkEnd w:id="253"/>
    </w:p>
    <w:p w14:paraId="75A050D1" w14:textId="77777777" w:rsidR="009B30A6" w:rsidRPr="00BC409E" w:rsidRDefault="009B30A6" w:rsidP="009B30A6"/>
    <w:p w14:paraId="22494F8C" w14:textId="77777777" w:rsidR="009B30A6" w:rsidRPr="003D6318" w:rsidRDefault="009B30A6" w:rsidP="009B30A6">
      <w:r w:rsidRPr="003D6318">
        <w:rPr>
          <w:noProof/>
        </w:rPr>
        <w:drawing>
          <wp:inline distT="0" distB="0" distL="0" distR="0" wp14:anchorId="2F0D1398" wp14:editId="3669BA77">
            <wp:extent cx="5656521" cy="6859149"/>
            <wp:effectExtent l="0" t="0" r="1905" b="0"/>
            <wp:docPr id="88" name="Picture 88" descr="2013-14 frequency map:, plume water types (P: Primary, S: Secondary, T; Tertiary) in the GBR." title="Fig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03" cstate="screen">
                      <a:extLst>
                        <a:ext uri="{28A0092B-C50C-407E-A947-70E740481C1C}">
                          <a14:useLocalDpi xmlns:a14="http://schemas.microsoft.com/office/drawing/2010/main"/>
                        </a:ext>
                      </a:extLst>
                    </a:blip>
                    <a:srcRect/>
                    <a:stretch>
                      <a:fillRect/>
                    </a:stretch>
                  </pic:blipFill>
                  <pic:spPr bwMode="auto">
                    <a:xfrm>
                      <a:off x="0" y="0"/>
                      <a:ext cx="5659478" cy="6862735"/>
                    </a:xfrm>
                    <a:prstGeom prst="rect">
                      <a:avLst/>
                    </a:prstGeom>
                    <a:noFill/>
                  </pic:spPr>
                </pic:pic>
              </a:graphicData>
            </a:graphic>
          </wp:inline>
        </w:drawing>
      </w:r>
    </w:p>
    <w:p w14:paraId="717D7DCE" w14:textId="77777777" w:rsidR="009B30A6" w:rsidRPr="003D6318" w:rsidRDefault="009B30A6" w:rsidP="009B30A6">
      <w:pPr>
        <w:pStyle w:val="Caption"/>
        <w:jc w:val="both"/>
        <w:rPr>
          <w:b/>
          <w:bCs/>
          <w:color w:val="auto"/>
          <w:szCs w:val="22"/>
        </w:rPr>
      </w:pPr>
      <w:bookmarkStart w:id="254" w:name="_Ref392778790"/>
    </w:p>
    <w:p w14:paraId="765040C4" w14:textId="1C5231A3" w:rsidR="009B30A6" w:rsidRPr="009B30A6" w:rsidRDefault="009B30A6" w:rsidP="0053571A">
      <w:pPr>
        <w:pStyle w:val="Caption"/>
        <w:rPr>
          <w:rFonts w:eastAsia="Calibri"/>
        </w:rPr>
      </w:pPr>
      <w:bookmarkStart w:id="255" w:name="_Ref428260588"/>
      <w:bookmarkStart w:id="256" w:name="_Toc428274748"/>
      <w:bookmarkStart w:id="257" w:name="_Toc454303926"/>
      <w:r w:rsidRPr="009B30A6">
        <w:rPr>
          <w:rFonts w:eastAsia="Calibri"/>
        </w:rPr>
        <w:t xml:space="preserve">Figure </w:t>
      </w:r>
      <w:r w:rsidR="009F4CB0">
        <w:rPr>
          <w:rFonts w:eastAsia="Calibri"/>
        </w:rPr>
        <w:fldChar w:fldCharType="begin"/>
      </w:r>
      <w:r w:rsidR="009F4CB0">
        <w:rPr>
          <w:rFonts w:eastAsia="Calibri"/>
        </w:rPr>
        <w:instrText xml:space="preserve"> STYLEREF 1 \s </w:instrText>
      </w:r>
      <w:r w:rsidR="009F4CB0">
        <w:rPr>
          <w:rFonts w:eastAsia="Calibri"/>
        </w:rPr>
        <w:fldChar w:fldCharType="separate"/>
      </w:r>
      <w:r w:rsidR="000E22F3">
        <w:rPr>
          <w:rFonts w:eastAsia="Calibri"/>
          <w:noProof/>
        </w:rPr>
        <w:t>5</w:t>
      </w:r>
      <w:r w:rsidR="009F4CB0">
        <w:rPr>
          <w:rFonts w:eastAsia="Calibri"/>
        </w:rPr>
        <w:fldChar w:fldCharType="end"/>
      </w:r>
      <w:r w:rsidR="009F4CB0">
        <w:rPr>
          <w:rFonts w:eastAsia="Calibri"/>
        </w:rPr>
        <w:noBreakHyphen/>
      </w:r>
      <w:r w:rsidR="009F4CB0">
        <w:rPr>
          <w:rFonts w:eastAsia="Calibri"/>
        </w:rPr>
        <w:fldChar w:fldCharType="begin"/>
      </w:r>
      <w:r w:rsidR="009F4CB0">
        <w:rPr>
          <w:rFonts w:eastAsia="Calibri"/>
        </w:rPr>
        <w:instrText xml:space="preserve"> SEQ Figure \* ARABIC \s 1 </w:instrText>
      </w:r>
      <w:r w:rsidR="009F4CB0">
        <w:rPr>
          <w:rFonts w:eastAsia="Calibri"/>
        </w:rPr>
        <w:fldChar w:fldCharType="separate"/>
      </w:r>
      <w:r w:rsidR="000E22F3">
        <w:rPr>
          <w:rFonts w:eastAsia="Calibri"/>
          <w:noProof/>
        </w:rPr>
        <w:t>9</w:t>
      </w:r>
      <w:r w:rsidR="009F4CB0">
        <w:rPr>
          <w:rFonts w:eastAsia="Calibri"/>
        </w:rPr>
        <w:fldChar w:fldCharType="end"/>
      </w:r>
      <w:bookmarkEnd w:id="254"/>
      <w:bookmarkEnd w:id="255"/>
      <w:r w:rsidRPr="009B30A6">
        <w:rPr>
          <w:rFonts w:eastAsia="Calibri"/>
        </w:rPr>
        <w:t xml:space="preserve">: </w:t>
      </w:r>
      <w:r w:rsidR="005006CE">
        <w:rPr>
          <w:rFonts w:eastAsia="Calibri"/>
        </w:rPr>
        <w:t>2013-2014</w:t>
      </w:r>
      <w:r w:rsidR="00855A5C" w:rsidRPr="009B30A6">
        <w:rPr>
          <w:rFonts w:eastAsia="Calibri"/>
        </w:rPr>
        <w:t xml:space="preserve"> </w:t>
      </w:r>
      <w:r w:rsidR="00E92024">
        <w:rPr>
          <w:rFonts w:eastAsia="Calibri"/>
        </w:rPr>
        <w:t xml:space="preserve">plume </w:t>
      </w:r>
      <w:r w:rsidR="00855A5C" w:rsidRPr="009B30A6">
        <w:rPr>
          <w:rFonts w:eastAsia="Calibri"/>
        </w:rPr>
        <w:t>frequency map:</w:t>
      </w:r>
      <w:r w:rsidR="00E92024">
        <w:rPr>
          <w:rFonts w:eastAsia="Calibri"/>
        </w:rPr>
        <w:t xml:space="preserve"> P</w:t>
      </w:r>
      <w:r w:rsidR="00855A5C">
        <w:rPr>
          <w:rFonts w:eastAsia="Calibri"/>
        </w:rPr>
        <w:t>lume water types (</w:t>
      </w:r>
      <w:r w:rsidRPr="009B30A6">
        <w:rPr>
          <w:rFonts w:eastAsia="Calibri"/>
        </w:rPr>
        <w:t>P: Primary, S: Secondary, T; Tertiary</w:t>
      </w:r>
      <w:r w:rsidR="00855A5C">
        <w:rPr>
          <w:rFonts w:eastAsia="Calibri"/>
        </w:rPr>
        <w:t>) in the GBR</w:t>
      </w:r>
      <w:r w:rsidRPr="009B30A6">
        <w:rPr>
          <w:rFonts w:eastAsia="Calibri"/>
        </w:rPr>
        <w:t>.</w:t>
      </w:r>
      <w:bookmarkEnd w:id="256"/>
      <w:r w:rsidR="0053571A">
        <w:rPr>
          <w:rFonts w:eastAsia="Calibri"/>
        </w:rPr>
        <w:t xml:space="preserve"> The scale is normalised between 0 and 1, where 1 is equivalent to 22 weeks (full wet season).</w:t>
      </w:r>
      <w:bookmarkEnd w:id="257"/>
    </w:p>
    <w:p w14:paraId="7FD1A5FF" w14:textId="77777777" w:rsidR="009B30A6" w:rsidRPr="003D6318" w:rsidRDefault="009B30A6" w:rsidP="009B30A6"/>
    <w:p w14:paraId="28DA1F26" w14:textId="77777777" w:rsidR="009B30A6" w:rsidRPr="003D6318" w:rsidRDefault="009B30A6" w:rsidP="009B30A6"/>
    <w:p w14:paraId="52E9C3DA" w14:textId="77777777" w:rsidR="009B30A6" w:rsidRPr="003D6318" w:rsidRDefault="009B30A6" w:rsidP="009B30A6">
      <w:r w:rsidRPr="003D6318">
        <w:rPr>
          <w:noProof/>
        </w:rPr>
        <w:lastRenderedPageBreak/>
        <w:drawing>
          <wp:inline distT="0" distB="0" distL="0" distR="0" wp14:anchorId="04710D4D" wp14:editId="415AE4DA">
            <wp:extent cx="4901609" cy="8188484"/>
            <wp:effectExtent l="0" t="0" r="0" b="3175"/>
            <wp:docPr id="82" name="Picture 82" descr="2013-14 frequency map:, plume water types (P: Primary, S: Secondary, T; Tertiary) across NRM regions" title="Figure 5-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04" cstate="screen">
                      <a:extLst>
                        <a:ext uri="{28A0092B-C50C-407E-A947-70E740481C1C}">
                          <a14:useLocalDpi xmlns:a14="http://schemas.microsoft.com/office/drawing/2010/main"/>
                        </a:ext>
                      </a:extLst>
                    </a:blip>
                    <a:srcRect/>
                    <a:stretch>
                      <a:fillRect/>
                    </a:stretch>
                  </pic:blipFill>
                  <pic:spPr bwMode="auto">
                    <a:xfrm>
                      <a:off x="0" y="0"/>
                      <a:ext cx="4912462" cy="8206615"/>
                    </a:xfrm>
                    <a:prstGeom prst="rect">
                      <a:avLst/>
                    </a:prstGeom>
                    <a:noFill/>
                  </pic:spPr>
                </pic:pic>
              </a:graphicData>
            </a:graphic>
          </wp:inline>
        </w:drawing>
      </w:r>
    </w:p>
    <w:p w14:paraId="6D0B743C" w14:textId="1BE6A07F" w:rsidR="009B30A6" w:rsidRDefault="009B30A6" w:rsidP="0053571A">
      <w:pPr>
        <w:pStyle w:val="Caption"/>
        <w:rPr>
          <w:szCs w:val="22"/>
        </w:rPr>
      </w:pPr>
      <w:bookmarkStart w:id="258" w:name="_Ref392778794"/>
      <w:bookmarkStart w:id="259" w:name="_Toc428274749"/>
      <w:bookmarkStart w:id="260" w:name="_Toc454303927"/>
      <w:r w:rsidRPr="003D6318">
        <w:rPr>
          <w:szCs w:val="22"/>
        </w:rPr>
        <w:t xml:space="preserve">Figure </w:t>
      </w:r>
      <w:r w:rsidR="009F4CB0">
        <w:rPr>
          <w:szCs w:val="22"/>
        </w:rPr>
        <w:fldChar w:fldCharType="begin"/>
      </w:r>
      <w:r w:rsidR="009F4CB0">
        <w:rPr>
          <w:szCs w:val="22"/>
        </w:rPr>
        <w:instrText xml:space="preserve"> STYLEREF 1 \s </w:instrText>
      </w:r>
      <w:r w:rsidR="009F4CB0">
        <w:rPr>
          <w:szCs w:val="22"/>
        </w:rPr>
        <w:fldChar w:fldCharType="separate"/>
      </w:r>
      <w:r w:rsidR="000E22F3">
        <w:rPr>
          <w:noProof/>
          <w:szCs w:val="22"/>
        </w:rPr>
        <w:t>5</w:t>
      </w:r>
      <w:r w:rsidR="009F4CB0">
        <w:rPr>
          <w:szCs w:val="22"/>
        </w:rPr>
        <w:fldChar w:fldCharType="end"/>
      </w:r>
      <w:r w:rsidR="009F4CB0">
        <w:rPr>
          <w:szCs w:val="22"/>
        </w:rPr>
        <w:noBreakHyphen/>
      </w:r>
      <w:r w:rsidR="009F4CB0">
        <w:rPr>
          <w:szCs w:val="22"/>
        </w:rPr>
        <w:fldChar w:fldCharType="begin"/>
      </w:r>
      <w:r w:rsidR="009F4CB0">
        <w:rPr>
          <w:szCs w:val="22"/>
        </w:rPr>
        <w:instrText xml:space="preserve"> SEQ Figure \* ARABIC \s 1 </w:instrText>
      </w:r>
      <w:r w:rsidR="009F4CB0">
        <w:rPr>
          <w:szCs w:val="22"/>
        </w:rPr>
        <w:fldChar w:fldCharType="separate"/>
      </w:r>
      <w:r w:rsidR="000E22F3">
        <w:rPr>
          <w:noProof/>
          <w:szCs w:val="22"/>
        </w:rPr>
        <w:t>10</w:t>
      </w:r>
      <w:r w:rsidR="009F4CB0">
        <w:rPr>
          <w:szCs w:val="22"/>
        </w:rPr>
        <w:fldChar w:fldCharType="end"/>
      </w:r>
      <w:bookmarkEnd w:id="258"/>
      <w:r w:rsidRPr="003D6318">
        <w:rPr>
          <w:szCs w:val="22"/>
        </w:rPr>
        <w:t xml:space="preserve">: </w:t>
      </w:r>
      <w:bookmarkEnd w:id="259"/>
      <w:r w:rsidR="005006CE">
        <w:rPr>
          <w:rFonts w:eastAsia="Calibri"/>
        </w:rPr>
        <w:t>2013-2014</w:t>
      </w:r>
      <w:r w:rsidR="00855A5C" w:rsidRPr="009B30A6">
        <w:rPr>
          <w:rFonts w:eastAsia="Calibri"/>
        </w:rPr>
        <w:t xml:space="preserve"> frequency map:</w:t>
      </w:r>
      <w:r w:rsidR="00855A5C">
        <w:rPr>
          <w:rFonts w:eastAsia="Calibri"/>
        </w:rPr>
        <w:t>, plume water types (</w:t>
      </w:r>
      <w:r w:rsidR="00855A5C" w:rsidRPr="009B30A6">
        <w:rPr>
          <w:rFonts w:eastAsia="Calibri"/>
        </w:rPr>
        <w:t>P: Primary, S: Secondary, T; Tertiary</w:t>
      </w:r>
      <w:r w:rsidR="00855A5C">
        <w:rPr>
          <w:rFonts w:eastAsia="Calibri"/>
        </w:rPr>
        <w:t>) across NRM regions</w:t>
      </w:r>
      <w:r w:rsidR="0053571A">
        <w:rPr>
          <w:rFonts w:eastAsia="Calibri"/>
        </w:rPr>
        <w:t>. The scale is as per Figure 5-9 and is normalised between 0 and 1, where 1 is equivalent to 22 weeks (full wet season).</w:t>
      </w:r>
      <w:bookmarkEnd w:id="260"/>
    </w:p>
    <w:p w14:paraId="6B770D2B" w14:textId="093CAA8C" w:rsidR="00131E41" w:rsidRPr="00D47A52" w:rsidRDefault="00131E41" w:rsidP="00B46AF9">
      <w:pPr>
        <w:pStyle w:val="Heading2"/>
      </w:pPr>
      <w:bookmarkStart w:id="261" w:name="_Toc427831218"/>
      <w:bookmarkStart w:id="262" w:name="_Toc428793349"/>
      <w:bookmarkStart w:id="263" w:name="_Toc428851354"/>
      <w:bookmarkStart w:id="264" w:name="_Toc443299495"/>
      <w:bookmarkStart w:id="265" w:name="_Toc443299708"/>
      <w:bookmarkStart w:id="266" w:name="_Toc454304724"/>
      <w:r w:rsidRPr="00D47A52">
        <w:lastRenderedPageBreak/>
        <w:t xml:space="preserve">Water </w:t>
      </w:r>
      <w:r w:rsidR="000A6B4D">
        <w:t>q</w:t>
      </w:r>
      <w:r w:rsidRPr="00D47A52">
        <w:t>uality concentration</w:t>
      </w:r>
      <w:r w:rsidR="000A6B4D">
        <w:t>s</w:t>
      </w:r>
      <w:r w:rsidRPr="00D47A52">
        <w:t xml:space="preserve"> in river plumes</w:t>
      </w:r>
      <w:bookmarkEnd w:id="261"/>
      <w:bookmarkEnd w:id="262"/>
      <w:bookmarkEnd w:id="263"/>
      <w:bookmarkEnd w:id="264"/>
      <w:bookmarkEnd w:id="265"/>
      <w:bookmarkEnd w:id="266"/>
    </w:p>
    <w:p w14:paraId="51410FB3" w14:textId="1E4C59C4" w:rsidR="00855A5C" w:rsidRDefault="00855A5C" w:rsidP="00855A5C">
      <w:pPr>
        <w:spacing w:before="240" w:after="120"/>
        <w:rPr>
          <w:rFonts w:ascii="Calibri" w:hAnsi="Calibri" w:cs="Times New Roman"/>
          <w:color w:val="000000"/>
        </w:rPr>
      </w:pPr>
      <w:r w:rsidRPr="00343FC3">
        <w:t xml:space="preserve">Comparisons between </w:t>
      </w:r>
      <w:r w:rsidRPr="005F45DD">
        <w:t xml:space="preserve">weekly plume water </w:t>
      </w:r>
      <w:r>
        <w:t xml:space="preserve">type </w:t>
      </w:r>
      <w:r w:rsidRPr="005F45DD">
        <w:t>composites</w:t>
      </w:r>
      <w:r>
        <w:t xml:space="preserve"> </w:t>
      </w:r>
      <w:r w:rsidRPr="00343FC3">
        <w:t xml:space="preserve">and in-situ </w:t>
      </w:r>
      <w:r>
        <w:t xml:space="preserve">physical and </w:t>
      </w:r>
      <w:r w:rsidRPr="00343FC3">
        <w:t>water quality measurements collected during the wet seasons 2007 to 2013 as part of the GBR Marine Monitoring Program were performed</w:t>
      </w:r>
      <w:r>
        <w:t>. The mean WQ concentration (</w:t>
      </w:r>
      <w:r w:rsidRPr="008F2AA1">
        <w:rPr>
          <w:rFonts w:ascii="Calibri" w:hAnsi="Calibri" w:cs="Times New Roman"/>
          <w:color w:val="000000"/>
        </w:rPr>
        <w:t>±</w:t>
      </w:r>
      <w:r>
        <w:rPr>
          <w:rFonts w:ascii="Calibri" w:hAnsi="Calibri" w:cs="Times New Roman"/>
          <w:color w:val="000000"/>
        </w:rPr>
        <w:t xml:space="preserve"> standard deviation) calculated across plume water types and in the marine ambient waters are </w:t>
      </w:r>
      <w:r>
        <w:t>summar</w:t>
      </w:r>
      <w:r w:rsidR="00554012">
        <w:t>ised</w:t>
      </w:r>
      <w:r>
        <w:t xml:space="preserve"> in </w:t>
      </w:r>
      <w:r w:rsidR="005935D5">
        <w:fldChar w:fldCharType="begin"/>
      </w:r>
      <w:r>
        <w:instrText xml:space="preserve"> REF _Ref428257199 \h </w:instrText>
      </w:r>
      <w:r w:rsidR="005935D5">
        <w:fldChar w:fldCharType="separate"/>
      </w:r>
      <w:r w:rsidR="000E22F3" w:rsidRPr="005F45DD">
        <w:t xml:space="preserve">Table </w:t>
      </w:r>
      <w:r w:rsidR="000E22F3">
        <w:rPr>
          <w:noProof/>
        </w:rPr>
        <w:t>5</w:t>
      </w:r>
      <w:r w:rsidR="000E22F3">
        <w:noBreakHyphen/>
      </w:r>
      <w:r w:rsidR="000E22F3">
        <w:rPr>
          <w:noProof/>
        </w:rPr>
        <w:t>4</w:t>
      </w:r>
      <w:r w:rsidR="005935D5">
        <w:fldChar w:fldCharType="end"/>
      </w:r>
      <w:r>
        <w:rPr>
          <w:rFonts w:ascii="Calibri" w:hAnsi="Calibri" w:cs="Times New Roman"/>
          <w:color w:val="000000"/>
        </w:rPr>
        <w:t xml:space="preserve">. The Temperature, Salinity and local depth are also reported. </w:t>
      </w:r>
    </w:p>
    <w:p w14:paraId="617B16FE" w14:textId="63609490" w:rsidR="00855A5C" w:rsidRPr="005F45DD" w:rsidRDefault="00855A5C" w:rsidP="00855A5C">
      <w:pPr>
        <w:pStyle w:val="Caption"/>
        <w:jc w:val="both"/>
        <w:rPr>
          <w:szCs w:val="22"/>
        </w:rPr>
      </w:pPr>
      <w:bookmarkStart w:id="267" w:name="_Ref428257199"/>
      <w:bookmarkStart w:id="268" w:name="_Toc454304623"/>
      <w:r w:rsidRPr="005F45DD">
        <w:rPr>
          <w:szCs w:val="22"/>
        </w:rPr>
        <w:t xml:space="preserve">Table </w:t>
      </w:r>
      <w:r w:rsidR="00445BD2">
        <w:rPr>
          <w:szCs w:val="22"/>
        </w:rPr>
        <w:fldChar w:fldCharType="begin"/>
      </w:r>
      <w:r w:rsidR="00445BD2">
        <w:rPr>
          <w:szCs w:val="22"/>
        </w:rPr>
        <w:instrText xml:space="preserve"> STYLEREF 1 \s </w:instrText>
      </w:r>
      <w:r w:rsidR="00445BD2">
        <w:rPr>
          <w:szCs w:val="22"/>
        </w:rPr>
        <w:fldChar w:fldCharType="separate"/>
      </w:r>
      <w:r w:rsidR="000E22F3">
        <w:rPr>
          <w:noProof/>
          <w:szCs w:val="22"/>
        </w:rPr>
        <w:t>5</w:t>
      </w:r>
      <w:r w:rsidR="00445BD2">
        <w:rPr>
          <w:szCs w:val="22"/>
        </w:rPr>
        <w:fldChar w:fldCharType="end"/>
      </w:r>
      <w:r w:rsidR="00445BD2">
        <w:rPr>
          <w:szCs w:val="22"/>
        </w:rPr>
        <w:noBreakHyphen/>
      </w:r>
      <w:r w:rsidR="00445BD2">
        <w:rPr>
          <w:szCs w:val="22"/>
        </w:rPr>
        <w:fldChar w:fldCharType="begin"/>
      </w:r>
      <w:r w:rsidR="00445BD2">
        <w:rPr>
          <w:szCs w:val="22"/>
        </w:rPr>
        <w:instrText xml:space="preserve"> SEQ Table \* ARABIC \s 1 </w:instrText>
      </w:r>
      <w:r w:rsidR="00445BD2">
        <w:rPr>
          <w:szCs w:val="22"/>
        </w:rPr>
        <w:fldChar w:fldCharType="separate"/>
      </w:r>
      <w:r w:rsidR="000E22F3">
        <w:rPr>
          <w:noProof/>
          <w:szCs w:val="22"/>
        </w:rPr>
        <w:t>4</w:t>
      </w:r>
      <w:r w:rsidR="00445BD2">
        <w:rPr>
          <w:szCs w:val="22"/>
        </w:rPr>
        <w:fldChar w:fldCharType="end"/>
      </w:r>
      <w:bookmarkEnd w:id="267"/>
      <w:r w:rsidRPr="005F45DD">
        <w:rPr>
          <w:szCs w:val="22"/>
        </w:rPr>
        <w:t xml:space="preserve">: mean and standard deviation (±) GBR-whole scale WQ data per plume water type (P: Primary, S: Secondary, T: Tertiary) </w:t>
      </w:r>
      <w:r>
        <w:rPr>
          <w:szCs w:val="22"/>
        </w:rPr>
        <w:t xml:space="preserve">and in the ambient marine waters (M), </w:t>
      </w:r>
      <w:r w:rsidRPr="005F45DD">
        <w:rPr>
          <w:szCs w:val="22"/>
        </w:rPr>
        <w:t xml:space="preserve">and Kruskal-Wallis analysis for the difference in WQ among water types. Significance code: </w:t>
      </w:r>
      <w:r w:rsidR="00A84137">
        <w:rPr>
          <w:szCs w:val="22"/>
        </w:rPr>
        <w:t xml:space="preserve">*: </w:t>
      </w:r>
      <w:r w:rsidRPr="005F45DD">
        <w:rPr>
          <w:szCs w:val="22"/>
        </w:rPr>
        <w:t>p&lt;0.05 and ns</w:t>
      </w:r>
      <w:r w:rsidR="00A84137">
        <w:rPr>
          <w:szCs w:val="22"/>
        </w:rPr>
        <w:t xml:space="preserve">: </w:t>
      </w:r>
      <w:r w:rsidR="000A6B4D" w:rsidRPr="005F45DD">
        <w:rPr>
          <w:szCs w:val="22"/>
        </w:rPr>
        <w:t>no</w:t>
      </w:r>
      <w:r w:rsidR="000A6B4D">
        <w:rPr>
          <w:szCs w:val="22"/>
        </w:rPr>
        <w:t>n</w:t>
      </w:r>
      <w:r w:rsidR="000A6B4D" w:rsidRPr="005F45DD">
        <w:rPr>
          <w:szCs w:val="22"/>
        </w:rPr>
        <w:t>-significant</w:t>
      </w:r>
      <w:r w:rsidRPr="005F45DD">
        <w:rPr>
          <w:szCs w:val="22"/>
        </w:rPr>
        <w:t>.</w:t>
      </w:r>
      <w:bookmarkEnd w:id="268"/>
    </w:p>
    <w:tbl>
      <w:tblPr>
        <w:tblStyle w:val="LightShading"/>
        <w:tblW w:w="5000" w:type="pct"/>
        <w:tblLook w:val="06A0" w:firstRow="1" w:lastRow="0" w:firstColumn="1" w:lastColumn="0" w:noHBand="1" w:noVBand="1"/>
        <w:tblCaption w:val="Table 5-4"/>
        <w:tblDescription w:val="mean and standard deviation (±) GBR-whole scale WQ data per plume water type (P: Primary, S: Secondary, T: Tertiary) and in the ambient marine waters (M), and Kruskal-Wallis analysis for the difference in WQ among water types. Significance code: *: p&lt;0.05 and ns: non significant."/>
      </w:tblPr>
      <w:tblGrid>
        <w:gridCol w:w="1488"/>
        <w:gridCol w:w="843"/>
        <w:gridCol w:w="843"/>
        <w:gridCol w:w="839"/>
        <w:gridCol w:w="847"/>
        <w:gridCol w:w="976"/>
        <w:gridCol w:w="843"/>
        <w:gridCol w:w="839"/>
        <w:gridCol w:w="843"/>
        <w:gridCol w:w="882"/>
      </w:tblGrid>
      <w:tr w:rsidR="00855A5C" w:rsidRPr="008F2AA1" w14:paraId="2BEA07B5" w14:textId="77777777" w:rsidTr="0053571A">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05" w:type="pct"/>
            <w:vMerge w:val="restart"/>
            <w:noWrap/>
            <w:hideMark/>
          </w:tcPr>
          <w:p w14:paraId="4A2DEA36" w14:textId="77777777" w:rsidR="00855A5C" w:rsidRPr="008F2AA1" w:rsidRDefault="00855A5C" w:rsidP="0053571A">
            <w:pPr>
              <w:spacing w:before="0" w:after="0"/>
              <w:jc w:val="left"/>
              <w:rPr>
                <w:rFonts w:ascii="Calibri" w:hAnsi="Calibri" w:cs="Times New Roman"/>
                <w:color w:val="000000"/>
              </w:rPr>
            </w:pPr>
          </w:p>
        </w:tc>
        <w:tc>
          <w:tcPr>
            <w:tcW w:w="1824" w:type="pct"/>
            <w:gridSpan w:val="4"/>
            <w:noWrap/>
            <w:hideMark/>
          </w:tcPr>
          <w:p w14:paraId="5E7EEE96" w14:textId="77777777" w:rsidR="00855A5C" w:rsidRPr="008F2AA1" w:rsidRDefault="00855A5C" w:rsidP="00855A5C">
            <w:pPr>
              <w:spacing w:before="0" w:after="0"/>
              <w:jc w:val="center"/>
              <w:cnfStyle w:val="100000000000" w:firstRow="1"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mean</w:t>
            </w:r>
          </w:p>
        </w:tc>
        <w:tc>
          <w:tcPr>
            <w:tcW w:w="1894" w:type="pct"/>
            <w:gridSpan w:val="4"/>
            <w:noWrap/>
            <w:hideMark/>
          </w:tcPr>
          <w:p w14:paraId="4693C995" w14:textId="77777777" w:rsidR="00855A5C" w:rsidRPr="008F2AA1" w:rsidRDefault="00855A5C" w:rsidP="00855A5C">
            <w:pPr>
              <w:spacing w:before="0" w:after="0"/>
              <w:jc w:val="center"/>
              <w:cnfStyle w:val="100000000000" w:firstRow="1"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w:t>
            </w:r>
          </w:p>
        </w:tc>
        <w:tc>
          <w:tcPr>
            <w:tcW w:w="477" w:type="pct"/>
            <w:vMerge w:val="restart"/>
            <w:noWrap/>
            <w:hideMark/>
          </w:tcPr>
          <w:p w14:paraId="2EA931D8" w14:textId="77777777" w:rsidR="00855A5C" w:rsidRPr="008F2AA1" w:rsidRDefault="00855A5C" w:rsidP="00855A5C">
            <w:pPr>
              <w:spacing w:before="0" w:after="0"/>
              <w:jc w:val="center"/>
              <w:cnfStyle w:val="100000000000" w:firstRow="1"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KW</w:t>
            </w:r>
          </w:p>
        </w:tc>
      </w:tr>
      <w:tr w:rsidR="00A64178" w:rsidRPr="008F2AA1" w14:paraId="5D036EA9" w14:textId="77777777" w:rsidTr="0053571A">
        <w:trPr>
          <w:trHeight w:val="315"/>
        </w:trPr>
        <w:tc>
          <w:tcPr>
            <w:cnfStyle w:val="001000000000" w:firstRow="0" w:lastRow="0" w:firstColumn="1" w:lastColumn="0" w:oddVBand="0" w:evenVBand="0" w:oddHBand="0" w:evenHBand="0" w:firstRowFirstColumn="0" w:firstRowLastColumn="0" w:lastRowFirstColumn="0" w:lastRowLastColumn="0"/>
            <w:tcW w:w="805" w:type="pct"/>
            <w:vMerge/>
            <w:hideMark/>
          </w:tcPr>
          <w:p w14:paraId="4C36753B" w14:textId="77777777" w:rsidR="00855A5C" w:rsidRPr="008F2AA1" w:rsidRDefault="00855A5C" w:rsidP="0053571A">
            <w:pPr>
              <w:spacing w:before="0" w:after="0"/>
              <w:jc w:val="left"/>
              <w:rPr>
                <w:rFonts w:ascii="Calibri" w:hAnsi="Calibri" w:cs="Times New Roman"/>
                <w:color w:val="000000"/>
              </w:rPr>
            </w:pPr>
          </w:p>
        </w:tc>
        <w:tc>
          <w:tcPr>
            <w:tcW w:w="456" w:type="pct"/>
            <w:noWrap/>
            <w:hideMark/>
          </w:tcPr>
          <w:p w14:paraId="603C4767" w14:textId="77777777" w:rsidR="00855A5C" w:rsidRPr="008F2AA1" w:rsidRDefault="00855A5C" w:rsidP="0065493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color w:val="000000"/>
              </w:rPr>
            </w:pPr>
            <w:r w:rsidRPr="008F2AA1">
              <w:rPr>
                <w:rFonts w:ascii="Calibri" w:hAnsi="Calibri" w:cs="Times New Roman"/>
                <w:b/>
                <w:color w:val="000000"/>
              </w:rPr>
              <w:t>P</w:t>
            </w:r>
          </w:p>
        </w:tc>
        <w:tc>
          <w:tcPr>
            <w:tcW w:w="456" w:type="pct"/>
            <w:noWrap/>
            <w:hideMark/>
          </w:tcPr>
          <w:p w14:paraId="038C14A3" w14:textId="77777777" w:rsidR="00855A5C" w:rsidRPr="008F2AA1" w:rsidRDefault="00855A5C" w:rsidP="0065493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color w:val="000000"/>
              </w:rPr>
            </w:pPr>
            <w:r w:rsidRPr="008F2AA1">
              <w:rPr>
                <w:rFonts w:ascii="Calibri" w:hAnsi="Calibri" w:cs="Times New Roman"/>
                <w:b/>
                <w:color w:val="000000"/>
              </w:rPr>
              <w:t>S</w:t>
            </w:r>
          </w:p>
        </w:tc>
        <w:tc>
          <w:tcPr>
            <w:tcW w:w="454" w:type="pct"/>
            <w:noWrap/>
            <w:hideMark/>
          </w:tcPr>
          <w:p w14:paraId="30005901" w14:textId="77777777" w:rsidR="00855A5C" w:rsidRPr="008F2AA1" w:rsidRDefault="00855A5C" w:rsidP="0065493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color w:val="000000"/>
              </w:rPr>
            </w:pPr>
            <w:r w:rsidRPr="008F2AA1">
              <w:rPr>
                <w:rFonts w:ascii="Calibri" w:hAnsi="Calibri" w:cs="Times New Roman"/>
                <w:b/>
                <w:color w:val="000000"/>
              </w:rPr>
              <w:t>T</w:t>
            </w:r>
          </w:p>
        </w:tc>
        <w:tc>
          <w:tcPr>
            <w:tcW w:w="457" w:type="pct"/>
            <w:noWrap/>
            <w:hideMark/>
          </w:tcPr>
          <w:p w14:paraId="18634026" w14:textId="77777777" w:rsidR="00855A5C" w:rsidRPr="008F2AA1" w:rsidRDefault="00855A5C" w:rsidP="0065493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color w:val="000000"/>
              </w:rPr>
            </w:pPr>
            <w:r w:rsidRPr="008F2AA1">
              <w:rPr>
                <w:rFonts w:ascii="Calibri" w:hAnsi="Calibri" w:cs="Times New Roman"/>
                <w:b/>
                <w:color w:val="000000"/>
              </w:rPr>
              <w:t>M</w:t>
            </w:r>
          </w:p>
        </w:tc>
        <w:tc>
          <w:tcPr>
            <w:tcW w:w="528" w:type="pct"/>
            <w:noWrap/>
            <w:hideMark/>
          </w:tcPr>
          <w:p w14:paraId="32A0C1E7" w14:textId="77777777" w:rsidR="00855A5C" w:rsidRPr="008F2AA1" w:rsidRDefault="00855A5C" w:rsidP="0065493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color w:val="000000"/>
              </w:rPr>
            </w:pPr>
            <w:r w:rsidRPr="008F2AA1">
              <w:rPr>
                <w:rFonts w:ascii="Calibri" w:hAnsi="Calibri" w:cs="Times New Roman"/>
                <w:b/>
                <w:color w:val="000000"/>
              </w:rPr>
              <w:t>P</w:t>
            </w:r>
          </w:p>
        </w:tc>
        <w:tc>
          <w:tcPr>
            <w:tcW w:w="456" w:type="pct"/>
            <w:noWrap/>
            <w:hideMark/>
          </w:tcPr>
          <w:p w14:paraId="5C3B9B6D" w14:textId="77777777" w:rsidR="00855A5C" w:rsidRPr="008F2AA1" w:rsidRDefault="00855A5C" w:rsidP="0065493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color w:val="000000"/>
              </w:rPr>
            </w:pPr>
            <w:r w:rsidRPr="008F2AA1">
              <w:rPr>
                <w:rFonts w:ascii="Calibri" w:hAnsi="Calibri" w:cs="Times New Roman"/>
                <w:b/>
                <w:color w:val="000000"/>
              </w:rPr>
              <w:t>S</w:t>
            </w:r>
          </w:p>
        </w:tc>
        <w:tc>
          <w:tcPr>
            <w:tcW w:w="454" w:type="pct"/>
            <w:noWrap/>
            <w:hideMark/>
          </w:tcPr>
          <w:p w14:paraId="75C67CA3" w14:textId="77777777" w:rsidR="00855A5C" w:rsidRPr="008F2AA1" w:rsidRDefault="00855A5C" w:rsidP="0065493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color w:val="000000"/>
              </w:rPr>
            </w:pPr>
            <w:r w:rsidRPr="008F2AA1">
              <w:rPr>
                <w:rFonts w:ascii="Calibri" w:hAnsi="Calibri" w:cs="Times New Roman"/>
                <w:b/>
                <w:color w:val="000000"/>
              </w:rPr>
              <w:t>T</w:t>
            </w:r>
          </w:p>
        </w:tc>
        <w:tc>
          <w:tcPr>
            <w:tcW w:w="456" w:type="pct"/>
            <w:noWrap/>
            <w:hideMark/>
          </w:tcPr>
          <w:p w14:paraId="5AA86376" w14:textId="77777777" w:rsidR="00855A5C" w:rsidRPr="008F2AA1" w:rsidRDefault="00855A5C" w:rsidP="0065493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color w:val="000000"/>
              </w:rPr>
            </w:pPr>
            <w:r w:rsidRPr="008F2AA1">
              <w:rPr>
                <w:rFonts w:ascii="Calibri" w:hAnsi="Calibri" w:cs="Times New Roman"/>
                <w:b/>
                <w:color w:val="000000"/>
              </w:rPr>
              <w:t>M</w:t>
            </w:r>
          </w:p>
        </w:tc>
        <w:tc>
          <w:tcPr>
            <w:tcW w:w="477" w:type="pct"/>
            <w:vMerge/>
            <w:hideMark/>
          </w:tcPr>
          <w:p w14:paraId="08FC9597" w14:textId="77777777" w:rsidR="00855A5C" w:rsidRPr="008F2AA1" w:rsidRDefault="00855A5C" w:rsidP="0065493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p>
        </w:tc>
      </w:tr>
      <w:tr w:rsidR="00A84137" w:rsidRPr="008F2AA1" w14:paraId="6DD3854E" w14:textId="77777777" w:rsidTr="0053571A">
        <w:trPr>
          <w:trHeight w:val="300"/>
        </w:trPr>
        <w:tc>
          <w:tcPr>
            <w:cnfStyle w:val="001000000000" w:firstRow="0" w:lastRow="0" w:firstColumn="1" w:lastColumn="0" w:oddVBand="0" w:evenVBand="0" w:oddHBand="0" w:evenHBand="0" w:firstRowFirstColumn="0" w:firstRowLastColumn="0" w:lastRowFirstColumn="0" w:lastRowLastColumn="0"/>
            <w:tcW w:w="805" w:type="pct"/>
            <w:noWrap/>
            <w:hideMark/>
          </w:tcPr>
          <w:p w14:paraId="67B93B0F" w14:textId="77777777" w:rsidR="00855A5C" w:rsidRPr="007D36C8" w:rsidRDefault="00855A5C" w:rsidP="0053571A">
            <w:pPr>
              <w:spacing w:before="0" w:after="0"/>
              <w:jc w:val="left"/>
              <w:rPr>
                <w:rFonts w:ascii="Calibri" w:hAnsi="Calibri" w:cs="Times New Roman"/>
                <w:b w:val="0"/>
                <w:color w:val="000000"/>
              </w:rPr>
            </w:pPr>
            <w:r w:rsidRPr="007D36C8">
              <w:rPr>
                <w:rFonts w:ascii="Calibri" w:hAnsi="Calibri" w:cs="Times New Roman"/>
                <w:b w:val="0"/>
                <w:color w:val="000000"/>
              </w:rPr>
              <w:t>Temp (⁰C)</w:t>
            </w:r>
          </w:p>
        </w:tc>
        <w:tc>
          <w:tcPr>
            <w:tcW w:w="456" w:type="pct"/>
            <w:noWrap/>
            <w:hideMark/>
          </w:tcPr>
          <w:p w14:paraId="481B9D58" w14:textId="77777777" w:rsidR="00855A5C" w:rsidRPr="008F2AA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28.87</w:t>
            </w:r>
          </w:p>
        </w:tc>
        <w:tc>
          <w:tcPr>
            <w:tcW w:w="456" w:type="pct"/>
            <w:noWrap/>
            <w:hideMark/>
          </w:tcPr>
          <w:p w14:paraId="66700C36" w14:textId="77777777" w:rsidR="00855A5C" w:rsidRPr="008F2AA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28.67</w:t>
            </w:r>
          </w:p>
        </w:tc>
        <w:tc>
          <w:tcPr>
            <w:tcW w:w="454" w:type="pct"/>
            <w:noWrap/>
            <w:hideMark/>
          </w:tcPr>
          <w:p w14:paraId="73916C40" w14:textId="77777777" w:rsidR="00855A5C" w:rsidRPr="008F2AA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29.18</w:t>
            </w:r>
          </w:p>
        </w:tc>
        <w:tc>
          <w:tcPr>
            <w:tcW w:w="457" w:type="pct"/>
            <w:noWrap/>
            <w:hideMark/>
          </w:tcPr>
          <w:p w14:paraId="2CF2BE06" w14:textId="77777777" w:rsidR="00855A5C" w:rsidRPr="008F2AA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28.25</w:t>
            </w:r>
          </w:p>
        </w:tc>
        <w:tc>
          <w:tcPr>
            <w:tcW w:w="528" w:type="pct"/>
            <w:noWrap/>
            <w:hideMark/>
          </w:tcPr>
          <w:p w14:paraId="7770BFDF" w14:textId="77777777" w:rsidR="00855A5C" w:rsidRPr="008F2AA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1.42</w:t>
            </w:r>
          </w:p>
        </w:tc>
        <w:tc>
          <w:tcPr>
            <w:tcW w:w="456" w:type="pct"/>
            <w:noWrap/>
            <w:hideMark/>
          </w:tcPr>
          <w:p w14:paraId="3B7DCA18" w14:textId="77777777" w:rsidR="00855A5C" w:rsidRPr="008F2AA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1.33</w:t>
            </w:r>
          </w:p>
        </w:tc>
        <w:tc>
          <w:tcPr>
            <w:tcW w:w="454" w:type="pct"/>
            <w:noWrap/>
            <w:hideMark/>
          </w:tcPr>
          <w:p w14:paraId="63BECCC3" w14:textId="77777777" w:rsidR="00855A5C" w:rsidRPr="008F2AA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1.24</w:t>
            </w:r>
          </w:p>
        </w:tc>
        <w:tc>
          <w:tcPr>
            <w:tcW w:w="456" w:type="pct"/>
            <w:noWrap/>
            <w:hideMark/>
          </w:tcPr>
          <w:p w14:paraId="29C25113" w14:textId="77777777" w:rsidR="00855A5C" w:rsidRPr="008F2AA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0.51</w:t>
            </w:r>
          </w:p>
        </w:tc>
        <w:tc>
          <w:tcPr>
            <w:tcW w:w="477" w:type="pct"/>
            <w:noWrap/>
            <w:hideMark/>
          </w:tcPr>
          <w:p w14:paraId="1EACFF86" w14:textId="77777777" w:rsidR="00855A5C" w:rsidRPr="008F2AA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w:t>
            </w:r>
          </w:p>
        </w:tc>
      </w:tr>
      <w:tr w:rsidR="00A84137" w:rsidRPr="008F2AA1" w14:paraId="4347C77F" w14:textId="77777777" w:rsidTr="0053571A">
        <w:trPr>
          <w:trHeight w:val="300"/>
        </w:trPr>
        <w:tc>
          <w:tcPr>
            <w:cnfStyle w:val="001000000000" w:firstRow="0" w:lastRow="0" w:firstColumn="1" w:lastColumn="0" w:oddVBand="0" w:evenVBand="0" w:oddHBand="0" w:evenHBand="0" w:firstRowFirstColumn="0" w:firstRowLastColumn="0" w:lastRowFirstColumn="0" w:lastRowLastColumn="0"/>
            <w:tcW w:w="805" w:type="pct"/>
            <w:noWrap/>
            <w:hideMark/>
          </w:tcPr>
          <w:p w14:paraId="66ADE211" w14:textId="77777777" w:rsidR="00855A5C" w:rsidRPr="007D36C8" w:rsidRDefault="00855A5C" w:rsidP="0053571A">
            <w:pPr>
              <w:spacing w:before="0" w:after="0"/>
              <w:jc w:val="left"/>
              <w:rPr>
                <w:rFonts w:ascii="Calibri" w:hAnsi="Calibri" w:cs="Times New Roman"/>
                <w:b w:val="0"/>
                <w:color w:val="000000"/>
              </w:rPr>
            </w:pPr>
            <w:r w:rsidRPr="007D36C8">
              <w:rPr>
                <w:rFonts w:ascii="Calibri" w:hAnsi="Calibri" w:cs="Times New Roman"/>
                <w:b w:val="0"/>
                <w:color w:val="000000"/>
              </w:rPr>
              <w:t>Sal</w:t>
            </w:r>
          </w:p>
        </w:tc>
        <w:tc>
          <w:tcPr>
            <w:tcW w:w="456" w:type="pct"/>
            <w:noWrap/>
            <w:hideMark/>
          </w:tcPr>
          <w:p w14:paraId="37C69333" w14:textId="77777777" w:rsidR="00855A5C" w:rsidRPr="008F2AA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24.44</w:t>
            </w:r>
          </w:p>
        </w:tc>
        <w:tc>
          <w:tcPr>
            <w:tcW w:w="456" w:type="pct"/>
            <w:noWrap/>
            <w:hideMark/>
          </w:tcPr>
          <w:p w14:paraId="5809CA04" w14:textId="77777777" w:rsidR="00855A5C" w:rsidRPr="008F2AA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30.27</w:t>
            </w:r>
          </w:p>
        </w:tc>
        <w:tc>
          <w:tcPr>
            <w:tcW w:w="454" w:type="pct"/>
            <w:noWrap/>
            <w:hideMark/>
          </w:tcPr>
          <w:p w14:paraId="0A97E807" w14:textId="77777777" w:rsidR="00855A5C" w:rsidRPr="008F2AA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32.44</w:t>
            </w:r>
          </w:p>
        </w:tc>
        <w:tc>
          <w:tcPr>
            <w:tcW w:w="457" w:type="pct"/>
            <w:noWrap/>
            <w:hideMark/>
          </w:tcPr>
          <w:p w14:paraId="00AD0F97" w14:textId="77777777" w:rsidR="00855A5C" w:rsidRPr="008F2AA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32.86</w:t>
            </w:r>
          </w:p>
        </w:tc>
        <w:tc>
          <w:tcPr>
            <w:tcW w:w="528" w:type="pct"/>
            <w:noWrap/>
            <w:hideMark/>
          </w:tcPr>
          <w:p w14:paraId="0A3BCC6E" w14:textId="77777777" w:rsidR="00855A5C" w:rsidRPr="008F2AA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9.19</w:t>
            </w:r>
          </w:p>
        </w:tc>
        <w:tc>
          <w:tcPr>
            <w:tcW w:w="456" w:type="pct"/>
            <w:noWrap/>
            <w:hideMark/>
          </w:tcPr>
          <w:p w14:paraId="331E50C2" w14:textId="77777777" w:rsidR="00855A5C" w:rsidRPr="008F2AA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6.28</w:t>
            </w:r>
          </w:p>
        </w:tc>
        <w:tc>
          <w:tcPr>
            <w:tcW w:w="454" w:type="pct"/>
            <w:noWrap/>
            <w:hideMark/>
          </w:tcPr>
          <w:p w14:paraId="2D0CFBAE" w14:textId="77777777" w:rsidR="00855A5C" w:rsidRPr="008F2AA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4.70</w:t>
            </w:r>
          </w:p>
        </w:tc>
        <w:tc>
          <w:tcPr>
            <w:tcW w:w="456" w:type="pct"/>
            <w:noWrap/>
            <w:hideMark/>
          </w:tcPr>
          <w:p w14:paraId="66201232" w14:textId="77777777" w:rsidR="00855A5C" w:rsidRPr="008F2AA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1.72</w:t>
            </w:r>
          </w:p>
        </w:tc>
        <w:tc>
          <w:tcPr>
            <w:tcW w:w="477" w:type="pct"/>
            <w:noWrap/>
            <w:hideMark/>
          </w:tcPr>
          <w:p w14:paraId="7766F166" w14:textId="77777777" w:rsidR="00855A5C" w:rsidRPr="008F2AA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w:t>
            </w:r>
          </w:p>
        </w:tc>
      </w:tr>
      <w:tr w:rsidR="00A84137" w:rsidRPr="008F2AA1" w14:paraId="677F8636" w14:textId="77777777" w:rsidTr="0053571A">
        <w:trPr>
          <w:trHeight w:val="300"/>
        </w:trPr>
        <w:tc>
          <w:tcPr>
            <w:cnfStyle w:val="001000000000" w:firstRow="0" w:lastRow="0" w:firstColumn="1" w:lastColumn="0" w:oddVBand="0" w:evenVBand="0" w:oddHBand="0" w:evenHBand="0" w:firstRowFirstColumn="0" w:firstRowLastColumn="0" w:lastRowFirstColumn="0" w:lastRowLastColumn="0"/>
            <w:tcW w:w="805" w:type="pct"/>
            <w:noWrap/>
          </w:tcPr>
          <w:p w14:paraId="33BD2D47" w14:textId="77777777" w:rsidR="00855A5C" w:rsidRPr="007D36C8" w:rsidRDefault="00855A5C" w:rsidP="0053571A">
            <w:pPr>
              <w:spacing w:before="0" w:after="0"/>
              <w:jc w:val="left"/>
              <w:rPr>
                <w:rFonts w:ascii="Calibri" w:hAnsi="Calibri" w:cs="Times New Roman"/>
                <w:b w:val="0"/>
                <w:color w:val="000000"/>
              </w:rPr>
            </w:pPr>
            <w:r w:rsidRPr="007D36C8">
              <w:rPr>
                <w:rFonts w:ascii="Calibri" w:hAnsi="Calibri" w:cs="Times New Roman"/>
                <w:b w:val="0"/>
                <w:color w:val="000000"/>
              </w:rPr>
              <w:t>Depth (m)</w:t>
            </w:r>
          </w:p>
        </w:tc>
        <w:tc>
          <w:tcPr>
            <w:tcW w:w="456" w:type="pct"/>
            <w:noWrap/>
          </w:tcPr>
          <w:p w14:paraId="7B7EC3F9" w14:textId="77777777" w:rsidR="00855A5C"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13.77</w:t>
            </w:r>
          </w:p>
        </w:tc>
        <w:tc>
          <w:tcPr>
            <w:tcW w:w="456" w:type="pct"/>
            <w:noWrap/>
          </w:tcPr>
          <w:p w14:paraId="493116BA" w14:textId="77777777" w:rsidR="00855A5C"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17.08</w:t>
            </w:r>
          </w:p>
        </w:tc>
        <w:tc>
          <w:tcPr>
            <w:tcW w:w="454" w:type="pct"/>
            <w:noWrap/>
          </w:tcPr>
          <w:p w14:paraId="7B41AD5E" w14:textId="77777777" w:rsidR="00855A5C"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21.30</w:t>
            </w:r>
          </w:p>
        </w:tc>
        <w:tc>
          <w:tcPr>
            <w:tcW w:w="457" w:type="pct"/>
            <w:noWrap/>
          </w:tcPr>
          <w:p w14:paraId="21A4DA26" w14:textId="77777777" w:rsidR="00855A5C"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25.00</w:t>
            </w:r>
          </w:p>
        </w:tc>
        <w:tc>
          <w:tcPr>
            <w:tcW w:w="528" w:type="pct"/>
            <w:noWrap/>
          </w:tcPr>
          <w:p w14:paraId="4C51A5F7" w14:textId="77777777" w:rsidR="00855A5C"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15.62</w:t>
            </w:r>
          </w:p>
        </w:tc>
        <w:tc>
          <w:tcPr>
            <w:tcW w:w="456" w:type="pct"/>
            <w:noWrap/>
          </w:tcPr>
          <w:p w14:paraId="7358DD7A" w14:textId="77777777" w:rsidR="00855A5C"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15.62</w:t>
            </w:r>
          </w:p>
        </w:tc>
        <w:tc>
          <w:tcPr>
            <w:tcW w:w="454" w:type="pct"/>
            <w:noWrap/>
          </w:tcPr>
          <w:p w14:paraId="33358EFA" w14:textId="77777777" w:rsidR="00855A5C"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6.39</w:t>
            </w:r>
          </w:p>
        </w:tc>
        <w:tc>
          <w:tcPr>
            <w:tcW w:w="456" w:type="pct"/>
            <w:noWrap/>
          </w:tcPr>
          <w:p w14:paraId="28BAD7D3" w14:textId="77777777" w:rsidR="00855A5C"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11.31</w:t>
            </w:r>
          </w:p>
        </w:tc>
        <w:tc>
          <w:tcPr>
            <w:tcW w:w="477" w:type="pct"/>
            <w:noWrap/>
          </w:tcPr>
          <w:p w14:paraId="22F68CAD" w14:textId="77777777" w:rsidR="00855A5C"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w:t>
            </w:r>
          </w:p>
        </w:tc>
      </w:tr>
      <w:tr w:rsidR="00A84137" w:rsidRPr="008F2AA1" w14:paraId="5957720B" w14:textId="77777777" w:rsidTr="0053571A">
        <w:trPr>
          <w:trHeight w:val="300"/>
        </w:trPr>
        <w:tc>
          <w:tcPr>
            <w:cnfStyle w:val="001000000000" w:firstRow="0" w:lastRow="0" w:firstColumn="1" w:lastColumn="0" w:oddVBand="0" w:evenVBand="0" w:oddHBand="0" w:evenHBand="0" w:firstRowFirstColumn="0" w:firstRowLastColumn="0" w:lastRowFirstColumn="0" w:lastRowLastColumn="0"/>
            <w:tcW w:w="805" w:type="pct"/>
            <w:noWrap/>
            <w:hideMark/>
          </w:tcPr>
          <w:p w14:paraId="224CBCC1" w14:textId="77777777" w:rsidR="00855A5C" w:rsidRPr="007D36C8" w:rsidRDefault="00855A5C" w:rsidP="0053571A">
            <w:pPr>
              <w:spacing w:before="0" w:after="0"/>
              <w:jc w:val="left"/>
              <w:rPr>
                <w:rFonts w:ascii="Calibri" w:hAnsi="Calibri" w:cs="Times New Roman"/>
                <w:b w:val="0"/>
                <w:color w:val="000000"/>
              </w:rPr>
            </w:pPr>
            <w:r w:rsidRPr="007D36C8">
              <w:rPr>
                <w:rFonts w:ascii="Calibri" w:hAnsi="Calibri" w:cs="Times New Roman"/>
                <w:b w:val="0"/>
                <w:color w:val="000000"/>
              </w:rPr>
              <w:t>Kd(PAR)</w:t>
            </w:r>
          </w:p>
        </w:tc>
        <w:tc>
          <w:tcPr>
            <w:tcW w:w="456" w:type="pct"/>
            <w:noWrap/>
            <w:hideMark/>
          </w:tcPr>
          <w:p w14:paraId="74F20A9B" w14:textId="77777777" w:rsidR="00855A5C" w:rsidRPr="009D6CF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color w:val="000000"/>
              </w:rPr>
            </w:pPr>
            <w:r w:rsidRPr="009D6CF1">
              <w:rPr>
                <w:rFonts w:ascii="Calibri" w:hAnsi="Calibri" w:cs="Times New Roman"/>
                <w:b/>
                <w:color w:val="000000"/>
              </w:rPr>
              <w:t>0.78</w:t>
            </w:r>
          </w:p>
        </w:tc>
        <w:tc>
          <w:tcPr>
            <w:tcW w:w="456" w:type="pct"/>
            <w:noWrap/>
            <w:hideMark/>
          </w:tcPr>
          <w:p w14:paraId="048DDBFE" w14:textId="77777777" w:rsidR="00855A5C" w:rsidRPr="009D6CF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color w:val="000000"/>
              </w:rPr>
            </w:pPr>
            <w:r w:rsidRPr="009D6CF1">
              <w:rPr>
                <w:rFonts w:ascii="Calibri" w:hAnsi="Calibri" w:cs="Times New Roman"/>
                <w:b/>
                <w:color w:val="000000"/>
              </w:rPr>
              <w:t>0.36</w:t>
            </w:r>
          </w:p>
        </w:tc>
        <w:tc>
          <w:tcPr>
            <w:tcW w:w="454" w:type="pct"/>
            <w:noWrap/>
            <w:hideMark/>
          </w:tcPr>
          <w:p w14:paraId="513D402B" w14:textId="77777777" w:rsidR="00855A5C" w:rsidRPr="009D6CF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color w:val="000000"/>
              </w:rPr>
            </w:pPr>
            <w:r w:rsidRPr="009D6CF1">
              <w:rPr>
                <w:rFonts w:ascii="Calibri" w:hAnsi="Calibri" w:cs="Times New Roman"/>
                <w:b/>
                <w:color w:val="000000"/>
              </w:rPr>
              <w:t>0.20</w:t>
            </w:r>
          </w:p>
        </w:tc>
        <w:tc>
          <w:tcPr>
            <w:tcW w:w="457" w:type="pct"/>
            <w:noWrap/>
            <w:hideMark/>
          </w:tcPr>
          <w:p w14:paraId="35D3817F" w14:textId="77777777" w:rsidR="00855A5C" w:rsidRPr="009D6CF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color w:val="000000"/>
              </w:rPr>
            </w:pPr>
            <w:r w:rsidRPr="009D6CF1">
              <w:rPr>
                <w:rFonts w:ascii="Calibri" w:hAnsi="Calibri" w:cs="Times New Roman"/>
                <w:b/>
                <w:color w:val="000000"/>
              </w:rPr>
              <w:t>NA</w:t>
            </w:r>
          </w:p>
        </w:tc>
        <w:tc>
          <w:tcPr>
            <w:tcW w:w="528" w:type="pct"/>
            <w:noWrap/>
            <w:hideMark/>
          </w:tcPr>
          <w:p w14:paraId="0E1BB0BE" w14:textId="77777777" w:rsidR="00855A5C" w:rsidRPr="009D6CF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color w:val="000000"/>
              </w:rPr>
            </w:pPr>
            <w:r w:rsidRPr="009D6CF1">
              <w:rPr>
                <w:rFonts w:ascii="Calibri" w:hAnsi="Calibri" w:cs="Times New Roman"/>
                <w:b/>
                <w:color w:val="000000"/>
              </w:rPr>
              <w:t>0.64</w:t>
            </w:r>
          </w:p>
        </w:tc>
        <w:tc>
          <w:tcPr>
            <w:tcW w:w="456" w:type="pct"/>
            <w:noWrap/>
            <w:hideMark/>
          </w:tcPr>
          <w:p w14:paraId="57582710" w14:textId="77777777" w:rsidR="00855A5C" w:rsidRPr="009D6CF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color w:val="000000"/>
              </w:rPr>
            </w:pPr>
            <w:r w:rsidRPr="009D6CF1">
              <w:rPr>
                <w:rFonts w:ascii="Calibri" w:hAnsi="Calibri" w:cs="Times New Roman"/>
                <w:b/>
                <w:color w:val="000000"/>
              </w:rPr>
              <w:t>0.27</w:t>
            </w:r>
          </w:p>
        </w:tc>
        <w:tc>
          <w:tcPr>
            <w:tcW w:w="454" w:type="pct"/>
            <w:noWrap/>
            <w:hideMark/>
          </w:tcPr>
          <w:p w14:paraId="6BDF79EF" w14:textId="77777777" w:rsidR="00855A5C" w:rsidRPr="009D6CF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color w:val="000000"/>
              </w:rPr>
            </w:pPr>
            <w:r w:rsidRPr="009D6CF1">
              <w:rPr>
                <w:rFonts w:ascii="Calibri" w:hAnsi="Calibri" w:cs="Times New Roman"/>
                <w:b/>
                <w:color w:val="000000"/>
              </w:rPr>
              <w:t>0.26</w:t>
            </w:r>
          </w:p>
        </w:tc>
        <w:tc>
          <w:tcPr>
            <w:tcW w:w="456" w:type="pct"/>
            <w:noWrap/>
            <w:hideMark/>
          </w:tcPr>
          <w:p w14:paraId="7755BFF4" w14:textId="77777777" w:rsidR="00855A5C" w:rsidRPr="009D6CF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color w:val="000000"/>
              </w:rPr>
            </w:pPr>
          </w:p>
        </w:tc>
        <w:tc>
          <w:tcPr>
            <w:tcW w:w="477" w:type="pct"/>
            <w:noWrap/>
            <w:hideMark/>
          </w:tcPr>
          <w:p w14:paraId="2FB1F6D7" w14:textId="77777777" w:rsidR="00855A5C" w:rsidRPr="009D6CF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color w:val="000000"/>
              </w:rPr>
            </w:pPr>
            <w:r w:rsidRPr="009D6CF1">
              <w:rPr>
                <w:rFonts w:ascii="Calibri" w:hAnsi="Calibri" w:cs="Times New Roman"/>
                <w:b/>
                <w:color w:val="000000"/>
              </w:rPr>
              <w:t>*</w:t>
            </w:r>
          </w:p>
        </w:tc>
      </w:tr>
      <w:tr w:rsidR="00A84137" w:rsidRPr="008F2AA1" w14:paraId="59EDBC36" w14:textId="77777777" w:rsidTr="0053571A">
        <w:trPr>
          <w:trHeight w:val="300"/>
        </w:trPr>
        <w:tc>
          <w:tcPr>
            <w:cnfStyle w:val="001000000000" w:firstRow="0" w:lastRow="0" w:firstColumn="1" w:lastColumn="0" w:oddVBand="0" w:evenVBand="0" w:oddHBand="0" w:evenHBand="0" w:firstRowFirstColumn="0" w:firstRowLastColumn="0" w:lastRowFirstColumn="0" w:lastRowLastColumn="0"/>
            <w:tcW w:w="805" w:type="pct"/>
            <w:noWrap/>
            <w:hideMark/>
          </w:tcPr>
          <w:p w14:paraId="0ABEE4F8" w14:textId="77777777" w:rsidR="00855A5C" w:rsidRPr="007D36C8" w:rsidRDefault="00855A5C" w:rsidP="0053571A">
            <w:pPr>
              <w:spacing w:before="0" w:after="0"/>
              <w:jc w:val="left"/>
              <w:rPr>
                <w:rFonts w:ascii="Calibri" w:hAnsi="Calibri" w:cs="Times New Roman"/>
                <w:b w:val="0"/>
                <w:color w:val="000000"/>
              </w:rPr>
            </w:pPr>
            <w:r w:rsidRPr="007D36C8">
              <w:rPr>
                <w:rFonts w:ascii="Calibri" w:hAnsi="Calibri" w:cs="Times New Roman"/>
                <w:b w:val="0"/>
                <w:color w:val="000000"/>
              </w:rPr>
              <w:t>CDOM</w:t>
            </w:r>
            <w:r w:rsidR="00667BEC" w:rsidRPr="007D36C8">
              <w:rPr>
                <w:rFonts w:ascii="Calibri" w:hAnsi="Calibri" w:cs="Times New Roman"/>
                <w:b w:val="0"/>
                <w:color w:val="000000"/>
              </w:rPr>
              <w:t xml:space="preserve"> (m</w:t>
            </w:r>
            <w:r w:rsidR="00667BEC" w:rsidRPr="007D36C8">
              <w:rPr>
                <w:rFonts w:ascii="Calibri" w:hAnsi="Calibri" w:cs="Times New Roman"/>
                <w:b w:val="0"/>
                <w:color w:val="000000"/>
                <w:vertAlign w:val="superscript"/>
              </w:rPr>
              <w:t>-1</w:t>
            </w:r>
            <w:r w:rsidR="00667BEC" w:rsidRPr="007D36C8">
              <w:rPr>
                <w:rFonts w:ascii="Calibri" w:hAnsi="Calibri" w:cs="Times New Roman"/>
                <w:b w:val="0"/>
                <w:color w:val="000000"/>
              </w:rPr>
              <w:t>)</w:t>
            </w:r>
          </w:p>
        </w:tc>
        <w:tc>
          <w:tcPr>
            <w:tcW w:w="456" w:type="pct"/>
            <w:noWrap/>
            <w:hideMark/>
          </w:tcPr>
          <w:p w14:paraId="5862B0D2" w14:textId="77777777" w:rsidR="00855A5C" w:rsidRPr="008F2AA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0.89</w:t>
            </w:r>
          </w:p>
        </w:tc>
        <w:tc>
          <w:tcPr>
            <w:tcW w:w="456" w:type="pct"/>
            <w:noWrap/>
            <w:hideMark/>
          </w:tcPr>
          <w:p w14:paraId="5D264101" w14:textId="77777777" w:rsidR="00855A5C" w:rsidRPr="008F2AA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0.36</w:t>
            </w:r>
          </w:p>
        </w:tc>
        <w:tc>
          <w:tcPr>
            <w:tcW w:w="454" w:type="pct"/>
            <w:noWrap/>
            <w:hideMark/>
          </w:tcPr>
          <w:p w14:paraId="1F989F9A" w14:textId="77777777" w:rsidR="00855A5C" w:rsidRPr="008F2AA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0.25</w:t>
            </w:r>
          </w:p>
        </w:tc>
        <w:tc>
          <w:tcPr>
            <w:tcW w:w="457" w:type="pct"/>
            <w:noWrap/>
            <w:hideMark/>
          </w:tcPr>
          <w:p w14:paraId="3D2FA16D" w14:textId="77777777" w:rsidR="00855A5C" w:rsidRPr="008F2AA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1.82</w:t>
            </w:r>
          </w:p>
        </w:tc>
        <w:tc>
          <w:tcPr>
            <w:tcW w:w="528" w:type="pct"/>
            <w:noWrap/>
            <w:hideMark/>
          </w:tcPr>
          <w:p w14:paraId="67509B33" w14:textId="77777777" w:rsidR="00855A5C" w:rsidRPr="008F2AA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1.00</w:t>
            </w:r>
          </w:p>
        </w:tc>
        <w:tc>
          <w:tcPr>
            <w:tcW w:w="456" w:type="pct"/>
            <w:noWrap/>
            <w:hideMark/>
          </w:tcPr>
          <w:p w14:paraId="1A5EF41B" w14:textId="77777777" w:rsidR="00855A5C" w:rsidRPr="008F2AA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0.49</w:t>
            </w:r>
          </w:p>
        </w:tc>
        <w:tc>
          <w:tcPr>
            <w:tcW w:w="454" w:type="pct"/>
            <w:noWrap/>
            <w:hideMark/>
          </w:tcPr>
          <w:p w14:paraId="47C77DF5" w14:textId="77777777" w:rsidR="00855A5C" w:rsidRPr="008F2AA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0.26</w:t>
            </w:r>
          </w:p>
        </w:tc>
        <w:tc>
          <w:tcPr>
            <w:tcW w:w="456" w:type="pct"/>
            <w:noWrap/>
            <w:hideMark/>
          </w:tcPr>
          <w:p w14:paraId="4B380B27" w14:textId="77777777" w:rsidR="00855A5C" w:rsidRPr="008F2AA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NA</w:t>
            </w:r>
          </w:p>
        </w:tc>
        <w:tc>
          <w:tcPr>
            <w:tcW w:w="477" w:type="pct"/>
            <w:noWrap/>
            <w:hideMark/>
          </w:tcPr>
          <w:p w14:paraId="4010A744" w14:textId="77777777" w:rsidR="00855A5C" w:rsidRPr="008F2AA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w:t>
            </w:r>
          </w:p>
        </w:tc>
      </w:tr>
      <w:tr w:rsidR="00A84137" w:rsidRPr="008F2AA1" w14:paraId="78B3E399" w14:textId="77777777" w:rsidTr="0053571A">
        <w:trPr>
          <w:trHeight w:val="300"/>
        </w:trPr>
        <w:tc>
          <w:tcPr>
            <w:cnfStyle w:val="001000000000" w:firstRow="0" w:lastRow="0" w:firstColumn="1" w:lastColumn="0" w:oddVBand="0" w:evenVBand="0" w:oddHBand="0" w:evenHBand="0" w:firstRowFirstColumn="0" w:firstRowLastColumn="0" w:lastRowFirstColumn="0" w:lastRowLastColumn="0"/>
            <w:tcW w:w="805" w:type="pct"/>
            <w:noWrap/>
            <w:hideMark/>
          </w:tcPr>
          <w:p w14:paraId="105A3BA9" w14:textId="77777777" w:rsidR="00855A5C" w:rsidRPr="007D36C8" w:rsidRDefault="00855A5C" w:rsidP="0053571A">
            <w:pPr>
              <w:spacing w:before="0" w:after="0"/>
              <w:jc w:val="left"/>
              <w:rPr>
                <w:rFonts w:ascii="Calibri" w:hAnsi="Calibri" w:cs="Times New Roman"/>
                <w:b w:val="0"/>
                <w:color w:val="000000"/>
              </w:rPr>
            </w:pPr>
            <w:r w:rsidRPr="007D36C8">
              <w:rPr>
                <w:rFonts w:ascii="Calibri" w:hAnsi="Calibri" w:cs="Times New Roman"/>
                <w:b w:val="0"/>
                <w:color w:val="000000"/>
              </w:rPr>
              <w:t>TSS</w:t>
            </w:r>
            <w:r w:rsidR="00A84137" w:rsidRPr="007D36C8">
              <w:rPr>
                <w:rFonts w:ascii="Calibri" w:hAnsi="Calibri" w:cs="Times New Roman"/>
                <w:b w:val="0"/>
                <w:color w:val="000000"/>
              </w:rPr>
              <w:t xml:space="preserve"> (mg L</w:t>
            </w:r>
            <w:r w:rsidR="00A84137" w:rsidRPr="007D36C8">
              <w:rPr>
                <w:rFonts w:ascii="Calibri" w:hAnsi="Calibri" w:cs="Times New Roman"/>
                <w:b w:val="0"/>
                <w:color w:val="000000"/>
                <w:vertAlign w:val="superscript"/>
              </w:rPr>
              <w:t>-1</w:t>
            </w:r>
            <w:r w:rsidR="00A84137" w:rsidRPr="007D36C8">
              <w:rPr>
                <w:rFonts w:ascii="Calibri" w:hAnsi="Calibri" w:cs="Times New Roman"/>
                <w:b w:val="0"/>
                <w:color w:val="000000"/>
              </w:rPr>
              <w:t>)</w:t>
            </w:r>
          </w:p>
        </w:tc>
        <w:tc>
          <w:tcPr>
            <w:tcW w:w="456" w:type="pct"/>
            <w:noWrap/>
            <w:hideMark/>
          </w:tcPr>
          <w:p w14:paraId="70AF8647" w14:textId="77777777" w:rsidR="00855A5C" w:rsidRPr="009D6CF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color w:val="000000"/>
              </w:rPr>
            </w:pPr>
            <w:r w:rsidRPr="009D6CF1">
              <w:rPr>
                <w:rFonts w:ascii="Calibri" w:hAnsi="Calibri" w:cs="Times New Roman"/>
                <w:b/>
                <w:color w:val="000000"/>
              </w:rPr>
              <w:t>19.68</w:t>
            </w:r>
          </w:p>
        </w:tc>
        <w:tc>
          <w:tcPr>
            <w:tcW w:w="456" w:type="pct"/>
            <w:noWrap/>
            <w:hideMark/>
          </w:tcPr>
          <w:p w14:paraId="18BF415D" w14:textId="77777777" w:rsidR="00855A5C" w:rsidRPr="009D6CF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color w:val="000000"/>
              </w:rPr>
            </w:pPr>
            <w:r w:rsidRPr="009D6CF1">
              <w:rPr>
                <w:rFonts w:ascii="Calibri" w:hAnsi="Calibri" w:cs="Times New Roman"/>
                <w:b/>
                <w:color w:val="000000"/>
              </w:rPr>
              <w:t>8.44</w:t>
            </w:r>
          </w:p>
        </w:tc>
        <w:tc>
          <w:tcPr>
            <w:tcW w:w="454" w:type="pct"/>
            <w:noWrap/>
            <w:hideMark/>
          </w:tcPr>
          <w:p w14:paraId="7C3B5217" w14:textId="77777777" w:rsidR="00855A5C" w:rsidRPr="009D6CF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color w:val="000000"/>
              </w:rPr>
            </w:pPr>
            <w:r w:rsidRPr="009D6CF1">
              <w:rPr>
                <w:rFonts w:ascii="Calibri" w:hAnsi="Calibri" w:cs="Times New Roman"/>
                <w:b/>
                <w:color w:val="000000"/>
              </w:rPr>
              <w:t>8.37</w:t>
            </w:r>
          </w:p>
        </w:tc>
        <w:tc>
          <w:tcPr>
            <w:tcW w:w="457" w:type="pct"/>
            <w:noWrap/>
            <w:hideMark/>
          </w:tcPr>
          <w:p w14:paraId="0AC93D3C" w14:textId="77777777" w:rsidR="00855A5C" w:rsidRPr="009D6CF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color w:val="000000"/>
              </w:rPr>
            </w:pPr>
            <w:r w:rsidRPr="009D6CF1">
              <w:rPr>
                <w:rFonts w:ascii="Calibri" w:hAnsi="Calibri" w:cs="Times New Roman"/>
                <w:b/>
                <w:color w:val="000000"/>
              </w:rPr>
              <w:t>2.61</w:t>
            </w:r>
          </w:p>
        </w:tc>
        <w:tc>
          <w:tcPr>
            <w:tcW w:w="528" w:type="pct"/>
            <w:noWrap/>
            <w:hideMark/>
          </w:tcPr>
          <w:p w14:paraId="653EEA75" w14:textId="77777777" w:rsidR="00855A5C" w:rsidRPr="009D6CF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color w:val="000000"/>
              </w:rPr>
            </w:pPr>
            <w:r w:rsidRPr="009D6CF1">
              <w:rPr>
                <w:rFonts w:ascii="Calibri" w:hAnsi="Calibri" w:cs="Times New Roman"/>
                <w:b/>
                <w:color w:val="000000"/>
              </w:rPr>
              <w:t>38.22</w:t>
            </w:r>
          </w:p>
        </w:tc>
        <w:tc>
          <w:tcPr>
            <w:tcW w:w="456" w:type="pct"/>
            <w:noWrap/>
            <w:hideMark/>
          </w:tcPr>
          <w:p w14:paraId="39B5652B" w14:textId="77777777" w:rsidR="00855A5C" w:rsidRPr="009D6CF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color w:val="000000"/>
              </w:rPr>
            </w:pPr>
            <w:r w:rsidRPr="009D6CF1">
              <w:rPr>
                <w:rFonts w:ascii="Calibri" w:hAnsi="Calibri" w:cs="Times New Roman"/>
                <w:b/>
                <w:color w:val="000000"/>
              </w:rPr>
              <w:t>8.21</w:t>
            </w:r>
          </w:p>
        </w:tc>
        <w:tc>
          <w:tcPr>
            <w:tcW w:w="454" w:type="pct"/>
            <w:noWrap/>
            <w:hideMark/>
          </w:tcPr>
          <w:p w14:paraId="7EF6F437" w14:textId="77777777" w:rsidR="00855A5C" w:rsidRPr="009D6CF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color w:val="000000"/>
              </w:rPr>
            </w:pPr>
            <w:r w:rsidRPr="009D6CF1">
              <w:rPr>
                <w:rFonts w:ascii="Calibri" w:hAnsi="Calibri" w:cs="Times New Roman"/>
                <w:b/>
                <w:color w:val="000000"/>
              </w:rPr>
              <w:t>8.29</w:t>
            </w:r>
          </w:p>
        </w:tc>
        <w:tc>
          <w:tcPr>
            <w:tcW w:w="456" w:type="pct"/>
            <w:noWrap/>
            <w:hideMark/>
          </w:tcPr>
          <w:p w14:paraId="6303DAC3" w14:textId="77777777" w:rsidR="00855A5C" w:rsidRPr="009D6CF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color w:val="000000"/>
              </w:rPr>
            </w:pPr>
            <w:r w:rsidRPr="009D6CF1">
              <w:rPr>
                <w:rFonts w:ascii="Calibri" w:hAnsi="Calibri" w:cs="Times New Roman"/>
                <w:b/>
                <w:color w:val="000000"/>
              </w:rPr>
              <w:t>1.99</w:t>
            </w:r>
          </w:p>
        </w:tc>
        <w:tc>
          <w:tcPr>
            <w:tcW w:w="477" w:type="pct"/>
            <w:noWrap/>
            <w:hideMark/>
          </w:tcPr>
          <w:p w14:paraId="25EC638D" w14:textId="77777777" w:rsidR="00855A5C" w:rsidRPr="009D6CF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color w:val="000000"/>
              </w:rPr>
            </w:pPr>
            <w:r w:rsidRPr="009D6CF1">
              <w:rPr>
                <w:rFonts w:ascii="Calibri" w:hAnsi="Calibri" w:cs="Times New Roman"/>
                <w:b/>
                <w:color w:val="000000"/>
              </w:rPr>
              <w:t>*</w:t>
            </w:r>
          </w:p>
        </w:tc>
      </w:tr>
      <w:tr w:rsidR="00A84137" w:rsidRPr="008F2AA1" w14:paraId="5D443DE8" w14:textId="77777777" w:rsidTr="0053571A">
        <w:trPr>
          <w:trHeight w:val="300"/>
        </w:trPr>
        <w:tc>
          <w:tcPr>
            <w:cnfStyle w:val="001000000000" w:firstRow="0" w:lastRow="0" w:firstColumn="1" w:lastColumn="0" w:oddVBand="0" w:evenVBand="0" w:oddHBand="0" w:evenHBand="0" w:firstRowFirstColumn="0" w:firstRowLastColumn="0" w:lastRowFirstColumn="0" w:lastRowLastColumn="0"/>
            <w:tcW w:w="805" w:type="pct"/>
            <w:noWrap/>
            <w:hideMark/>
          </w:tcPr>
          <w:p w14:paraId="282F5A72" w14:textId="77777777" w:rsidR="00855A5C" w:rsidRPr="007D36C8" w:rsidRDefault="00855A5C" w:rsidP="0053571A">
            <w:pPr>
              <w:spacing w:before="0" w:after="0"/>
              <w:jc w:val="left"/>
              <w:rPr>
                <w:rFonts w:ascii="Calibri" w:hAnsi="Calibri" w:cs="Times New Roman"/>
                <w:b w:val="0"/>
                <w:color w:val="000000"/>
              </w:rPr>
            </w:pPr>
            <w:r w:rsidRPr="007D36C8">
              <w:rPr>
                <w:rFonts w:ascii="Calibri" w:hAnsi="Calibri" w:cs="Times New Roman"/>
                <w:b w:val="0"/>
                <w:color w:val="000000"/>
              </w:rPr>
              <w:t>Chl</w:t>
            </w:r>
            <w:r w:rsidR="00A84137" w:rsidRPr="007D36C8">
              <w:rPr>
                <w:rFonts w:ascii="Calibri" w:hAnsi="Calibri" w:cs="Times New Roman"/>
                <w:b w:val="0"/>
                <w:color w:val="000000"/>
              </w:rPr>
              <w:t xml:space="preserve"> (µg L</w:t>
            </w:r>
            <w:r w:rsidR="00A84137" w:rsidRPr="007D36C8">
              <w:rPr>
                <w:rFonts w:ascii="Calibri" w:hAnsi="Calibri" w:cs="Times New Roman"/>
                <w:b w:val="0"/>
                <w:color w:val="000000"/>
                <w:vertAlign w:val="superscript"/>
              </w:rPr>
              <w:t>-1</w:t>
            </w:r>
            <w:r w:rsidR="00A84137" w:rsidRPr="007D36C8">
              <w:rPr>
                <w:rFonts w:ascii="Calibri" w:hAnsi="Calibri" w:cs="Times New Roman"/>
                <w:b w:val="0"/>
                <w:color w:val="000000"/>
              </w:rPr>
              <w:t>)</w:t>
            </w:r>
          </w:p>
        </w:tc>
        <w:tc>
          <w:tcPr>
            <w:tcW w:w="456" w:type="pct"/>
            <w:noWrap/>
            <w:hideMark/>
          </w:tcPr>
          <w:p w14:paraId="3BAD969D" w14:textId="77777777" w:rsidR="00855A5C" w:rsidRPr="008F2AA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1.93</w:t>
            </w:r>
          </w:p>
        </w:tc>
        <w:tc>
          <w:tcPr>
            <w:tcW w:w="456" w:type="pct"/>
            <w:noWrap/>
            <w:hideMark/>
          </w:tcPr>
          <w:p w14:paraId="0D77DEA7" w14:textId="77777777" w:rsidR="00855A5C" w:rsidRPr="008F2AA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0.88</w:t>
            </w:r>
          </w:p>
        </w:tc>
        <w:tc>
          <w:tcPr>
            <w:tcW w:w="454" w:type="pct"/>
            <w:noWrap/>
            <w:hideMark/>
          </w:tcPr>
          <w:p w14:paraId="4AA5696F" w14:textId="77777777" w:rsidR="00855A5C" w:rsidRPr="008F2AA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0.50</w:t>
            </w:r>
          </w:p>
        </w:tc>
        <w:tc>
          <w:tcPr>
            <w:tcW w:w="457" w:type="pct"/>
            <w:noWrap/>
            <w:hideMark/>
          </w:tcPr>
          <w:p w14:paraId="46CAAD14" w14:textId="77777777" w:rsidR="00855A5C" w:rsidRPr="008F2AA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0.38</w:t>
            </w:r>
          </w:p>
        </w:tc>
        <w:tc>
          <w:tcPr>
            <w:tcW w:w="528" w:type="pct"/>
            <w:noWrap/>
            <w:hideMark/>
          </w:tcPr>
          <w:p w14:paraId="685EA55D" w14:textId="77777777" w:rsidR="00855A5C" w:rsidRPr="008F2AA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2.73</w:t>
            </w:r>
          </w:p>
        </w:tc>
        <w:tc>
          <w:tcPr>
            <w:tcW w:w="456" w:type="pct"/>
            <w:noWrap/>
            <w:hideMark/>
          </w:tcPr>
          <w:p w14:paraId="11FADD78" w14:textId="77777777" w:rsidR="00855A5C" w:rsidRPr="008F2AA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0.88</w:t>
            </w:r>
          </w:p>
        </w:tc>
        <w:tc>
          <w:tcPr>
            <w:tcW w:w="454" w:type="pct"/>
            <w:noWrap/>
            <w:hideMark/>
          </w:tcPr>
          <w:p w14:paraId="600F01A9" w14:textId="77777777" w:rsidR="00855A5C" w:rsidRPr="008F2AA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0.61</w:t>
            </w:r>
          </w:p>
        </w:tc>
        <w:tc>
          <w:tcPr>
            <w:tcW w:w="456" w:type="pct"/>
            <w:noWrap/>
            <w:hideMark/>
          </w:tcPr>
          <w:p w14:paraId="3ABF8BA8" w14:textId="77777777" w:rsidR="00855A5C" w:rsidRPr="008F2AA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0.93</w:t>
            </w:r>
          </w:p>
        </w:tc>
        <w:tc>
          <w:tcPr>
            <w:tcW w:w="477" w:type="pct"/>
            <w:noWrap/>
            <w:hideMark/>
          </w:tcPr>
          <w:p w14:paraId="615D8F03" w14:textId="77777777" w:rsidR="00855A5C" w:rsidRPr="008F2AA1" w:rsidRDefault="00855A5C"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w:t>
            </w:r>
          </w:p>
        </w:tc>
      </w:tr>
      <w:tr w:rsidR="00A84137" w:rsidRPr="008F2AA1" w14:paraId="4335872F" w14:textId="77777777" w:rsidTr="0053571A">
        <w:trPr>
          <w:trHeight w:val="300"/>
        </w:trPr>
        <w:tc>
          <w:tcPr>
            <w:cnfStyle w:val="001000000000" w:firstRow="0" w:lastRow="0" w:firstColumn="1" w:lastColumn="0" w:oddVBand="0" w:evenVBand="0" w:oddHBand="0" w:evenHBand="0" w:firstRowFirstColumn="0" w:firstRowLastColumn="0" w:lastRowFirstColumn="0" w:lastRowLastColumn="0"/>
            <w:tcW w:w="805" w:type="pct"/>
            <w:noWrap/>
          </w:tcPr>
          <w:p w14:paraId="1E07C2A1" w14:textId="77777777" w:rsidR="00A84137" w:rsidRPr="007D36C8" w:rsidRDefault="00A84137" w:rsidP="0053571A">
            <w:pPr>
              <w:spacing w:before="0" w:after="0"/>
              <w:jc w:val="left"/>
              <w:rPr>
                <w:rFonts w:ascii="Calibri" w:hAnsi="Calibri" w:cs="Times New Roman"/>
                <w:b w:val="0"/>
                <w:color w:val="000000"/>
              </w:rPr>
            </w:pPr>
            <w:r w:rsidRPr="007D36C8">
              <w:rPr>
                <w:b w:val="0"/>
              </w:rPr>
              <w:t>Diuron  (ng/L)</w:t>
            </w:r>
          </w:p>
        </w:tc>
        <w:tc>
          <w:tcPr>
            <w:tcW w:w="456" w:type="pct"/>
            <w:noWrap/>
          </w:tcPr>
          <w:p w14:paraId="2AC249B2" w14:textId="77777777" w:rsidR="00A84137" w:rsidRPr="009D6CF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bCs/>
                <w:color w:val="000000"/>
              </w:rPr>
            </w:pPr>
            <w:r w:rsidRPr="00A4712B">
              <w:t>95.42</w:t>
            </w:r>
          </w:p>
        </w:tc>
        <w:tc>
          <w:tcPr>
            <w:tcW w:w="456" w:type="pct"/>
            <w:noWrap/>
          </w:tcPr>
          <w:p w14:paraId="7A91F5C5" w14:textId="77777777" w:rsidR="00A84137" w:rsidRPr="009D6CF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bCs/>
                <w:color w:val="000000"/>
              </w:rPr>
            </w:pPr>
            <w:r w:rsidRPr="00A4712B">
              <w:t>45.37</w:t>
            </w:r>
          </w:p>
        </w:tc>
        <w:tc>
          <w:tcPr>
            <w:tcW w:w="454" w:type="pct"/>
            <w:noWrap/>
          </w:tcPr>
          <w:p w14:paraId="4C8E8B0A" w14:textId="77777777" w:rsidR="00A84137" w:rsidRPr="009D6CF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bCs/>
                <w:color w:val="000000"/>
              </w:rPr>
            </w:pPr>
            <w:r w:rsidRPr="00A4712B">
              <w:t>0.00</w:t>
            </w:r>
          </w:p>
        </w:tc>
        <w:tc>
          <w:tcPr>
            <w:tcW w:w="457" w:type="pct"/>
            <w:noWrap/>
          </w:tcPr>
          <w:p w14:paraId="1378DDDF" w14:textId="77777777" w:rsidR="00A84137" w:rsidRPr="009D6CF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bCs/>
                <w:color w:val="000000"/>
              </w:rPr>
            </w:pPr>
            <w:r w:rsidRPr="00A4712B">
              <w:t>15.00</w:t>
            </w:r>
          </w:p>
        </w:tc>
        <w:tc>
          <w:tcPr>
            <w:tcW w:w="528" w:type="pct"/>
            <w:noWrap/>
          </w:tcPr>
          <w:p w14:paraId="1EE46252" w14:textId="77777777" w:rsidR="00A84137" w:rsidRPr="009D6CF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color w:val="000000"/>
              </w:rPr>
            </w:pPr>
            <w:r w:rsidRPr="00A4712B">
              <w:t>312.68</w:t>
            </w:r>
          </w:p>
        </w:tc>
        <w:tc>
          <w:tcPr>
            <w:tcW w:w="456" w:type="pct"/>
            <w:noWrap/>
          </w:tcPr>
          <w:p w14:paraId="3A9CA102" w14:textId="77777777" w:rsidR="00A84137" w:rsidRPr="009D6CF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color w:val="000000"/>
              </w:rPr>
            </w:pPr>
            <w:r w:rsidRPr="00A4712B">
              <w:t>78.53</w:t>
            </w:r>
          </w:p>
        </w:tc>
        <w:tc>
          <w:tcPr>
            <w:tcW w:w="454" w:type="pct"/>
            <w:noWrap/>
          </w:tcPr>
          <w:p w14:paraId="25D98C91" w14:textId="77777777" w:rsidR="00A84137" w:rsidRPr="009D6CF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color w:val="000000"/>
              </w:rPr>
            </w:pPr>
            <w:r w:rsidRPr="00A4712B">
              <w:t>0.00</w:t>
            </w:r>
          </w:p>
        </w:tc>
        <w:tc>
          <w:tcPr>
            <w:tcW w:w="456" w:type="pct"/>
            <w:noWrap/>
          </w:tcPr>
          <w:p w14:paraId="25F24B0D" w14:textId="77777777" w:rsidR="00A84137" w:rsidRPr="009D6CF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color w:val="000000"/>
              </w:rPr>
            </w:pPr>
            <w:r w:rsidRPr="00A4712B">
              <w:t>21.21</w:t>
            </w:r>
          </w:p>
        </w:tc>
        <w:tc>
          <w:tcPr>
            <w:tcW w:w="477" w:type="pct"/>
            <w:noWrap/>
          </w:tcPr>
          <w:p w14:paraId="5B360A49" w14:textId="77777777" w:rsidR="00A84137" w:rsidRPr="009D6CF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color w:val="000000"/>
              </w:rPr>
            </w:pPr>
            <w:r w:rsidRPr="00A4712B">
              <w:t>*</w:t>
            </w:r>
          </w:p>
        </w:tc>
      </w:tr>
      <w:tr w:rsidR="00A84137" w:rsidRPr="008F2AA1" w14:paraId="45485CCB" w14:textId="77777777" w:rsidTr="0053571A">
        <w:trPr>
          <w:trHeight w:val="300"/>
        </w:trPr>
        <w:tc>
          <w:tcPr>
            <w:cnfStyle w:val="001000000000" w:firstRow="0" w:lastRow="0" w:firstColumn="1" w:lastColumn="0" w:oddVBand="0" w:evenVBand="0" w:oddHBand="0" w:evenHBand="0" w:firstRowFirstColumn="0" w:firstRowLastColumn="0" w:lastRowFirstColumn="0" w:lastRowLastColumn="0"/>
            <w:tcW w:w="805" w:type="pct"/>
            <w:noWrap/>
            <w:hideMark/>
          </w:tcPr>
          <w:p w14:paraId="778FE8CB" w14:textId="77777777" w:rsidR="00A84137" w:rsidRPr="007D36C8" w:rsidRDefault="00A84137" w:rsidP="0053571A">
            <w:pPr>
              <w:spacing w:before="0" w:after="0"/>
              <w:jc w:val="left"/>
              <w:rPr>
                <w:rFonts w:ascii="Calibri" w:hAnsi="Calibri" w:cs="Times New Roman"/>
                <w:b w:val="0"/>
                <w:color w:val="000000"/>
              </w:rPr>
            </w:pPr>
            <w:r w:rsidRPr="007D36C8">
              <w:rPr>
                <w:rFonts w:ascii="Calibri" w:hAnsi="Calibri" w:cs="Times New Roman"/>
                <w:b w:val="0"/>
                <w:color w:val="000000"/>
              </w:rPr>
              <w:t>DIN (µM)</w:t>
            </w:r>
          </w:p>
        </w:tc>
        <w:tc>
          <w:tcPr>
            <w:tcW w:w="456" w:type="pct"/>
            <w:noWrap/>
            <w:hideMark/>
          </w:tcPr>
          <w:p w14:paraId="66E2A1F7" w14:textId="77777777" w:rsidR="00A84137" w:rsidRPr="009D6CF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bCs/>
                <w:color w:val="000000"/>
              </w:rPr>
            </w:pPr>
            <w:r w:rsidRPr="009D6CF1">
              <w:rPr>
                <w:rFonts w:ascii="Calibri" w:hAnsi="Calibri" w:cs="Times New Roman"/>
                <w:b/>
                <w:bCs/>
                <w:color w:val="000000"/>
              </w:rPr>
              <w:t>3.33</w:t>
            </w:r>
          </w:p>
        </w:tc>
        <w:tc>
          <w:tcPr>
            <w:tcW w:w="456" w:type="pct"/>
            <w:noWrap/>
            <w:hideMark/>
          </w:tcPr>
          <w:p w14:paraId="1F6C6211" w14:textId="77777777" w:rsidR="00A84137" w:rsidRPr="009D6CF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bCs/>
                <w:color w:val="000000"/>
              </w:rPr>
            </w:pPr>
            <w:r w:rsidRPr="009D6CF1">
              <w:rPr>
                <w:rFonts w:ascii="Calibri" w:hAnsi="Calibri" w:cs="Times New Roman"/>
                <w:b/>
                <w:bCs/>
                <w:color w:val="000000"/>
              </w:rPr>
              <w:t>1.87</w:t>
            </w:r>
          </w:p>
        </w:tc>
        <w:tc>
          <w:tcPr>
            <w:tcW w:w="454" w:type="pct"/>
            <w:noWrap/>
            <w:hideMark/>
          </w:tcPr>
          <w:p w14:paraId="1BFAD7C8" w14:textId="77777777" w:rsidR="00A84137" w:rsidRPr="009D6CF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bCs/>
                <w:color w:val="000000"/>
              </w:rPr>
            </w:pPr>
            <w:r w:rsidRPr="009D6CF1">
              <w:rPr>
                <w:rFonts w:ascii="Calibri" w:hAnsi="Calibri" w:cs="Times New Roman"/>
                <w:b/>
                <w:bCs/>
                <w:color w:val="000000"/>
              </w:rPr>
              <w:t>1.68</w:t>
            </w:r>
          </w:p>
        </w:tc>
        <w:tc>
          <w:tcPr>
            <w:tcW w:w="457" w:type="pct"/>
            <w:noWrap/>
            <w:hideMark/>
          </w:tcPr>
          <w:p w14:paraId="0134D094" w14:textId="77777777" w:rsidR="00A84137" w:rsidRPr="009D6CF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bCs/>
                <w:color w:val="000000"/>
              </w:rPr>
            </w:pPr>
            <w:r w:rsidRPr="009D6CF1">
              <w:rPr>
                <w:rFonts w:ascii="Calibri" w:hAnsi="Calibri" w:cs="Times New Roman"/>
                <w:b/>
                <w:bCs/>
                <w:color w:val="000000"/>
              </w:rPr>
              <w:t>1.90</w:t>
            </w:r>
          </w:p>
        </w:tc>
        <w:tc>
          <w:tcPr>
            <w:tcW w:w="528" w:type="pct"/>
            <w:noWrap/>
            <w:hideMark/>
          </w:tcPr>
          <w:p w14:paraId="623264BA" w14:textId="77777777" w:rsidR="00A84137" w:rsidRPr="009D6CF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color w:val="000000"/>
              </w:rPr>
            </w:pPr>
            <w:r w:rsidRPr="009D6CF1">
              <w:rPr>
                <w:rFonts w:ascii="Calibri" w:hAnsi="Calibri" w:cs="Times New Roman"/>
                <w:b/>
                <w:color w:val="000000"/>
              </w:rPr>
              <w:t>3.03</w:t>
            </w:r>
          </w:p>
        </w:tc>
        <w:tc>
          <w:tcPr>
            <w:tcW w:w="456" w:type="pct"/>
            <w:noWrap/>
            <w:hideMark/>
          </w:tcPr>
          <w:p w14:paraId="424F1ECB" w14:textId="77777777" w:rsidR="00A84137" w:rsidRPr="009D6CF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color w:val="000000"/>
              </w:rPr>
            </w:pPr>
            <w:r w:rsidRPr="009D6CF1">
              <w:rPr>
                <w:rFonts w:ascii="Calibri" w:hAnsi="Calibri" w:cs="Times New Roman"/>
                <w:b/>
                <w:color w:val="000000"/>
              </w:rPr>
              <w:t>1.99</w:t>
            </w:r>
          </w:p>
        </w:tc>
        <w:tc>
          <w:tcPr>
            <w:tcW w:w="454" w:type="pct"/>
            <w:noWrap/>
            <w:hideMark/>
          </w:tcPr>
          <w:p w14:paraId="705D3446" w14:textId="77777777" w:rsidR="00A84137" w:rsidRPr="009D6CF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color w:val="000000"/>
              </w:rPr>
            </w:pPr>
            <w:r w:rsidRPr="009D6CF1">
              <w:rPr>
                <w:rFonts w:ascii="Calibri" w:hAnsi="Calibri" w:cs="Times New Roman"/>
                <w:b/>
                <w:color w:val="000000"/>
              </w:rPr>
              <w:t>2.23</w:t>
            </w:r>
          </w:p>
        </w:tc>
        <w:tc>
          <w:tcPr>
            <w:tcW w:w="456" w:type="pct"/>
            <w:noWrap/>
            <w:hideMark/>
          </w:tcPr>
          <w:p w14:paraId="42AB5C2A" w14:textId="77777777" w:rsidR="00A84137" w:rsidRPr="009D6CF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color w:val="000000"/>
              </w:rPr>
            </w:pPr>
            <w:r w:rsidRPr="009D6CF1">
              <w:rPr>
                <w:rFonts w:ascii="Calibri" w:hAnsi="Calibri" w:cs="Times New Roman"/>
                <w:b/>
                <w:color w:val="000000"/>
              </w:rPr>
              <w:t>1.03</w:t>
            </w:r>
          </w:p>
        </w:tc>
        <w:tc>
          <w:tcPr>
            <w:tcW w:w="477" w:type="pct"/>
            <w:noWrap/>
            <w:hideMark/>
          </w:tcPr>
          <w:p w14:paraId="42FB7F1D" w14:textId="77777777" w:rsidR="00A84137" w:rsidRPr="009D6CF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color w:val="000000"/>
              </w:rPr>
            </w:pPr>
            <w:r w:rsidRPr="009D6CF1">
              <w:rPr>
                <w:rFonts w:ascii="Calibri" w:hAnsi="Calibri" w:cs="Times New Roman"/>
                <w:b/>
                <w:color w:val="000000"/>
              </w:rPr>
              <w:t>*</w:t>
            </w:r>
          </w:p>
        </w:tc>
      </w:tr>
      <w:tr w:rsidR="00A84137" w:rsidRPr="008F2AA1" w14:paraId="3EEB506B" w14:textId="77777777" w:rsidTr="0053571A">
        <w:trPr>
          <w:trHeight w:val="300"/>
        </w:trPr>
        <w:tc>
          <w:tcPr>
            <w:cnfStyle w:val="001000000000" w:firstRow="0" w:lastRow="0" w:firstColumn="1" w:lastColumn="0" w:oddVBand="0" w:evenVBand="0" w:oddHBand="0" w:evenHBand="0" w:firstRowFirstColumn="0" w:firstRowLastColumn="0" w:lastRowFirstColumn="0" w:lastRowLastColumn="0"/>
            <w:tcW w:w="805" w:type="pct"/>
            <w:noWrap/>
            <w:hideMark/>
          </w:tcPr>
          <w:p w14:paraId="041CA8BF" w14:textId="77777777" w:rsidR="00A84137" w:rsidRPr="007D36C8" w:rsidRDefault="00A84137" w:rsidP="0053571A">
            <w:pPr>
              <w:spacing w:before="0" w:after="0"/>
              <w:jc w:val="left"/>
              <w:rPr>
                <w:rFonts w:ascii="Calibri" w:hAnsi="Calibri" w:cs="Times New Roman"/>
                <w:b w:val="0"/>
                <w:color w:val="000000"/>
              </w:rPr>
            </w:pPr>
            <w:r w:rsidRPr="007D36C8">
              <w:rPr>
                <w:rFonts w:ascii="Calibri" w:hAnsi="Calibri" w:cs="Times New Roman"/>
                <w:b w:val="0"/>
                <w:color w:val="000000"/>
              </w:rPr>
              <w:t>DIP (µM)</w:t>
            </w:r>
          </w:p>
        </w:tc>
        <w:tc>
          <w:tcPr>
            <w:tcW w:w="456" w:type="pct"/>
            <w:noWrap/>
            <w:hideMark/>
          </w:tcPr>
          <w:p w14:paraId="5A82686C" w14:textId="77777777" w:rsidR="00A84137" w:rsidRPr="009D6CF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bCs/>
                <w:color w:val="000000"/>
              </w:rPr>
            </w:pPr>
            <w:r w:rsidRPr="009D6CF1">
              <w:rPr>
                <w:rFonts w:ascii="Calibri" w:hAnsi="Calibri" w:cs="Times New Roman"/>
                <w:b/>
                <w:bCs/>
                <w:color w:val="000000"/>
              </w:rPr>
              <w:t>0.45</w:t>
            </w:r>
          </w:p>
        </w:tc>
        <w:tc>
          <w:tcPr>
            <w:tcW w:w="456" w:type="pct"/>
            <w:noWrap/>
            <w:hideMark/>
          </w:tcPr>
          <w:p w14:paraId="57ECEA8C" w14:textId="77777777" w:rsidR="00A84137" w:rsidRPr="009D6CF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bCs/>
                <w:color w:val="000000"/>
              </w:rPr>
            </w:pPr>
            <w:r w:rsidRPr="009D6CF1">
              <w:rPr>
                <w:rFonts w:ascii="Calibri" w:hAnsi="Calibri" w:cs="Times New Roman"/>
                <w:b/>
                <w:bCs/>
                <w:color w:val="000000"/>
              </w:rPr>
              <w:t>0.28</w:t>
            </w:r>
          </w:p>
        </w:tc>
        <w:tc>
          <w:tcPr>
            <w:tcW w:w="454" w:type="pct"/>
            <w:noWrap/>
            <w:hideMark/>
          </w:tcPr>
          <w:p w14:paraId="36EEEB9B" w14:textId="77777777" w:rsidR="00A84137" w:rsidRPr="009D6CF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bCs/>
                <w:color w:val="000000"/>
              </w:rPr>
            </w:pPr>
            <w:r w:rsidRPr="009D6CF1">
              <w:rPr>
                <w:rFonts w:ascii="Calibri" w:hAnsi="Calibri" w:cs="Times New Roman"/>
                <w:b/>
                <w:bCs/>
                <w:color w:val="000000"/>
              </w:rPr>
              <w:t>0.24</w:t>
            </w:r>
          </w:p>
        </w:tc>
        <w:tc>
          <w:tcPr>
            <w:tcW w:w="457" w:type="pct"/>
            <w:noWrap/>
            <w:hideMark/>
          </w:tcPr>
          <w:p w14:paraId="06D15E9F" w14:textId="77777777" w:rsidR="00A84137" w:rsidRPr="009D6CF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bCs/>
                <w:color w:val="000000"/>
              </w:rPr>
            </w:pPr>
            <w:r w:rsidRPr="009D6CF1">
              <w:rPr>
                <w:rFonts w:ascii="Calibri" w:hAnsi="Calibri" w:cs="Times New Roman"/>
                <w:b/>
                <w:bCs/>
                <w:color w:val="000000"/>
              </w:rPr>
              <w:t>0.17</w:t>
            </w:r>
          </w:p>
        </w:tc>
        <w:tc>
          <w:tcPr>
            <w:tcW w:w="528" w:type="pct"/>
            <w:noWrap/>
            <w:hideMark/>
          </w:tcPr>
          <w:p w14:paraId="2927ADEA" w14:textId="77777777" w:rsidR="00A84137" w:rsidRPr="009D6CF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color w:val="000000"/>
              </w:rPr>
            </w:pPr>
            <w:r w:rsidRPr="009D6CF1">
              <w:rPr>
                <w:rFonts w:ascii="Calibri" w:hAnsi="Calibri" w:cs="Times New Roman"/>
                <w:b/>
                <w:color w:val="000000"/>
              </w:rPr>
              <w:t>0.50</w:t>
            </w:r>
          </w:p>
        </w:tc>
        <w:tc>
          <w:tcPr>
            <w:tcW w:w="456" w:type="pct"/>
            <w:noWrap/>
            <w:hideMark/>
          </w:tcPr>
          <w:p w14:paraId="7247ADAA" w14:textId="77777777" w:rsidR="00A84137" w:rsidRPr="009D6CF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color w:val="000000"/>
              </w:rPr>
            </w:pPr>
            <w:r w:rsidRPr="009D6CF1">
              <w:rPr>
                <w:rFonts w:ascii="Calibri" w:hAnsi="Calibri" w:cs="Times New Roman"/>
                <w:b/>
                <w:color w:val="000000"/>
              </w:rPr>
              <w:t>0.24</w:t>
            </w:r>
          </w:p>
        </w:tc>
        <w:tc>
          <w:tcPr>
            <w:tcW w:w="454" w:type="pct"/>
            <w:noWrap/>
            <w:hideMark/>
          </w:tcPr>
          <w:p w14:paraId="42DE53C9" w14:textId="77777777" w:rsidR="00A84137" w:rsidRPr="009D6CF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color w:val="000000"/>
              </w:rPr>
            </w:pPr>
            <w:r w:rsidRPr="009D6CF1">
              <w:rPr>
                <w:rFonts w:ascii="Calibri" w:hAnsi="Calibri" w:cs="Times New Roman"/>
                <w:b/>
                <w:color w:val="000000"/>
              </w:rPr>
              <w:t>0.18</w:t>
            </w:r>
          </w:p>
        </w:tc>
        <w:tc>
          <w:tcPr>
            <w:tcW w:w="456" w:type="pct"/>
            <w:noWrap/>
            <w:hideMark/>
          </w:tcPr>
          <w:p w14:paraId="664117C4" w14:textId="77777777" w:rsidR="00A84137" w:rsidRPr="009D6CF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color w:val="000000"/>
              </w:rPr>
            </w:pPr>
            <w:r w:rsidRPr="009D6CF1">
              <w:rPr>
                <w:rFonts w:ascii="Calibri" w:hAnsi="Calibri" w:cs="Times New Roman"/>
                <w:b/>
                <w:color w:val="000000"/>
              </w:rPr>
              <w:t>0.14</w:t>
            </w:r>
          </w:p>
        </w:tc>
        <w:tc>
          <w:tcPr>
            <w:tcW w:w="477" w:type="pct"/>
            <w:noWrap/>
            <w:hideMark/>
          </w:tcPr>
          <w:p w14:paraId="6A399A8F" w14:textId="77777777" w:rsidR="00A84137" w:rsidRPr="009D6CF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color w:val="000000"/>
              </w:rPr>
            </w:pPr>
            <w:r w:rsidRPr="009D6CF1">
              <w:rPr>
                <w:rFonts w:ascii="Calibri" w:hAnsi="Calibri" w:cs="Times New Roman"/>
                <w:b/>
                <w:color w:val="000000"/>
              </w:rPr>
              <w:t>*</w:t>
            </w:r>
          </w:p>
        </w:tc>
      </w:tr>
      <w:tr w:rsidR="00A84137" w:rsidRPr="008F2AA1" w14:paraId="03DF3FA6" w14:textId="77777777" w:rsidTr="0053571A">
        <w:trPr>
          <w:trHeight w:val="300"/>
        </w:trPr>
        <w:tc>
          <w:tcPr>
            <w:cnfStyle w:val="001000000000" w:firstRow="0" w:lastRow="0" w:firstColumn="1" w:lastColumn="0" w:oddVBand="0" w:evenVBand="0" w:oddHBand="0" w:evenHBand="0" w:firstRowFirstColumn="0" w:firstRowLastColumn="0" w:lastRowFirstColumn="0" w:lastRowLastColumn="0"/>
            <w:tcW w:w="805" w:type="pct"/>
            <w:noWrap/>
            <w:hideMark/>
          </w:tcPr>
          <w:p w14:paraId="6478E4FF" w14:textId="77777777" w:rsidR="00A84137" w:rsidRPr="007D36C8" w:rsidRDefault="00A84137" w:rsidP="0053571A">
            <w:pPr>
              <w:spacing w:before="0" w:after="0"/>
              <w:jc w:val="left"/>
              <w:rPr>
                <w:rFonts w:ascii="Calibri" w:hAnsi="Calibri" w:cs="Times New Roman"/>
                <w:b w:val="0"/>
                <w:color w:val="000000"/>
              </w:rPr>
            </w:pPr>
            <w:r w:rsidRPr="007D36C8">
              <w:rPr>
                <w:rFonts w:ascii="Calibri" w:hAnsi="Calibri" w:cs="Times New Roman"/>
                <w:b w:val="0"/>
                <w:color w:val="000000"/>
              </w:rPr>
              <w:t>TN (µM)</w:t>
            </w:r>
          </w:p>
        </w:tc>
        <w:tc>
          <w:tcPr>
            <w:tcW w:w="456" w:type="pct"/>
            <w:noWrap/>
            <w:hideMark/>
          </w:tcPr>
          <w:p w14:paraId="0CF5F976"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19.83</w:t>
            </w:r>
          </w:p>
        </w:tc>
        <w:tc>
          <w:tcPr>
            <w:tcW w:w="456" w:type="pct"/>
            <w:noWrap/>
            <w:hideMark/>
          </w:tcPr>
          <w:p w14:paraId="536FC9C8"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11.60</w:t>
            </w:r>
          </w:p>
        </w:tc>
        <w:tc>
          <w:tcPr>
            <w:tcW w:w="454" w:type="pct"/>
            <w:noWrap/>
            <w:hideMark/>
          </w:tcPr>
          <w:p w14:paraId="029CD40D"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9.12</w:t>
            </w:r>
          </w:p>
        </w:tc>
        <w:tc>
          <w:tcPr>
            <w:tcW w:w="457" w:type="pct"/>
            <w:noWrap/>
            <w:hideMark/>
          </w:tcPr>
          <w:p w14:paraId="557FBAC2"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16.75</w:t>
            </w:r>
          </w:p>
        </w:tc>
        <w:tc>
          <w:tcPr>
            <w:tcW w:w="528" w:type="pct"/>
            <w:noWrap/>
            <w:hideMark/>
          </w:tcPr>
          <w:p w14:paraId="202C7B9F"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13.54</w:t>
            </w:r>
          </w:p>
        </w:tc>
        <w:tc>
          <w:tcPr>
            <w:tcW w:w="456" w:type="pct"/>
            <w:noWrap/>
            <w:hideMark/>
          </w:tcPr>
          <w:p w14:paraId="658F56C1"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7.02</w:t>
            </w:r>
          </w:p>
        </w:tc>
        <w:tc>
          <w:tcPr>
            <w:tcW w:w="454" w:type="pct"/>
            <w:noWrap/>
            <w:hideMark/>
          </w:tcPr>
          <w:p w14:paraId="47001BB4"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5.16</w:t>
            </w:r>
          </w:p>
        </w:tc>
        <w:tc>
          <w:tcPr>
            <w:tcW w:w="456" w:type="pct"/>
            <w:noWrap/>
            <w:hideMark/>
          </w:tcPr>
          <w:p w14:paraId="6A33B050"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6.90</w:t>
            </w:r>
          </w:p>
        </w:tc>
        <w:tc>
          <w:tcPr>
            <w:tcW w:w="477" w:type="pct"/>
            <w:noWrap/>
            <w:hideMark/>
          </w:tcPr>
          <w:p w14:paraId="5BFFEACA"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w:t>
            </w:r>
          </w:p>
        </w:tc>
      </w:tr>
      <w:tr w:rsidR="00A84137" w:rsidRPr="008F2AA1" w14:paraId="4324C27A" w14:textId="77777777" w:rsidTr="0053571A">
        <w:trPr>
          <w:trHeight w:val="300"/>
        </w:trPr>
        <w:tc>
          <w:tcPr>
            <w:cnfStyle w:val="001000000000" w:firstRow="0" w:lastRow="0" w:firstColumn="1" w:lastColumn="0" w:oddVBand="0" w:evenVBand="0" w:oddHBand="0" w:evenHBand="0" w:firstRowFirstColumn="0" w:firstRowLastColumn="0" w:lastRowFirstColumn="0" w:lastRowLastColumn="0"/>
            <w:tcW w:w="805" w:type="pct"/>
            <w:noWrap/>
            <w:hideMark/>
          </w:tcPr>
          <w:p w14:paraId="269964E0" w14:textId="77777777" w:rsidR="00A84137" w:rsidRPr="007D36C8" w:rsidRDefault="00A84137" w:rsidP="0053571A">
            <w:pPr>
              <w:spacing w:before="0" w:after="0"/>
              <w:jc w:val="left"/>
              <w:rPr>
                <w:rFonts w:ascii="Calibri" w:hAnsi="Calibri" w:cs="Times New Roman"/>
                <w:b w:val="0"/>
                <w:color w:val="000000"/>
              </w:rPr>
            </w:pPr>
            <w:r w:rsidRPr="007D36C8">
              <w:rPr>
                <w:rFonts w:ascii="Calibri" w:hAnsi="Calibri" w:cs="Times New Roman"/>
                <w:b w:val="0"/>
                <w:color w:val="000000"/>
              </w:rPr>
              <w:t>TP (µM)</w:t>
            </w:r>
          </w:p>
        </w:tc>
        <w:tc>
          <w:tcPr>
            <w:tcW w:w="456" w:type="pct"/>
            <w:noWrap/>
            <w:hideMark/>
          </w:tcPr>
          <w:p w14:paraId="65BFA73C" w14:textId="77777777" w:rsidR="00A84137" w:rsidRPr="009D6CF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Cs/>
                <w:color w:val="000000"/>
              </w:rPr>
            </w:pPr>
            <w:r w:rsidRPr="009D6CF1">
              <w:rPr>
                <w:rFonts w:ascii="Calibri" w:hAnsi="Calibri" w:cs="Times New Roman"/>
                <w:bCs/>
                <w:color w:val="000000"/>
              </w:rPr>
              <w:t>1.03</w:t>
            </w:r>
          </w:p>
        </w:tc>
        <w:tc>
          <w:tcPr>
            <w:tcW w:w="456" w:type="pct"/>
            <w:noWrap/>
            <w:hideMark/>
          </w:tcPr>
          <w:p w14:paraId="047F9C0A" w14:textId="77777777" w:rsidR="00A84137" w:rsidRPr="009D6CF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Cs/>
                <w:color w:val="000000"/>
              </w:rPr>
            </w:pPr>
            <w:r w:rsidRPr="009D6CF1">
              <w:rPr>
                <w:rFonts w:ascii="Calibri" w:hAnsi="Calibri" w:cs="Times New Roman"/>
                <w:bCs/>
                <w:color w:val="000000"/>
              </w:rPr>
              <w:t>0.59</w:t>
            </w:r>
          </w:p>
        </w:tc>
        <w:tc>
          <w:tcPr>
            <w:tcW w:w="454" w:type="pct"/>
            <w:noWrap/>
            <w:hideMark/>
          </w:tcPr>
          <w:p w14:paraId="2E91ED0C" w14:textId="77777777" w:rsidR="00A84137" w:rsidRPr="009D6CF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Cs/>
                <w:color w:val="000000"/>
              </w:rPr>
            </w:pPr>
            <w:r w:rsidRPr="009D6CF1">
              <w:rPr>
                <w:rFonts w:ascii="Calibri" w:hAnsi="Calibri" w:cs="Times New Roman"/>
                <w:bCs/>
                <w:color w:val="000000"/>
              </w:rPr>
              <w:t>0.45</w:t>
            </w:r>
          </w:p>
        </w:tc>
        <w:tc>
          <w:tcPr>
            <w:tcW w:w="457" w:type="pct"/>
            <w:noWrap/>
            <w:hideMark/>
          </w:tcPr>
          <w:p w14:paraId="2F3FAECA" w14:textId="77777777" w:rsidR="00A84137" w:rsidRPr="009D6CF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Cs/>
                <w:color w:val="000000"/>
              </w:rPr>
            </w:pPr>
            <w:r w:rsidRPr="009D6CF1">
              <w:rPr>
                <w:rFonts w:ascii="Calibri" w:hAnsi="Calibri" w:cs="Times New Roman"/>
                <w:bCs/>
                <w:color w:val="000000"/>
              </w:rPr>
              <w:t>0.38</w:t>
            </w:r>
          </w:p>
        </w:tc>
        <w:tc>
          <w:tcPr>
            <w:tcW w:w="528" w:type="pct"/>
            <w:noWrap/>
            <w:hideMark/>
          </w:tcPr>
          <w:p w14:paraId="39215586"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0.87</w:t>
            </w:r>
          </w:p>
        </w:tc>
        <w:tc>
          <w:tcPr>
            <w:tcW w:w="456" w:type="pct"/>
            <w:noWrap/>
            <w:hideMark/>
          </w:tcPr>
          <w:p w14:paraId="4EDABCDC"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0.36</w:t>
            </w:r>
          </w:p>
        </w:tc>
        <w:tc>
          <w:tcPr>
            <w:tcW w:w="454" w:type="pct"/>
            <w:noWrap/>
            <w:hideMark/>
          </w:tcPr>
          <w:p w14:paraId="388C3331"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0.27</w:t>
            </w:r>
          </w:p>
        </w:tc>
        <w:tc>
          <w:tcPr>
            <w:tcW w:w="456" w:type="pct"/>
            <w:noWrap/>
            <w:hideMark/>
          </w:tcPr>
          <w:p w14:paraId="7594AE86"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0.29</w:t>
            </w:r>
          </w:p>
        </w:tc>
        <w:tc>
          <w:tcPr>
            <w:tcW w:w="477" w:type="pct"/>
            <w:noWrap/>
            <w:hideMark/>
          </w:tcPr>
          <w:p w14:paraId="63F82EB5"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w:t>
            </w:r>
          </w:p>
        </w:tc>
      </w:tr>
      <w:tr w:rsidR="00A84137" w:rsidRPr="008F2AA1" w14:paraId="4BFEEE12" w14:textId="77777777" w:rsidTr="0053571A">
        <w:trPr>
          <w:trHeight w:val="300"/>
        </w:trPr>
        <w:tc>
          <w:tcPr>
            <w:cnfStyle w:val="001000000000" w:firstRow="0" w:lastRow="0" w:firstColumn="1" w:lastColumn="0" w:oddVBand="0" w:evenVBand="0" w:oddHBand="0" w:evenHBand="0" w:firstRowFirstColumn="0" w:firstRowLastColumn="0" w:lastRowFirstColumn="0" w:lastRowLastColumn="0"/>
            <w:tcW w:w="805" w:type="pct"/>
            <w:noWrap/>
            <w:hideMark/>
          </w:tcPr>
          <w:p w14:paraId="74458B4C" w14:textId="77777777" w:rsidR="00A84137" w:rsidRPr="007D36C8" w:rsidRDefault="00A84137" w:rsidP="0053571A">
            <w:pPr>
              <w:spacing w:before="0" w:after="0"/>
              <w:jc w:val="left"/>
              <w:rPr>
                <w:rFonts w:ascii="Calibri" w:hAnsi="Calibri" w:cs="Times New Roman"/>
                <w:b w:val="0"/>
                <w:color w:val="000000"/>
              </w:rPr>
            </w:pPr>
            <w:r w:rsidRPr="007D36C8">
              <w:rPr>
                <w:rFonts w:ascii="Calibri" w:hAnsi="Calibri" w:cs="Times New Roman"/>
                <w:b w:val="0"/>
                <w:color w:val="000000"/>
              </w:rPr>
              <w:t>PN (µM)</w:t>
            </w:r>
          </w:p>
        </w:tc>
        <w:tc>
          <w:tcPr>
            <w:tcW w:w="456" w:type="pct"/>
            <w:noWrap/>
            <w:hideMark/>
          </w:tcPr>
          <w:p w14:paraId="2AFDDFAB"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4.87</w:t>
            </w:r>
          </w:p>
        </w:tc>
        <w:tc>
          <w:tcPr>
            <w:tcW w:w="456" w:type="pct"/>
            <w:noWrap/>
            <w:hideMark/>
          </w:tcPr>
          <w:p w14:paraId="687A5CBD"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1.94</w:t>
            </w:r>
          </w:p>
        </w:tc>
        <w:tc>
          <w:tcPr>
            <w:tcW w:w="454" w:type="pct"/>
            <w:noWrap/>
            <w:hideMark/>
          </w:tcPr>
          <w:p w14:paraId="3944B2A6"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1.82</w:t>
            </w:r>
          </w:p>
        </w:tc>
        <w:tc>
          <w:tcPr>
            <w:tcW w:w="457" w:type="pct"/>
            <w:noWrap/>
            <w:hideMark/>
          </w:tcPr>
          <w:p w14:paraId="1B866B0A"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1.96</w:t>
            </w:r>
          </w:p>
        </w:tc>
        <w:tc>
          <w:tcPr>
            <w:tcW w:w="528" w:type="pct"/>
            <w:noWrap/>
            <w:hideMark/>
          </w:tcPr>
          <w:p w14:paraId="0EC52538"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5.76</w:t>
            </w:r>
          </w:p>
        </w:tc>
        <w:tc>
          <w:tcPr>
            <w:tcW w:w="456" w:type="pct"/>
            <w:noWrap/>
            <w:hideMark/>
          </w:tcPr>
          <w:p w14:paraId="3C318CDE"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2.28</w:t>
            </w:r>
          </w:p>
        </w:tc>
        <w:tc>
          <w:tcPr>
            <w:tcW w:w="454" w:type="pct"/>
            <w:noWrap/>
            <w:hideMark/>
          </w:tcPr>
          <w:p w14:paraId="53F5EAFA"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2.02</w:t>
            </w:r>
          </w:p>
        </w:tc>
        <w:tc>
          <w:tcPr>
            <w:tcW w:w="456" w:type="pct"/>
            <w:noWrap/>
            <w:hideMark/>
          </w:tcPr>
          <w:p w14:paraId="1C4459DB"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1.60</w:t>
            </w:r>
          </w:p>
        </w:tc>
        <w:tc>
          <w:tcPr>
            <w:tcW w:w="477" w:type="pct"/>
            <w:noWrap/>
            <w:hideMark/>
          </w:tcPr>
          <w:p w14:paraId="0537E2A8"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w:t>
            </w:r>
          </w:p>
        </w:tc>
      </w:tr>
      <w:tr w:rsidR="00A84137" w:rsidRPr="008F2AA1" w14:paraId="361113A1" w14:textId="77777777" w:rsidTr="0053571A">
        <w:trPr>
          <w:trHeight w:val="300"/>
        </w:trPr>
        <w:tc>
          <w:tcPr>
            <w:cnfStyle w:val="001000000000" w:firstRow="0" w:lastRow="0" w:firstColumn="1" w:lastColumn="0" w:oddVBand="0" w:evenVBand="0" w:oddHBand="0" w:evenHBand="0" w:firstRowFirstColumn="0" w:firstRowLastColumn="0" w:lastRowFirstColumn="0" w:lastRowLastColumn="0"/>
            <w:tcW w:w="805" w:type="pct"/>
            <w:noWrap/>
            <w:hideMark/>
          </w:tcPr>
          <w:p w14:paraId="0DFFF45F" w14:textId="77777777" w:rsidR="00A84137" w:rsidRPr="007D36C8" w:rsidRDefault="00A84137" w:rsidP="0053571A">
            <w:pPr>
              <w:spacing w:before="0" w:after="0"/>
              <w:jc w:val="left"/>
              <w:rPr>
                <w:rFonts w:ascii="Calibri" w:hAnsi="Calibri" w:cs="Times New Roman"/>
                <w:b w:val="0"/>
                <w:color w:val="000000"/>
              </w:rPr>
            </w:pPr>
            <w:r w:rsidRPr="007D36C8">
              <w:rPr>
                <w:rFonts w:ascii="Calibri" w:hAnsi="Calibri" w:cs="Times New Roman"/>
                <w:b w:val="0"/>
                <w:color w:val="000000"/>
              </w:rPr>
              <w:t>PP (µM)</w:t>
            </w:r>
          </w:p>
        </w:tc>
        <w:tc>
          <w:tcPr>
            <w:tcW w:w="456" w:type="pct"/>
            <w:noWrap/>
            <w:hideMark/>
          </w:tcPr>
          <w:p w14:paraId="2F4E8D18"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0.41</w:t>
            </w:r>
          </w:p>
        </w:tc>
        <w:tc>
          <w:tcPr>
            <w:tcW w:w="456" w:type="pct"/>
            <w:noWrap/>
            <w:hideMark/>
          </w:tcPr>
          <w:p w14:paraId="7387AE7A"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0.16</w:t>
            </w:r>
          </w:p>
        </w:tc>
        <w:tc>
          <w:tcPr>
            <w:tcW w:w="454" w:type="pct"/>
            <w:noWrap/>
            <w:hideMark/>
          </w:tcPr>
          <w:p w14:paraId="373D7994"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0.11</w:t>
            </w:r>
          </w:p>
        </w:tc>
        <w:tc>
          <w:tcPr>
            <w:tcW w:w="457" w:type="pct"/>
            <w:noWrap/>
            <w:hideMark/>
          </w:tcPr>
          <w:p w14:paraId="4C6DF4F6"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0.10</w:t>
            </w:r>
          </w:p>
        </w:tc>
        <w:tc>
          <w:tcPr>
            <w:tcW w:w="528" w:type="pct"/>
            <w:noWrap/>
            <w:hideMark/>
          </w:tcPr>
          <w:p w14:paraId="315B652C"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0.71</w:t>
            </w:r>
          </w:p>
        </w:tc>
        <w:tc>
          <w:tcPr>
            <w:tcW w:w="456" w:type="pct"/>
            <w:noWrap/>
            <w:hideMark/>
          </w:tcPr>
          <w:p w14:paraId="1A4520BA"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0.17</w:t>
            </w:r>
          </w:p>
        </w:tc>
        <w:tc>
          <w:tcPr>
            <w:tcW w:w="454" w:type="pct"/>
            <w:noWrap/>
            <w:hideMark/>
          </w:tcPr>
          <w:p w14:paraId="69054DF1"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0.12</w:t>
            </w:r>
          </w:p>
        </w:tc>
        <w:tc>
          <w:tcPr>
            <w:tcW w:w="456" w:type="pct"/>
            <w:noWrap/>
            <w:hideMark/>
          </w:tcPr>
          <w:p w14:paraId="0B8C169B"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0.06</w:t>
            </w:r>
          </w:p>
        </w:tc>
        <w:tc>
          <w:tcPr>
            <w:tcW w:w="477" w:type="pct"/>
            <w:noWrap/>
            <w:hideMark/>
          </w:tcPr>
          <w:p w14:paraId="184BFC0C"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w:t>
            </w:r>
          </w:p>
        </w:tc>
      </w:tr>
      <w:tr w:rsidR="00A84137" w:rsidRPr="008F2AA1" w14:paraId="3BE41447" w14:textId="77777777" w:rsidTr="0053571A">
        <w:trPr>
          <w:trHeight w:val="300"/>
        </w:trPr>
        <w:tc>
          <w:tcPr>
            <w:cnfStyle w:val="001000000000" w:firstRow="0" w:lastRow="0" w:firstColumn="1" w:lastColumn="0" w:oddVBand="0" w:evenVBand="0" w:oddHBand="0" w:evenHBand="0" w:firstRowFirstColumn="0" w:firstRowLastColumn="0" w:lastRowFirstColumn="0" w:lastRowLastColumn="0"/>
            <w:tcW w:w="805" w:type="pct"/>
            <w:noWrap/>
            <w:hideMark/>
          </w:tcPr>
          <w:p w14:paraId="482AD4F7" w14:textId="77777777" w:rsidR="00A84137" w:rsidRPr="007D36C8" w:rsidRDefault="00A84137" w:rsidP="0053571A">
            <w:pPr>
              <w:spacing w:before="0" w:after="0"/>
              <w:jc w:val="left"/>
              <w:rPr>
                <w:rFonts w:ascii="Calibri" w:hAnsi="Calibri" w:cs="Times New Roman"/>
                <w:b w:val="0"/>
                <w:color w:val="000000"/>
              </w:rPr>
            </w:pPr>
            <w:r w:rsidRPr="007D36C8">
              <w:rPr>
                <w:rFonts w:ascii="Calibri" w:hAnsi="Calibri" w:cs="Times New Roman"/>
                <w:b w:val="0"/>
                <w:color w:val="000000"/>
              </w:rPr>
              <w:t>TDN (µM)</w:t>
            </w:r>
          </w:p>
        </w:tc>
        <w:tc>
          <w:tcPr>
            <w:tcW w:w="456" w:type="pct"/>
            <w:noWrap/>
            <w:hideMark/>
          </w:tcPr>
          <w:p w14:paraId="2E38DA87"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14.28</w:t>
            </w:r>
          </w:p>
        </w:tc>
        <w:tc>
          <w:tcPr>
            <w:tcW w:w="456" w:type="pct"/>
            <w:noWrap/>
            <w:hideMark/>
          </w:tcPr>
          <w:p w14:paraId="56243BDE"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9.54</w:t>
            </w:r>
          </w:p>
        </w:tc>
        <w:tc>
          <w:tcPr>
            <w:tcW w:w="454" w:type="pct"/>
            <w:noWrap/>
            <w:hideMark/>
          </w:tcPr>
          <w:p w14:paraId="471990C9"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7.34</w:t>
            </w:r>
          </w:p>
        </w:tc>
        <w:tc>
          <w:tcPr>
            <w:tcW w:w="457" w:type="pct"/>
            <w:noWrap/>
            <w:hideMark/>
          </w:tcPr>
          <w:p w14:paraId="3AD44064"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14.79</w:t>
            </w:r>
          </w:p>
        </w:tc>
        <w:tc>
          <w:tcPr>
            <w:tcW w:w="528" w:type="pct"/>
            <w:noWrap/>
            <w:hideMark/>
          </w:tcPr>
          <w:p w14:paraId="7BB72034"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8.79</w:t>
            </w:r>
          </w:p>
        </w:tc>
        <w:tc>
          <w:tcPr>
            <w:tcW w:w="456" w:type="pct"/>
            <w:noWrap/>
            <w:hideMark/>
          </w:tcPr>
          <w:p w14:paraId="3B5B6FF7"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5.89</w:t>
            </w:r>
          </w:p>
        </w:tc>
        <w:tc>
          <w:tcPr>
            <w:tcW w:w="454" w:type="pct"/>
            <w:noWrap/>
            <w:hideMark/>
          </w:tcPr>
          <w:p w14:paraId="3DE320FC"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4.18</w:t>
            </w:r>
          </w:p>
        </w:tc>
        <w:tc>
          <w:tcPr>
            <w:tcW w:w="456" w:type="pct"/>
            <w:noWrap/>
            <w:hideMark/>
          </w:tcPr>
          <w:p w14:paraId="4D753D9C"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6.47</w:t>
            </w:r>
          </w:p>
        </w:tc>
        <w:tc>
          <w:tcPr>
            <w:tcW w:w="477" w:type="pct"/>
            <w:noWrap/>
            <w:hideMark/>
          </w:tcPr>
          <w:p w14:paraId="25C97040"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w:t>
            </w:r>
          </w:p>
        </w:tc>
      </w:tr>
      <w:tr w:rsidR="00A84137" w:rsidRPr="008F2AA1" w14:paraId="77D4CF6B" w14:textId="77777777" w:rsidTr="0053571A">
        <w:trPr>
          <w:trHeight w:val="300"/>
        </w:trPr>
        <w:tc>
          <w:tcPr>
            <w:cnfStyle w:val="001000000000" w:firstRow="0" w:lastRow="0" w:firstColumn="1" w:lastColumn="0" w:oddVBand="0" w:evenVBand="0" w:oddHBand="0" w:evenHBand="0" w:firstRowFirstColumn="0" w:firstRowLastColumn="0" w:lastRowFirstColumn="0" w:lastRowLastColumn="0"/>
            <w:tcW w:w="805" w:type="pct"/>
            <w:noWrap/>
            <w:hideMark/>
          </w:tcPr>
          <w:p w14:paraId="37EAB725" w14:textId="77777777" w:rsidR="00A84137" w:rsidRPr="007D36C8" w:rsidRDefault="00A84137" w:rsidP="0053571A">
            <w:pPr>
              <w:spacing w:before="0" w:after="0"/>
              <w:jc w:val="left"/>
              <w:rPr>
                <w:rFonts w:ascii="Calibri" w:hAnsi="Calibri" w:cs="Times New Roman"/>
                <w:b w:val="0"/>
                <w:color w:val="000000"/>
              </w:rPr>
            </w:pPr>
            <w:r w:rsidRPr="007D36C8">
              <w:rPr>
                <w:rFonts w:ascii="Calibri" w:hAnsi="Calibri" w:cs="Times New Roman"/>
                <w:b w:val="0"/>
                <w:color w:val="000000"/>
              </w:rPr>
              <w:t>TDP (µM)</w:t>
            </w:r>
          </w:p>
        </w:tc>
        <w:tc>
          <w:tcPr>
            <w:tcW w:w="456" w:type="pct"/>
            <w:noWrap/>
            <w:hideMark/>
          </w:tcPr>
          <w:p w14:paraId="4280C7A1"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0.68</w:t>
            </w:r>
          </w:p>
        </w:tc>
        <w:tc>
          <w:tcPr>
            <w:tcW w:w="456" w:type="pct"/>
            <w:noWrap/>
            <w:hideMark/>
          </w:tcPr>
          <w:p w14:paraId="61774660"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0.43</w:t>
            </w:r>
          </w:p>
        </w:tc>
        <w:tc>
          <w:tcPr>
            <w:tcW w:w="454" w:type="pct"/>
            <w:noWrap/>
            <w:hideMark/>
          </w:tcPr>
          <w:p w14:paraId="37D3B761"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0.35</w:t>
            </w:r>
          </w:p>
        </w:tc>
        <w:tc>
          <w:tcPr>
            <w:tcW w:w="457" w:type="pct"/>
            <w:noWrap/>
            <w:hideMark/>
          </w:tcPr>
          <w:p w14:paraId="502ECA4C"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0.28</w:t>
            </w:r>
          </w:p>
        </w:tc>
        <w:tc>
          <w:tcPr>
            <w:tcW w:w="528" w:type="pct"/>
            <w:noWrap/>
            <w:hideMark/>
          </w:tcPr>
          <w:p w14:paraId="2E139915"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0.56</w:t>
            </w:r>
          </w:p>
        </w:tc>
        <w:tc>
          <w:tcPr>
            <w:tcW w:w="456" w:type="pct"/>
            <w:noWrap/>
            <w:hideMark/>
          </w:tcPr>
          <w:p w14:paraId="40E47B71"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0.30</w:t>
            </w:r>
          </w:p>
        </w:tc>
        <w:tc>
          <w:tcPr>
            <w:tcW w:w="454" w:type="pct"/>
            <w:noWrap/>
            <w:hideMark/>
          </w:tcPr>
          <w:p w14:paraId="18607C77"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0.24</w:t>
            </w:r>
          </w:p>
        </w:tc>
        <w:tc>
          <w:tcPr>
            <w:tcW w:w="456" w:type="pct"/>
            <w:noWrap/>
            <w:hideMark/>
          </w:tcPr>
          <w:p w14:paraId="48938F9C"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0.31</w:t>
            </w:r>
          </w:p>
        </w:tc>
        <w:tc>
          <w:tcPr>
            <w:tcW w:w="477" w:type="pct"/>
            <w:noWrap/>
            <w:hideMark/>
          </w:tcPr>
          <w:p w14:paraId="5FF93E38"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w:t>
            </w:r>
          </w:p>
        </w:tc>
      </w:tr>
      <w:tr w:rsidR="00A84137" w:rsidRPr="008F2AA1" w14:paraId="4A522A7F" w14:textId="77777777" w:rsidTr="0053571A">
        <w:trPr>
          <w:trHeight w:val="300"/>
        </w:trPr>
        <w:tc>
          <w:tcPr>
            <w:cnfStyle w:val="001000000000" w:firstRow="0" w:lastRow="0" w:firstColumn="1" w:lastColumn="0" w:oddVBand="0" w:evenVBand="0" w:oddHBand="0" w:evenHBand="0" w:firstRowFirstColumn="0" w:firstRowLastColumn="0" w:lastRowFirstColumn="0" w:lastRowLastColumn="0"/>
            <w:tcW w:w="805" w:type="pct"/>
            <w:noWrap/>
            <w:hideMark/>
          </w:tcPr>
          <w:p w14:paraId="3A263D59" w14:textId="77777777" w:rsidR="00A84137" w:rsidRPr="007D36C8" w:rsidRDefault="00A84137" w:rsidP="0053571A">
            <w:pPr>
              <w:spacing w:before="0" w:after="0"/>
              <w:jc w:val="left"/>
              <w:rPr>
                <w:rFonts w:ascii="Calibri" w:hAnsi="Calibri" w:cs="Times New Roman"/>
                <w:b w:val="0"/>
                <w:color w:val="000000"/>
              </w:rPr>
            </w:pPr>
            <w:r w:rsidRPr="007D36C8">
              <w:rPr>
                <w:rFonts w:ascii="Calibri" w:hAnsi="Calibri" w:cs="Times New Roman"/>
                <w:b w:val="0"/>
                <w:color w:val="000000"/>
              </w:rPr>
              <w:t>SI (µM)</w:t>
            </w:r>
          </w:p>
        </w:tc>
        <w:tc>
          <w:tcPr>
            <w:tcW w:w="456" w:type="pct"/>
            <w:noWrap/>
            <w:hideMark/>
          </w:tcPr>
          <w:p w14:paraId="680C5460"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49.11</w:t>
            </w:r>
          </w:p>
        </w:tc>
        <w:tc>
          <w:tcPr>
            <w:tcW w:w="456" w:type="pct"/>
            <w:noWrap/>
            <w:hideMark/>
          </w:tcPr>
          <w:p w14:paraId="3C0DC6EF"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15.19</w:t>
            </w:r>
          </w:p>
        </w:tc>
        <w:tc>
          <w:tcPr>
            <w:tcW w:w="454" w:type="pct"/>
            <w:noWrap/>
            <w:hideMark/>
          </w:tcPr>
          <w:p w14:paraId="7795936A"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7.60</w:t>
            </w:r>
          </w:p>
        </w:tc>
        <w:tc>
          <w:tcPr>
            <w:tcW w:w="457" w:type="pct"/>
            <w:noWrap/>
            <w:hideMark/>
          </w:tcPr>
          <w:p w14:paraId="40454C7C"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1.66</w:t>
            </w:r>
          </w:p>
        </w:tc>
        <w:tc>
          <w:tcPr>
            <w:tcW w:w="528" w:type="pct"/>
            <w:noWrap/>
            <w:hideMark/>
          </w:tcPr>
          <w:p w14:paraId="3D93F801"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56.50</w:t>
            </w:r>
          </w:p>
        </w:tc>
        <w:tc>
          <w:tcPr>
            <w:tcW w:w="456" w:type="pct"/>
            <w:noWrap/>
            <w:hideMark/>
          </w:tcPr>
          <w:p w14:paraId="709E18B9"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24.89</w:t>
            </w:r>
          </w:p>
        </w:tc>
        <w:tc>
          <w:tcPr>
            <w:tcW w:w="454" w:type="pct"/>
            <w:noWrap/>
            <w:hideMark/>
          </w:tcPr>
          <w:p w14:paraId="7C2773A7"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11.11</w:t>
            </w:r>
          </w:p>
        </w:tc>
        <w:tc>
          <w:tcPr>
            <w:tcW w:w="456" w:type="pct"/>
            <w:noWrap/>
            <w:hideMark/>
          </w:tcPr>
          <w:p w14:paraId="108CD704"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0.00</w:t>
            </w:r>
          </w:p>
        </w:tc>
        <w:tc>
          <w:tcPr>
            <w:tcW w:w="477" w:type="pct"/>
            <w:noWrap/>
            <w:hideMark/>
          </w:tcPr>
          <w:p w14:paraId="062165FC"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w:t>
            </w:r>
          </w:p>
        </w:tc>
      </w:tr>
      <w:tr w:rsidR="00A84137" w:rsidRPr="008F2AA1" w14:paraId="648E69D6" w14:textId="77777777" w:rsidTr="0053571A">
        <w:trPr>
          <w:trHeight w:val="300"/>
        </w:trPr>
        <w:tc>
          <w:tcPr>
            <w:cnfStyle w:val="001000000000" w:firstRow="0" w:lastRow="0" w:firstColumn="1" w:lastColumn="0" w:oddVBand="0" w:evenVBand="0" w:oddHBand="0" w:evenHBand="0" w:firstRowFirstColumn="0" w:firstRowLastColumn="0" w:lastRowFirstColumn="0" w:lastRowLastColumn="0"/>
            <w:tcW w:w="805" w:type="pct"/>
            <w:noWrap/>
            <w:hideMark/>
          </w:tcPr>
          <w:p w14:paraId="4D351B95" w14:textId="77777777" w:rsidR="00A84137" w:rsidRPr="007D36C8" w:rsidRDefault="00A84137" w:rsidP="0053571A">
            <w:pPr>
              <w:spacing w:before="0" w:after="0"/>
              <w:jc w:val="left"/>
              <w:rPr>
                <w:rFonts w:ascii="Calibri" w:hAnsi="Calibri" w:cs="Times New Roman"/>
                <w:b w:val="0"/>
                <w:color w:val="000000"/>
              </w:rPr>
            </w:pPr>
            <w:r w:rsidRPr="007D36C8">
              <w:rPr>
                <w:rFonts w:ascii="Calibri" w:hAnsi="Calibri" w:cs="Times New Roman"/>
                <w:b w:val="0"/>
                <w:color w:val="000000"/>
              </w:rPr>
              <w:t>PN_TN (µM)</w:t>
            </w:r>
          </w:p>
        </w:tc>
        <w:tc>
          <w:tcPr>
            <w:tcW w:w="456" w:type="pct"/>
            <w:noWrap/>
            <w:hideMark/>
          </w:tcPr>
          <w:p w14:paraId="09700DFB"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0.22</w:t>
            </w:r>
          </w:p>
        </w:tc>
        <w:tc>
          <w:tcPr>
            <w:tcW w:w="456" w:type="pct"/>
            <w:noWrap/>
            <w:hideMark/>
          </w:tcPr>
          <w:p w14:paraId="2AD50A69"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0.15</w:t>
            </w:r>
          </w:p>
        </w:tc>
        <w:tc>
          <w:tcPr>
            <w:tcW w:w="454" w:type="pct"/>
            <w:noWrap/>
            <w:hideMark/>
          </w:tcPr>
          <w:p w14:paraId="49FD28C6"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0.14</w:t>
            </w:r>
          </w:p>
        </w:tc>
        <w:tc>
          <w:tcPr>
            <w:tcW w:w="457" w:type="pct"/>
            <w:noWrap/>
            <w:hideMark/>
          </w:tcPr>
          <w:p w14:paraId="10120A7A"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0.12</w:t>
            </w:r>
          </w:p>
        </w:tc>
        <w:tc>
          <w:tcPr>
            <w:tcW w:w="528" w:type="pct"/>
            <w:noWrap/>
            <w:hideMark/>
          </w:tcPr>
          <w:p w14:paraId="1F2895EE"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0.16</w:t>
            </w:r>
          </w:p>
        </w:tc>
        <w:tc>
          <w:tcPr>
            <w:tcW w:w="456" w:type="pct"/>
            <w:noWrap/>
            <w:hideMark/>
          </w:tcPr>
          <w:p w14:paraId="730C9A5C"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0.13</w:t>
            </w:r>
          </w:p>
        </w:tc>
        <w:tc>
          <w:tcPr>
            <w:tcW w:w="454" w:type="pct"/>
            <w:noWrap/>
            <w:hideMark/>
          </w:tcPr>
          <w:p w14:paraId="458A9F87"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0.14</w:t>
            </w:r>
          </w:p>
        </w:tc>
        <w:tc>
          <w:tcPr>
            <w:tcW w:w="456" w:type="pct"/>
            <w:noWrap/>
            <w:hideMark/>
          </w:tcPr>
          <w:p w14:paraId="7216CB4B"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0.10</w:t>
            </w:r>
          </w:p>
        </w:tc>
        <w:tc>
          <w:tcPr>
            <w:tcW w:w="477" w:type="pct"/>
            <w:noWrap/>
            <w:hideMark/>
          </w:tcPr>
          <w:p w14:paraId="6F81E07F" w14:textId="77777777" w:rsidR="00A84137" w:rsidRPr="008F2AA1" w:rsidRDefault="00A84137" w:rsidP="00855A5C">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color w:val="000000"/>
              </w:rPr>
            </w:pPr>
            <w:r w:rsidRPr="008F2AA1">
              <w:rPr>
                <w:rFonts w:ascii="Calibri" w:hAnsi="Calibri" w:cs="Times New Roman"/>
                <w:color w:val="000000"/>
              </w:rPr>
              <w:t>*</w:t>
            </w:r>
          </w:p>
        </w:tc>
      </w:tr>
    </w:tbl>
    <w:p w14:paraId="467F20C4" w14:textId="77777777" w:rsidR="00855A5C" w:rsidRDefault="00855A5C" w:rsidP="00855A5C">
      <w:pPr>
        <w:spacing w:before="240" w:after="0"/>
      </w:pPr>
    </w:p>
    <w:p w14:paraId="1618D9DF" w14:textId="0AE4AA3C" w:rsidR="00855A5C" w:rsidRDefault="00855A5C" w:rsidP="00855A5C">
      <w:pPr>
        <w:spacing w:before="240" w:after="120"/>
        <w:rPr>
          <w:rFonts w:ascii="Calibri" w:hAnsi="Calibri" w:cs="Times New Roman"/>
          <w:color w:val="000000"/>
        </w:rPr>
      </w:pPr>
      <w:r w:rsidRPr="00BC409E">
        <w:rPr>
          <w:rFonts w:ascii="Calibri" w:hAnsi="Calibri" w:cs="Times New Roman"/>
          <w:color w:val="000000"/>
        </w:rPr>
        <w:t>Decreased mean salinity and depth values from the Tertiary to the Primary water type confirmed the spatial distribution of the plume water type i.e., a relative offshore location for the tertiary water type in comparison to inshore distribution for the Primary water type (</w:t>
      </w:r>
      <w:r w:rsidR="005935D5">
        <w:rPr>
          <w:rFonts w:ascii="Calibri" w:hAnsi="Calibri" w:cs="Times New Roman"/>
          <w:color w:val="000000"/>
        </w:rPr>
        <w:fldChar w:fldCharType="begin"/>
      </w:r>
      <w:r>
        <w:rPr>
          <w:rFonts w:ascii="Calibri" w:hAnsi="Calibri" w:cs="Times New Roman"/>
          <w:color w:val="000000"/>
        </w:rPr>
        <w:instrText xml:space="preserve"> REF _Ref428257199 \h </w:instrText>
      </w:r>
      <w:r w:rsidR="005935D5">
        <w:rPr>
          <w:rFonts w:ascii="Calibri" w:hAnsi="Calibri" w:cs="Times New Roman"/>
          <w:color w:val="000000"/>
        </w:rPr>
      </w:r>
      <w:r w:rsidR="005935D5">
        <w:rPr>
          <w:rFonts w:ascii="Calibri" w:hAnsi="Calibri" w:cs="Times New Roman"/>
          <w:color w:val="000000"/>
        </w:rPr>
        <w:fldChar w:fldCharType="separate"/>
      </w:r>
      <w:r w:rsidR="000E22F3" w:rsidRPr="005F45DD">
        <w:t xml:space="preserve">Table </w:t>
      </w:r>
      <w:r w:rsidR="000E22F3">
        <w:rPr>
          <w:noProof/>
        </w:rPr>
        <w:t>5</w:t>
      </w:r>
      <w:r w:rsidR="000E22F3">
        <w:noBreakHyphen/>
      </w:r>
      <w:r w:rsidR="000E22F3">
        <w:rPr>
          <w:noProof/>
        </w:rPr>
        <w:t>4</w:t>
      </w:r>
      <w:r w:rsidR="005935D5">
        <w:rPr>
          <w:rFonts w:ascii="Calibri" w:hAnsi="Calibri" w:cs="Times New Roman"/>
          <w:color w:val="000000"/>
        </w:rPr>
        <w:fldChar w:fldCharType="end"/>
      </w:r>
      <w:r>
        <w:rPr>
          <w:rFonts w:ascii="Calibri" w:hAnsi="Calibri" w:cs="Times New Roman"/>
          <w:color w:val="000000"/>
        </w:rPr>
        <w:t xml:space="preserve"> and </w:t>
      </w:r>
      <w:r w:rsidR="005935D5">
        <w:rPr>
          <w:rFonts w:ascii="Calibri" w:hAnsi="Calibri" w:cs="Times New Roman"/>
          <w:color w:val="000000"/>
        </w:rPr>
        <w:fldChar w:fldCharType="begin"/>
      </w:r>
      <w:r>
        <w:rPr>
          <w:rFonts w:ascii="Calibri" w:hAnsi="Calibri" w:cs="Times New Roman"/>
          <w:color w:val="000000"/>
        </w:rPr>
        <w:instrText xml:space="preserve"> REF _Ref428260588 \h </w:instrText>
      </w:r>
      <w:r w:rsidR="005935D5">
        <w:rPr>
          <w:rFonts w:ascii="Calibri" w:hAnsi="Calibri" w:cs="Times New Roman"/>
          <w:color w:val="000000"/>
        </w:rPr>
      </w:r>
      <w:r w:rsidR="005935D5">
        <w:rPr>
          <w:rFonts w:ascii="Calibri" w:hAnsi="Calibri" w:cs="Times New Roman"/>
          <w:color w:val="000000"/>
        </w:rPr>
        <w:fldChar w:fldCharType="separate"/>
      </w:r>
      <w:r w:rsidR="000E22F3" w:rsidRPr="009B30A6">
        <w:rPr>
          <w:rFonts w:eastAsia="Calibri"/>
        </w:rPr>
        <w:t xml:space="preserve">Figure </w:t>
      </w:r>
      <w:r w:rsidR="000E22F3">
        <w:rPr>
          <w:rFonts w:eastAsia="Calibri"/>
          <w:noProof/>
        </w:rPr>
        <w:t>5</w:t>
      </w:r>
      <w:r w:rsidR="000E22F3">
        <w:rPr>
          <w:rFonts w:eastAsia="Calibri"/>
        </w:rPr>
        <w:noBreakHyphen/>
      </w:r>
      <w:r w:rsidR="000E22F3">
        <w:rPr>
          <w:rFonts w:eastAsia="Calibri"/>
          <w:noProof/>
        </w:rPr>
        <w:t>9</w:t>
      </w:r>
      <w:r w:rsidR="005935D5">
        <w:rPr>
          <w:rFonts w:ascii="Calibri" w:hAnsi="Calibri" w:cs="Times New Roman"/>
          <w:color w:val="000000"/>
        </w:rPr>
        <w:fldChar w:fldCharType="end"/>
      </w:r>
      <w:r w:rsidRPr="00BC409E">
        <w:rPr>
          <w:rFonts w:ascii="Calibri" w:hAnsi="Calibri" w:cs="Times New Roman"/>
          <w:color w:val="000000"/>
        </w:rPr>
        <w:t>). Most of WQ parameters including Kd(PAR), TSS</w:t>
      </w:r>
      <w:r w:rsidR="00925C94">
        <w:rPr>
          <w:rFonts w:ascii="Calibri" w:hAnsi="Calibri" w:cs="Times New Roman"/>
          <w:color w:val="000000"/>
        </w:rPr>
        <w:t>,</w:t>
      </w:r>
      <w:r w:rsidRPr="00BC409E">
        <w:rPr>
          <w:rFonts w:ascii="Calibri" w:hAnsi="Calibri" w:cs="Times New Roman"/>
          <w:color w:val="000000"/>
        </w:rPr>
        <w:t xml:space="preserve"> DIN and DIP, followed published trends i.e., increasing values from the Tertiary;  to the Secondary; to the Primary plume water type. Lewis et al. (2009) reported that the concentrations of PSII herbicides on the GBR typically exhibit a linear decline across the salinity gradient (i.e., from Primary to Tertiary water types). Diuron values followed expected trends with Diuron in Primary and Secondary respectively of 95.42 ± 312.68</w:t>
      </w:r>
      <w:r w:rsidR="00925C94">
        <w:rPr>
          <w:rFonts w:ascii="Calibri" w:hAnsi="Calibri" w:cs="Times New Roman"/>
          <w:color w:val="000000"/>
        </w:rPr>
        <w:t xml:space="preserve"> </w:t>
      </w:r>
      <w:r w:rsidR="00925C94" w:rsidRPr="00A84137">
        <w:t>ng/L</w:t>
      </w:r>
      <w:r w:rsidRPr="00BC409E">
        <w:rPr>
          <w:rFonts w:ascii="Calibri" w:hAnsi="Calibri" w:cs="Times New Roman"/>
          <w:color w:val="000000"/>
        </w:rPr>
        <w:t>; and 45.37 ± 78.53</w:t>
      </w:r>
      <w:r w:rsidR="00925C94">
        <w:rPr>
          <w:rFonts w:ascii="Calibri" w:hAnsi="Calibri" w:cs="Times New Roman"/>
          <w:color w:val="000000"/>
        </w:rPr>
        <w:t xml:space="preserve"> </w:t>
      </w:r>
      <w:r w:rsidR="00925C94" w:rsidRPr="00A84137">
        <w:t>ng/L</w:t>
      </w:r>
      <w:r w:rsidRPr="00BC409E">
        <w:rPr>
          <w:rFonts w:ascii="Calibri" w:hAnsi="Calibri" w:cs="Times New Roman"/>
          <w:color w:val="000000"/>
        </w:rPr>
        <w:t>. All samples measured in tertiary plume waters presented non detectible Diuron concentrations. Note that the Diuron concentrations present the highest variability around the mean of all sampled WQ parameters. The TSS and DIP concentrations were higher in plume waters than in the marine ambient waters. Note nevertheless that a very limited number of samples are available outside of the plume waters.</w:t>
      </w:r>
    </w:p>
    <w:p w14:paraId="526AEB3F" w14:textId="706E1887" w:rsidR="00855A5C" w:rsidRPr="005A44ED" w:rsidRDefault="00855A5C" w:rsidP="00855A5C">
      <w:pPr>
        <w:spacing w:before="240" w:after="120"/>
        <w:rPr>
          <w:color w:val="000000" w:themeColor="text1"/>
        </w:rPr>
      </w:pPr>
      <w:r w:rsidRPr="005A44ED">
        <w:lastRenderedPageBreak/>
        <w:t xml:space="preserve">These results confirmed that concentrations of combined pollutants in plume waters increase from the Tertiary waters to the Primary core of river plumes and that mapping plume water types help clustering WQ stressors into three broad categories. If the magnitude of the risk from river plume is simply expressed as pollutant concentrations in plume waters, thus the magnitude of the potential risk from plume exposure increase from the tertiary to the primary water type, as assumed in the </w:t>
      </w:r>
      <w:r w:rsidRPr="005A44ED">
        <w:rPr>
          <w:color w:val="1F497D" w:themeColor="text2"/>
        </w:rPr>
        <w:t xml:space="preserve">simplified risk </w:t>
      </w:r>
      <w:r w:rsidRPr="005A44ED">
        <w:rPr>
          <w:rFonts w:cs="Times New Roman"/>
          <w:lang w:val="en-US"/>
        </w:rPr>
        <w:t>framework (</w:t>
      </w:r>
      <w:r w:rsidR="00434EFC">
        <w:fldChar w:fldCharType="begin"/>
      </w:r>
      <w:r w:rsidR="00434EFC">
        <w:instrText xml:space="preserve"> REF _Ref428190903 \h  \* MERGEFORMAT </w:instrText>
      </w:r>
      <w:r w:rsidR="00434EFC">
        <w:fldChar w:fldCharType="separate"/>
      </w:r>
      <w:r w:rsidR="000E22F3" w:rsidRPr="000E22F3">
        <w:rPr>
          <w:lang w:val="en-US"/>
        </w:rPr>
        <w:t xml:space="preserve">Figure </w:t>
      </w:r>
      <w:r w:rsidR="000E22F3" w:rsidRPr="000E22F3">
        <w:rPr>
          <w:noProof/>
          <w:lang w:val="en-US"/>
        </w:rPr>
        <w:t>5</w:t>
      </w:r>
      <w:r w:rsidR="000E22F3" w:rsidRPr="000E22F3">
        <w:rPr>
          <w:noProof/>
          <w:lang w:val="en-US"/>
        </w:rPr>
        <w:noBreakHyphen/>
        <w:t>3</w:t>
      </w:r>
      <w:r w:rsidR="00434EFC">
        <w:fldChar w:fldCharType="end"/>
      </w:r>
      <w:r w:rsidRPr="005A44ED">
        <w:rPr>
          <w:rFonts w:cs="Times New Roman"/>
          <w:lang w:val="en-US"/>
        </w:rPr>
        <w:t>)</w:t>
      </w:r>
      <w:r w:rsidRPr="005A44ED">
        <w:rPr>
          <w:color w:val="1F497D" w:themeColor="text2"/>
        </w:rPr>
        <w:t>.</w:t>
      </w:r>
    </w:p>
    <w:p w14:paraId="6ACFA24E" w14:textId="1ADF62BA" w:rsidR="00855A5C" w:rsidRDefault="00855A5C" w:rsidP="00855A5C">
      <w:r w:rsidRPr="007D2ADE">
        <w:t xml:space="preserve">While </w:t>
      </w:r>
      <w:r w:rsidR="008C3B95">
        <w:t xml:space="preserve">Table 5-2 </w:t>
      </w:r>
      <w:r w:rsidRPr="007D2ADE">
        <w:t xml:space="preserve">reported higher chlorophyll-a concentration in the secondary water type in comparison to the Primary water type, </w:t>
      </w:r>
      <w:r w:rsidR="00A84137" w:rsidRPr="007D2ADE">
        <w:t>updated</w:t>
      </w:r>
      <w:r w:rsidRPr="007D2ADE">
        <w:t xml:space="preserve"> multi-annual </w:t>
      </w:r>
      <w:r w:rsidR="00A80E09">
        <w:t>Chl</w:t>
      </w:r>
      <w:r w:rsidRPr="007D2ADE">
        <w:t xml:space="preserve">-a concentrations at the GBR-whole scale, showed higher mean </w:t>
      </w:r>
      <w:r w:rsidR="00A80E09">
        <w:t>Chl</w:t>
      </w:r>
      <w:r w:rsidRPr="007D2ADE">
        <w:t xml:space="preserve">-a concentrations in the Primary </w:t>
      </w:r>
      <w:r w:rsidRPr="007D2ADE">
        <w:rPr>
          <w:rFonts w:ascii="Calibri" w:hAnsi="Calibri"/>
          <w:color w:val="000000"/>
          <w:shd w:val="clear" w:color="auto" w:fill="FFFFFF"/>
        </w:rPr>
        <w:t xml:space="preserve">than the secondary </w:t>
      </w:r>
      <w:r w:rsidRPr="007D2ADE">
        <w:t>water type</w:t>
      </w:r>
      <w:r w:rsidRPr="007D2ADE">
        <w:rPr>
          <w:rFonts w:ascii="Calibri" w:hAnsi="Calibri"/>
          <w:color w:val="000000"/>
          <w:shd w:val="clear" w:color="auto" w:fill="FFFFFF"/>
        </w:rPr>
        <w:t xml:space="preserve">, with mean </w:t>
      </w:r>
      <w:r w:rsidRPr="007D2ADE">
        <w:t xml:space="preserve">values of 1.93 ± 2.73 </w:t>
      </w:r>
      <w:r w:rsidR="00925C94">
        <w:rPr>
          <w:rFonts w:ascii="Calibri" w:hAnsi="Calibri" w:cs="Times New Roman"/>
          <w:color w:val="000000"/>
        </w:rPr>
        <w:t>µg L</w:t>
      </w:r>
      <w:r w:rsidR="00925C94" w:rsidRPr="00A84137">
        <w:rPr>
          <w:rFonts w:ascii="Calibri" w:hAnsi="Calibri" w:cs="Times New Roman"/>
          <w:color w:val="000000"/>
          <w:vertAlign w:val="superscript"/>
        </w:rPr>
        <w:t>-1</w:t>
      </w:r>
      <w:r w:rsidR="00925C94" w:rsidRPr="007D2ADE">
        <w:t xml:space="preserve"> </w:t>
      </w:r>
      <w:r w:rsidRPr="007D2ADE">
        <w:t xml:space="preserve">(Primary)  and 0.88 ± 0.88 </w:t>
      </w:r>
      <w:r w:rsidR="00925C94">
        <w:rPr>
          <w:rFonts w:ascii="Calibri" w:hAnsi="Calibri" w:cs="Times New Roman"/>
          <w:color w:val="000000"/>
        </w:rPr>
        <w:t>µg L</w:t>
      </w:r>
      <w:r w:rsidR="00925C94" w:rsidRPr="00A84137">
        <w:rPr>
          <w:rFonts w:ascii="Calibri" w:hAnsi="Calibri" w:cs="Times New Roman"/>
          <w:color w:val="000000"/>
          <w:vertAlign w:val="superscript"/>
        </w:rPr>
        <w:t>-1</w:t>
      </w:r>
      <w:r w:rsidR="00925C94" w:rsidRPr="007D2ADE">
        <w:t xml:space="preserve"> </w:t>
      </w:r>
      <w:r w:rsidRPr="007D2ADE">
        <w:t>(secondary</w:t>
      </w:r>
      <w:r w:rsidRPr="007D2ADE">
        <w:rPr>
          <w:rFonts w:ascii="Calibri" w:hAnsi="Calibri"/>
          <w:color w:val="000000"/>
          <w:shd w:val="clear" w:color="auto" w:fill="FFFFFF"/>
        </w:rPr>
        <w:t xml:space="preserve">) </w:t>
      </w:r>
      <w:r w:rsidRPr="007D2ADE">
        <w:t>(</w:t>
      </w:r>
      <w:r w:rsidR="00434EFC">
        <w:fldChar w:fldCharType="begin"/>
      </w:r>
      <w:r w:rsidR="00434EFC">
        <w:instrText xml:space="preserve"> REF _Ref428257199 \h  \* MERGEFORMAT </w:instrText>
      </w:r>
      <w:r w:rsidR="00434EFC">
        <w:fldChar w:fldCharType="separate"/>
      </w:r>
      <w:r w:rsidR="000E22F3" w:rsidRPr="005F45DD">
        <w:t xml:space="preserve">Table </w:t>
      </w:r>
      <w:r w:rsidR="000E22F3">
        <w:rPr>
          <w:noProof/>
        </w:rPr>
        <w:t>5</w:t>
      </w:r>
      <w:r w:rsidR="000E22F3">
        <w:rPr>
          <w:noProof/>
        </w:rPr>
        <w:noBreakHyphen/>
        <w:t>4</w:t>
      </w:r>
      <w:r w:rsidR="00434EFC">
        <w:fldChar w:fldCharType="end"/>
      </w:r>
      <w:r w:rsidRPr="007D2ADE">
        <w:t xml:space="preserve">). Devlin et al. (2013), reported a peak of </w:t>
      </w:r>
      <w:r w:rsidR="00A80E09">
        <w:t>Chl</w:t>
      </w:r>
      <w:r w:rsidRPr="007D2ADE">
        <w:t>-a concentration in samples located in transition zones between the Primary and Secondary water types (i.e. in areas exposed 50% of time to</w:t>
      </w:r>
      <w:r>
        <w:t xml:space="preserve"> Primary and 50% of time to Secondary plume water types) and suggested that </w:t>
      </w:r>
      <w:r w:rsidR="00A80E09">
        <w:t>Chl</w:t>
      </w:r>
      <w:r>
        <w:t>-a peaks were driven by a reduction in both TSS and KdPAR values as well as regular nutrients inputs. Further analyse</w:t>
      </w:r>
      <w:r w:rsidR="00A84137">
        <w:t>s</w:t>
      </w:r>
      <w:r>
        <w:t xml:space="preserve"> are requested to validate this theory. </w:t>
      </w:r>
    </w:p>
    <w:p w14:paraId="3A92830C" w14:textId="53C30FAC" w:rsidR="00131E41" w:rsidRPr="00C570D1" w:rsidRDefault="00131E41" w:rsidP="00B46AF9">
      <w:pPr>
        <w:pStyle w:val="Heading2"/>
      </w:pPr>
      <w:bookmarkStart w:id="269" w:name="_Toc427251550"/>
      <w:bookmarkStart w:id="270" w:name="_Toc427831221"/>
      <w:bookmarkStart w:id="271" w:name="_Toc428793352"/>
      <w:bookmarkStart w:id="272" w:name="_Toc428851357"/>
      <w:bookmarkStart w:id="273" w:name="_Toc443299496"/>
      <w:bookmarkStart w:id="274" w:name="_Toc443299709"/>
      <w:bookmarkStart w:id="275" w:name="_Toc454304725"/>
      <w:r>
        <w:t>P</w:t>
      </w:r>
      <w:r w:rsidRPr="00C570D1">
        <w:t>otential river plume risk maps</w:t>
      </w:r>
      <w:bookmarkEnd w:id="269"/>
      <w:bookmarkEnd w:id="270"/>
      <w:bookmarkEnd w:id="271"/>
      <w:bookmarkEnd w:id="272"/>
      <w:r w:rsidR="000A6B4D">
        <w:t xml:space="preserve">, </w:t>
      </w:r>
      <w:r w:rsidR="00A84137">
        <w:t>2013</w:t>
      </w:r>
      <w:r w:rsidR="00F532DE">
        <w:t>-</w:t>
      </w:r>
      <w:r w:rsidR="00A84137">
        <w:t>2014</w:t>
      </w:r>
      <w:bookmarkEnd w:id="273"/>
      <w:bookmarkEnd w:id="274"/>
      <w:bookmarkEnd w:id="275"/>
    </w:p>
    <w:p w14:paraId="21BA2ED0" w14:textId="1AC3E830" w:rsidR="00A84137" w:rsidRDefault="00434EFC" w:rsidP="00A84137">
      <w:r>
        <w:fldChar w:fldCharType="begin"/>
      </w:r>
      <w:r>
        <w:instrText xml:space="preserve"> REF _Ref392778797 \h  \* MERGEFORMAT </w:instrText>
      </w:r>
      <w:r>
        <w:fldChar w:fldCharType="separate"/>
      </w:r>
      <w:r w:rsidR="000E22F3" w:rsidRPr="008C3B95">
        <w:t xml:space="preserve">Figure </w:t>
      </w:r>
      <w:r w:rsidR="000E22F3">
        <w:t>5</w:t>
      </w:r>
      <w:r w:rsidR="000E22F3" w:rsidRPr="008C3B95">
        <w:noBreakHyphen/>
      </w:r>
      <w:r w:rsidR="000E22F3">
        <w:t>11</w:t>
      </w:r>
      <w:r>
        <w:fldChar w:fldCharType="end"/>
      </w:r>
      <w:r w:rsidR="00A84137">
        <w:t xml:space="preserve"> and </w:t>
      </w:r>
      <w:r>
        <w:fldChar w:fldCharType="begin"/>
      </w:r>
      <w:r>
        <w:instrText xml:space="preserve"> REF _Ref392778798 \h  \* MERGEFORMAT </w:instrText>
      </w:r>
      <w:r>
        <w:fldChar w:fldCharType="separate"/>
      </w:r>
      <w:r w:rsidR="000E22F3" w:rsidRPr="007A025F">
        <w:t xml:space="preserve">Figure </w:t>
      </w:r>
      <w:r w:rsidR="000E22F3">
        <w:t>5</w:t>
      </w:r>
      <w:r w:rsidR="000E22F3">
        <w:noBreakHyphen/>
        <w:t>12</w:t>
      </w:r>
      <w:r>
        <w:fldChar w:fldCharType="end"/>
      </w:r>
      <w:r w:rsidR="00A84137">
        <w:t xml:space="preserve"> </w:t>
      </w:r>
      <w:r w:rsidR="00A84137" w:rsidRPr="003A754A">
        <w:t xml:space="preserve">present </w:t>
      </w:r>
      <w:r w:rsidR="00A84137">
        <w:t xml:space="preserve">potential </w:t>
      </w:r>
      <w:r w:rsidR="00A84137" w:rsidRPr="003A754A">
        <w:t>river plume risk map</w:t>
      </w:r>
      <w:r w:rsidR="00A84137">
        <w:t xml:space="preserve">s of the wet season </w:t>
      </w:r>
      <w:r w:rsidR="005006CE">
        <w:t>2013-2014</w:t>
      </w:r>
      <w:r w:rsidR="00A84137">
        <w:t>.</w:t>
      </w:r>
      <w:r w:rsidR="00A84137" w:rsidRPr="003A754A">
        <w:t xml:space="preserve"> </w:t>
      </w:r>
      <w:r w:rsidR="00A84137">
        <w:t>Coastal</w:t>
      </w:r>
      <w:r w:rsidR="00A84137" w:rsidRPr="003A754A">
        <w:t xml:space="preserve"> areas experienc</w:t>
      </w:r>
      <w:r w:rsidR="00A84137">
        <w:t>e the</w:t>
      </w:r>
      <w:r w:rsidR="00A84137" w:rsidRPr="003A754A">
        <w:t xml:space="preserve"> </w:t>
      </w:r>
      <w:r w:rsidR="00A84137">
        <w:t>highest frequency of occurrence of Primary plume waters (</w:t>
      </w:r>
      <w:r w:rsidR="005935D5">
        <w:fldChar w:fldCharType="begin"/>
      </w:r>
      <w:r w:rsidR="00A84137">
        <w:instrText xml:space="preserve"> REF _Ref428260588 \h </w:instrText>
      </w:r>
      <w:r w:rsidR="005935D5">
        <w:fldChar w:fldCharType="separate"/>
      </w:r>
      <w:r w:rsidR="000E22F3" w:rsidRPr="009B30A6">
        <w:rPr>
          <w:rFonts w:eastAsia="Calibri"/>
        </w:rPr>
        <w:t xml:space="preserve">Figure </w:t>
      </w:r>
      <w:r w:rsidR="000E22F3">
        <w:rPr>
          <w:rFonts w:eastAsia="Calibri"/>
          <w:noProof/>
        </w:rPr>
        <w:t>5</w:t>
      </w:r>
      <w:r w:rsidR="000E22F3">
        <w:rPr>
          <w:rFonts w:eastAsia="Calibri"/>
        </w:rPr>
        <w:noBreakHyphen/>
      </w:r>
      <w:r w:rsidR="000E22F3">
        <w:rPr>
          <w:rFonts w:eastAsia="Calibri"/>
          <w:noProof/>
        </w:rPr>
        <w:t>9</w:t>
      </w:r>
      <w:r w:rsidR="005935D5">
        <w:fldChar w:fldCharType="end"/>
      </w:r>
      <w:r w:rsidR="00A84137">
        <w:t xml:space="preserve"> and </w:t>
      </w:r>
      <w:r w:rsidR="005935D5">
        <w:fldChar w:fldCharType="begin"/>
      </w:r>
      <w:r w:rsidR="00A84137">
        <w:instrText xml:space="preserve"> REF _Ref392778794 \h </w:instrText>
      </w:r>
      <w:r w:rsidR="005935D5">
        <w:fldChar w:fldCharType="separate"/>
      </w:r>
      <w:r w:rsidR="000E22F3" w:rsidRPr="003D6318">
        <w:t xml:space="preserve">Figure </w:t>
      </w:r>
      <w:r w:rsidR="000E22F3">
        <w:rPr>
          <w:noProof/>
        </w:rPr>
        <w:t>5</w:t>
      </w:r>
      <w:r w:rsidR="000E22F3">
        <w:noBreakHyphen/>
      </w:r>
      <w:r w:rsidR="000E22F3">
        <w:rPr>
          <w:noProof/>
        </w:rPr>
        <w:t>10</w:t>
      </w:r>
      <w:r w:rsidR="005935D5">
        <w:fldChar w:fldCharType="end"/>
      </w:r>
      <w:r w:rsidR="00A84137">
        <w:t xml:space="preserve">) and thus coastal ecosystems are most potentially exposed to the highest categories of risk (III and IV). Inversely, offshore areas are less frequently exposed to plume and, when exposed, get more likely reached by the tertiary water type of river plumes. Thus, </w:t>
      </w:r>
      <w:r w:rsidR="00A84137" w:rsidRPr="003A754A">
        <w:t xml:space="preserve">offshore </w:t>
      </w:r>
      <w:r w:rsidR="00A84137">
        <w:t xml:space="preserve">ecosystems are most potentially </w:t>
      </w:r>
      <w:r w:rsidR="00A84137" w:rsidRPr="009A129D">
        <w:t xml:space="preserve">exposed to lower river plume risk categories. Near shore ecosystems are located in transitional zones seeing an alternation of plume water types and frequencies. Their </w:t>
      </w:r>
      <w:r w:rsidR="00A84137">
        <w:t xml:space="preserve">level of </w:t>
      </w:r>
      <w:r w:rsidR="00A84137" w:rsidRPr="009A129D">
        <w:t xml:space="preserve">exposure to </w:t>
      </w:r>
      <w:r w:rsidR="00A84137">
        <w:t>a potential</w:t>
      </w:r>
      <w:r w:rsidR="00A84137" w:rsidRPr="009A129D">
        <w:t xml:space="preserve"> risk </w:t>
      </w:r>
      <w:r w:rsidR="00A84137">
        <w:t xml:space="preserve">from river plume exposures </w:t>
      </w:r>
      <w:r w:rsidR="00A84137" w:rsidRPr="009A129D">
        <w:t xml:space="preserve">is more variable.  </w:t>
      </w:r>
    </w:p>
    <w:p w14:paraId="7EA2B807" w14:textId="77777777" w:rsidR="00A84137" w:rsidRDefault="00A84137" w:rsidP="00A84137">
      <w:r>
        <w:rPr>
          <w:noProof/>
        </w:rPr>
        <w:lastRenderedPageBreak/>
        <w:drawing>
          <wp:inline distT="0" distB="0" distL="0" distR="0" wp14:anchorId="30E0BC43" wp14:editId="6E3CB9DA">
            <wp:extent cx="6014170" cy="6836735"/>
            <wp:effectExtent l="0" t="0" r="5715" b="2540"/>
            <wp:docPr id="52" name="Picture 52" descr="2013-14 GBR potential river plume risk map" title="Figure 5-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5" cstate="print">
                      <a:extLst>
                        <a:ext uri="{28A0092B-C50C-407E-A947-70E740481C1C}">
                          <a14:useLocalDpi xmlns:a14="http://schemas.microsoft.com/office/drawing/2010/main"/>
                        </a:ext>
                      </a:extLst>
                    </a:blip>
                    <a:srcRect/>
                    <a:stretch>
                      <a:fillRect/>
                    </a:stretch>
                  </pic:blipFill>
                  <pic:spPr bwMode="auto">
                    <a:xfrm>
                      <a:off x="0" y="0"/>
                      <a:ext cx="6018181" cy="6841294"/>
                    </a:xfrm>
                    <a:prstGeom prst="rect">
                      <a:avLst/>
                    </a:prstGeom>
                    <a:noFill/>
                  </pic:spPr>
                </pic:pic>
              </a:graphicData>
            </a:graphic>
          </wp:inline>
        </w:drawing>
      </w:r>
    </w:p>
    <w:p w14:paraId="437AD5E9" w14:textId="76A66479" w:rsidR="00A84137" w:rsidRPr="008C3B95" w:rsidRDefault="00A84137" w:rsidP="008C3B95">
      <w:pPr>
        <w:pStyle w:val="Caption"/>
      </w:pPr>
      <w:bookmarkStart w:id="276" w:name="_Ref392778797"/>
      <w:bookmarkStart w:id="277" w:name="_Toc428274754"/>
      <w:bookmarkStart w:id="278" w:name="_Toc454303928"/>
      <w:r w:rsidRPr="008C3B95">
        <w:t xml:space="preserve">Figure </w:t>
      </w:r>
      <w:r w:rsidR="009F4CB0" w:rsidRPr="008C3B95">
        <w:fldChar w:fldCharType="begin"/>
      </w:r>
      <w:r w:rsidR="009F4CB0" w:rsidRPr="008C3B95">
        <w:instrText xml:space="preserve"> STYLEREF 1 \s </w:instrText>
      </w:r>
      <w:r w:rsidR="009F4CB0" w:rsidRPr="008C3B95">
        <w:fldChar w:fldCharType="separate"/>
      </w:r>
      <w:r w:rsidR="000E22F3">
        <w:rPr>
          <w:noProof/>
        </w:rPr>
        <w:t>5</w:t>
      </w:r>
      <w:r w:rsidR="009F4CB0" w:rsidRPr="008C3B95">
        <w:fldChar w:fldCharType="end"/>
      </w:r>
      <w:r w:rsidR="009F4CB0" w:rsidRPr="008C3B95">
        <w:noBreakHyphen/>
      </w:r>
      <w:r w:rsidR="009F4CB0" w:rsidRPr="008C3B95">
        <w:fldChar w:fldCharType="begin"/>
      </w:r>
      <w:r w:rsidR="009F4CB0" w:rsidRPr="008C3B95">
        <w:instrText xml:space="preserve"> SEQ Figure \* ARABIC \s 1 </w:instrText>
      </w:r>
      <w:r w:rsidR="009F4CB0" w:rsidRPr="008C3B95">
        <w:fldChar w:fldCharType="separate"/>
      </w:r>
      <w:r w:rsidR="000E22F3">
        <w:rPr>
          <w:noProof/>
        </w:rPr>
        <w:t>11</w:t>
      </w:r>
      <w:r w:rsidR="009F4CB0" w:rsidRPr="008C3B95">
        <w:fldChar w:fldCharType="end"/>
      </w:r>
      <w:bookmarkEnd w:id="276"/>
      <w:r w:rsidRPr="008C3B95">
        <w:t xml:space="preserve">: </w:t>
      </w:r>
      <w:r w:rsidR="005006CE" w:rsidRPr="008C3B95">
        <w:t>2013-2014</w:t>
      </w:r>
      <w:r w:rsidRPr="008C3B95">
        <w:t xml:space="preserve"> GBR potential river plume risk map</w:t>
      </w:r>
      <w:bookmarkEnd w:id="277"/>
      <w:r w:rsidR="00925C94" w:rsidRPr="008C3B95">
        <w:t>. The risk classes are shown in the legend.</w:t>
      </w:r>
      <w:bookmarkEnd w:id="278"/>
    </w:p>
    <w:p w14:paraId="5A6D1EBD" w14:textId="77777777" w:rsidR="00A84137" w:rsidRPr="007A025F" w:rsidRDefault="00A84137" w:rsidP="00A84137"/>
    <w:p w14:paraId="2741235C" w14:textId="77777777" w:rsidR="00A84137" w:rsidRPr="007A025F" w:rsidRDefault="00A84137" w:rsidP="00A84137">
      <w:r>
        <w:rPr>
          <w:noProof/>
        </w:rPr>
        <w:lastRenderedPageBreak/>
        <w:drawing>
          <wp:inline distT="0" distB="0" distL="0" distR="0" wp14:anchorId="6737371F" wp14:editId="30A9A5BE">
            <wp:extent cx="5050465" cy="8496794"/>
            <wp:effectExtent l="0" t="0" r="0" b="0"/>
            <wp:docPr id="53" name="Picture 53" descr="2013-14 potential river plume risk in the GBR NRM regions " title="Figure 5-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6" cstate="screen">
                      <a:extLst>
                        <a:ext uri="{28A0092B-C50C-407E-A947-70E740481C1C}">
                          <a14:useLocalDpi xmlns:a14="http://schemas.microsoft.com/office/drawing/2010/main"/>
                        </a:ext>
                      </a:extLst>
                    </a:blip>
                    <a:srcRect/>
                    <a:stretch>
                      <a:fillRect/>
                    </a:stretch>
                  </pic:blipFill>
                  <pic:spPr bwMode="auto">
                    <a:xfrm>
                      <a:off x="0" y="0"/>
                      <a:ext cx="5055549" cy="8505348"/>
                    </a:xfrm>
                    <a:prstGeom prst="rect">
                      <a:avLst/>
                    </a:prstGeom>
                    <a:noFill/>
                  </pic:spPr>
                </pic:pic>
              </a:graphicData>
            </a:graphic>
          </wp:inline>
        </w:drawing>
      </w:r>
    </w:p>
    <w:p w14:paraId="08F64D14" w14:textId="4FF0FBB5" w:rsidR="00A84137" w:rsidRPr="007A025F" w:rsidRDefault="00A84137" w:rsidP="00A84137">
      <w:pPr>
        <w:pStyle w:val="Caption"/>
        <w:rPr>
          <w:szCs w:val="22"/>
        </w:rPr>
      </w:pPr>
      <w:bookmarkStart w:id="279" w:name="_Ref392778798"/>
      <w:bookmarkStart w:id="280" w:name="_Toc428274755"/>
      <w:bookmarkStart w:id="281" w:name="_Toc454303929"/>
      <w:r w:rsidRPr="007A025F">
        <w:rPr>
          <w:szCs w:val="22"/>
        </w:rPr>
        <w:t xml:space="preserve">Figure </w:t>
      </w:r>
      <w:r w:rsidR="009F4CB0">
        <w:rPr>
          <w:szCs w:val="22"/>
        </w:rPr>
        <w:fldChar w:fldCharType="begin"/>
      </w:r>
      <w:r w:rsidR="009F4CB0">
        <w:rPr>
          <w:szCs w:val="22"/>
        </w:rPr>
        <w:instrText xml:space="preserve"> STYLEREF 1 \s </w:instrText>
      </w:r>
      <w:r w:rsidR="009F4CB0">
        <w:rPr>
          <w:szCs w:val="22"/>
        </w:rPr>
        <w:fldChar w:fldCharType="separate"/>
      </w:r>
      <w:r w:rsidR="000E22F3">
        <w:rPr>
          <w:noProof/>
          <w:szCs w:val="22"/>
        </w:rPr>
        <w:t>5</w:t>
      </w:r>
      <w:r w:rsidR="009F4CB0">
        <w:rPr>
          <w:szCs w:val="22"/>
        </w:rPr>
        <w:fldChar w:fldCharType="end"/>
      </w:r>
      <w:r w:rsidR="009F4CB0">
        <w:rPr>
          <w:szCs w:val="22"/>
        </w:rPr>
        <w:noBreakHyphen/>
      </w:r>
      <w:r w:rsidR="009F4CB0">
        <w:rPr>
          <w:szCs w:val="22"/>
        </w:rPr>
        <w:fldChar w:fldCharType="begin"/>
      </w:r>
      <w:r w:rsidR="009F4CB0">
        <w:rPr>
          <w:szCs w:val="22"/>
        </w:rPr>
        <w:instrText xml:space="preserve"> SEQ Figure \* ARABIC \s 1 </w:instrText>
      </w:r>
      <w:r w:rsidR="009F4CB0">
        <w:rPr>
          <w:szCs w:val="22"/>
        </w:rPr>
        <w:fldChar w:fldCharType="separate"/>
      </w:r>
      <w:r w:rsidR="000E22F3">
        <w:rPr>
          <w:noProof/>
          <w:szCs w:val="22"/>
        </w:rPr>
        <w:t>12</w:t>
      </w:r>
      <w:r w:rsidR="009F4CB0">
        <w:rPr>
          <w:szCs w:val="22"/>
        </w:rPr>
        <w:fldChar w:fldCharType="end"/>
      </w:r>
      <w:bookmarkEnd w:id="279"/>
      <w:r w:rsidRPr="007A025F">
        <w:rPr>
          <w:szCs w:val="22"/>
        </w:rPr>
        <w:t xml:space="preserve">: </w:t>
      </w:r>
      <w:r w:rsidR="005006CE">
        <w:rPr>
          <w:szCs w:val="22"/>
        </w:rPr>
        <w:t>2013-2014</w:t>
      </w:r>
      <w:r w:rsidRPr="007A025F">
        <w:rPr>
          <w:szCs w:val="22"/>
        </w:rPr>
        <w:t xml:space="preserve"> potential river plume risk in the GBR NRM</w:t>
      </w:r>
      <w:r>
        <w:rPr>
          <w:szCs w:val="22"/>
        </w:rPr>
        <w:t xml:space="preserve"> region</w:t>
      </w:r>
      <w:bookmarkEnd w:id="280"/>
      <w:r>
        <w:rPr>
          <w:szCs w:val="22"/>
        </w:rPr>
        <w:t>s</w:t>
      </w:r>
      <w:r w:rsidR="00925C94">
        <w:rPr>
          <w:szCs w:val="22"/>
        </w:rPr>
        <w:t>.</w:t>
      </w:r>
      <w:bookmarkEnd w:id="281"/>
    </w:p>
    <w:p w14:paraId="167915BA" w14:textId="77777777" w:rsidR="00131E41" w:rsidRPr="008D23C3" w:rsidRDefault="003A69C4" w:rsidP="00B46AF9">
      <w:pPr>
        <w:pStyle w:val="Heading2"/>
      </w:pPr>
      <w:bookmarkStart w:id="282" w:name="_Toc428341676"/>
      <w:bookmarkStart w:id="283" w:name="_Toc443299497"/>
      <w:bookmarkStart w:id="284" w:name="_Toc443299710"/>
      <w:bookmarkStart w:id="285" w:name="_Toc454304726"/>
      <w:r>
        <w:t>Mapping of potential</w:t>
      </w:r>
      <w:r w:rsidR="00131E41" w:rsidRPr="008D23C3">
        <w:t xml:space="preserve"> risk from river plume exposure in </w:t>
      </w:r>
      <w:bookmarkEnd w:id="282"/>
      <w:r w:rsidR="005006CE">
        <w:t>2013-2014</w:t>
      </w:r>
      <w:bookmarkEnd w:id="283"/>
      <w:bookmarkEnd w:id="284"/>
      <w:bookmarkEnd w:id="285"/>
    </w:p>
    <w:p w14:paraId="3E43334C" w14:textId="1EBC5000" w:rsidR="003A69C4" w:rsidRDefault="005D38D3" w:rsidP="005D38D3">
      <w:pPr>
        <w:spacing w:after="120"/>
      </w:pPr>
      <w:r w:rsidRPr="004320BC">
        <w:t xml:space="preserve">The </w:t>
      </w:r>
      <w:r w:rsidR="005006CE">
        <w:t>2013-2014</w:t>
      </w:r>
      <w:r w:rsidRPr="004320BC">
        <w:t xml:space="preserve"> frequency maps (full extent and plume water types</w:t>
      </w:r>
      <w:r w:rsidR="00CE2946">
        <w:t xml:space="preserve">: </w:t>
      </w:r>
      <w:r w:rsidR="005935D5">
        <w:fldChar w:fldCharType="begin"/>
      </w:r>
      <w:r w:rsidR="00CE2946">
        <w:instrText xml:space="preserve"> REF _Ref433188553 \h </w:instrText>
      </w:r>
      <w:r w:rsidR="005935D5">
        <w:fldChar w:fldCharType="separate"/>
      </w:r>
      <w:r w:rsidR="000E22F3" w:rsidRPr="009B30A6">
        <w:rPr>
          <w:rFonts w:eastAsia="Calibri"/>
        </w:rPr>
        <w:t xml:space="preserve">Figure </w:t>
      </w:r>
      <w:r w:rsidR="000E22F3">
        <w:rPr>
          <w:rFonts w:eastAsia="Calibri"/>
          <w:noProof/>
        </w:rPr>
        <w:t>5</w:t>
      </w:r>
      <w:r w:rsidR="000E22F3">
        <w:rPr>
          <w:rFonts w:eastAsia="Calibri"/>
        </w:rPr>
        <w:noBreakHyphen/>
      </w:r>
      <w:r w:rsidR="000E22F3">
        <w:rPr>
          <w:rFonts w:eastAsia="Calibri"/>
          <w:noProof/>
        </w:rPr>
        <w:t>7</w:t>
      </w:r>
      <w:r w:rsidR="005935D5">
        <w:fldChar w:fldCharType="end"/>
      </w:r>
      <w:r w:rsidR="00CE2946">
        <w:t xml:space="preserve"> to </w:t>
      </w:r>
      <w:r w:rsidR="005935D5">
        <w:fldChar w:fldCharType="begin"/>
      </w:r>
      <w:r w:rsidR="00CE2946">
        <w:instrText xml:space="preserve"> REF _Ref392778794 \h </w:instrText>
      </w:r>
      <w:r w:rsidR="005935D5">
        <w:fldChar w:fldCharType="separate"/>
      </w:r>
      <w:r w:rsidR="000E22F3" w:rsidRPr="003D6318">
        <w:t xml:space="preserve">Figure </w:t>
      </w:r>
      <w:r w:rsidR="000E22F3">
        <w:rPr>
          <w:noProof/>
        </w:rPr>
        <w:t>5</w:t>
      </w:r>
      <w:r w:rsidR="000E22F3">
        <w:noBreakHyphen/>
      </w:r>
      <w:r w:rsidR="000E22F3">
        <w:rPr>
          <w:noProof/>
        </w:rPr>
        <w:t>10</w:t>
      </w:r>
      <w:r w:rsidR="005935D5">
        <w:fldChar w:fldCharType="end"/>
      </w:r>
      <w:r w:rsidRPr="004320BC">
        <w:t xml:space="preserve">) </w:t>
      </w:r>
      <w:r w:rsidR="003A69C4">
        <w:t>extrapolated to</w:t>
      </w:r>
      <w:r w:rsidRPr="004320BC">
        <w:t xml:space="preserve"> potential risk maps were </w:t>
      </w:r>
      <w:r w:rsidR="003A69C4">
        <w:t>then used to assess</w:t>
      </w:r>
      <w:r w:rsidRPr="004320BC">
        <w:t xml:space="preserve"> the exposure of </w:t>
      </w:r>
      <w:r>
        <w:t xml:space="preserve">the </w:t>
      </w:r>
      <w:r w:rsidRPr="004320BC">
        <w:t xml:space="preserve">GBR ecosystems to river plume exposure during the </w:t>
      </w:r>
      <w:r w:rsidR="005006CE">
        <w:t>2013-2014</w:t>
      </w:r>
      <w:r w:rsidRPr="004320BC">
        <w:t xml:space="preserve"> wet season </w:t>
      </w:r>
      <w:r>
        <w:t>(</w:t>
      </w:r>
      <w:r w:rsidR="00434EFC">
        <w:fldChar w:fldCharType="begin"/>
      </w:r>
      <w:r w:rsidR="00434EFC">
        <w:instrText xml:space="preserve"> REF _Ref392779004 \h  \* MERGEFORMAT </w:instrText>
      </w:r>
      <w:r w:rsidR="00434EFC">
        <w:fldChar w:fldCharType="separate"/>
      </w:r>
      <w:r w:rsidR="000E22F3" w:rsidRPr="00724A30">
        <w:t xml:space="preserve">Table </w:t>
      </w:r>
      <w:r w:rsidR="000E22F3">
        <w:t>5</w:t>
      </w:r>
      <w:r w:rsidR="000E22F3">
        <w:noBreakHyphen/>
        <w:t>5</w:t>
      </w:r>
      <w:r w:rsidR="00434EFC">
        <w:fldChar w:fldCharType="end"/>
      </w:r>
      <w:r>
        <w:t xml:space="preserve">, </w:t>
      </w:r>
      <w:r w:rsidR="005935D5">
        <w:fldChar w:fldCharType="begin"/>
      </w:r>
      <w:r>
        <w:instrText xml:space="preserve"> REF _Ref392779093 \h </w:instrText>
      </w:r>
      <w:r w:rsidR="005935D5">
        <w:fldChar w:fldCharType="separate"/>
      </w:r>
      <w:r w:rsidR="000E22F3" w:rsidRPr="00724A30">
        <w:t xml:space="preserve">Table </w:t>
      </w:r>
      <w:r w:rsidR="000E22F3">
        <w:rPr>
          <w:noProof/>
        </w:rPr>
        <w:t>5</w:t>
      </w:r>
      <w:r w:rsidR="000E22F3">
        <w:noBreakHyphen/>
      </w:r>
      <w:r w:rsidR="000E22F3">
        <w:rPr>
          <w:noProof/>
        </w:rPr>
        <w:t>6</w:t>
      </w:r>
      <w:r w:rsidR="005935D5">
        <w:fldChar w:fldCharType="end"/>
      </w:r>
      <w:r>
        <w:t xml:space="preserve"> and </w:t>
      </w:r>
      <w:r w:rsidR="005935D5">
        <w:fldChar w:fldCharType="begin"/>
      </w:r>
      <w:r>
        <w:instrText xml:space="preserve"> REF _Ref392779098 \h </w:instrText>
      </w:r>
      <w:r w:rsidR="005935D5">
        <w:fldChar w:fldCharType="separate"/>
      </w:r>
      <w:r w:rsidR="000E22F3" w:rsidRPr="00724A30">
        <w:t xml:space="preserve">Table </w:t>
      </w:r>
      <w:r w:rsidR="000E22F3">
        <w:rPr>
          <w:noProof/>
        </w:rPr>
        <w:t>5</w:t>
      </w:r>
      <w:r w:rsidR="000E22F3">
        <w:noBreakHyphen/>
      </w:r>
      <w:r w:rsidR="000E22F3">
        <w:rPr>
          <w:noProof/>
        </w:rPr>
        <w:t>7</w:t>
      </w:r>
      <w:r w:rsidR="005935D5">
        <w:fldChar w:fldCharType="end"/>
      </w:r>
      <w:r>
        <w:t xml:space="preserve">). </w:t>
      </w:r>
    </w:p>
    <w:p w14:paraId="3313C353" w14:textId="77777777" w:rsidR="009A3764" w:rsidRDefault="00AB3A5B" w:rsidP="005D38D3">
      <w:pPr>
        <w:spacing w:after="120"/>
      </w:pPr>
      <w:r w:rsidRPr="00AB3A5B">
        <w:t>Note that</w:t>
      </w:r>
      <w:r w:rsidR="009A3764">
        <w:t>:</w:t>
      </w:r>
    </w:p>
    <w:p w14:paraId="18392364" w14:textId="77777777" w:rsidR="009A3764" w:rsidRPr="003A69C4" w:rsidRDefault="009A3764" w:rsidP="00046E8A">
      <w:pPr>
        <w:pStyle w:val="ListParagraph"/>
        <w:numPr>
          <w:ilvl w:val="0"/>
          <w:numId w:val="21"/>
        </w:numPr>
        <w:spacing w:after="120"/>
      </w:pPr>
      <w:r w:rsidRPr="003A69C4">
        <w:t>A</w:t>
      </w:r>
      <w:r w:rsidR="00AB3A5B" w:rsidRPr="003A69C4">
        <w:t>ny results obtained in the Cape York NRM should be considered with care. Cape York is a shallow and optically complex environment where the TC method hasn’t been fully validated.</w:t>
      </w:r>
      <w:r w:rsidRPr="003A69C4">
        <w:t xml:space="preserve"> </w:t>
      </w:r>
    </w:p>
    <w:p w14:paraId="630F7DCE" w14:textId="77777777" w:rsidR="00AB3A5B" w:rsidRPr="003A69C4" w:rsidRDefault="009A3764" w:rsidP="00046E8A">
      <w:pPr>
        <w:pStyle w:val="ListParagraph"/>
        <w:numPr>
          <w:ilvl w:val="0"/>
          <w:numId w:val="21"/>
        </w:numPr>
        <w:spacing w:after="120"/>
      </w:pPr>
      <w:r w:rsidRPr="003A69C4">
        <w:t xml:space="preserve">Only surface areas inside the GBR marine boundaries are reported below. </w:t>
      </w:r>
    </w:p>
    <w:p w14:paraId="645A36CE" w14:textId="2F4F423C" w:rsidR="005D38D3" w:rsidRPr="005D7B2F" w:rsidRDefault="005D38D3" w:rsidP="005D38D3">
      <w:pPr>
        <w:spacing w:after="120"/>
      </w:pPr>
      <w:r w:rsidRPr="004320BC">
        <w:t xml:space="preserve">The total GBR area exposed to river plume waters was </w:t>
      </w:r>
      <w:r w:rsidRPr="00A00125">
        <w:t>182</w:t>
      </w:r>
      <w:r w:rsidR="00AB3A5B">
        <w:t>,</w:t>
      </w:r>
      <w:r w:rsidRPr="00A00125">
        <w:t>952</w:t>
      </w:r>
      <w:r>
        <w:t xml:space="preserve"> </w:t>
      </w:r>
      <w:r w:rsidRPr="005D7B2F">
        <w:t>km</w:t>
      </w:r>
      <w:r w:rsidRPr="00835699">
        <w:rPr>
          <w:vertAlign w:val="superscript"/>
        </w:rPr>
        <w:t>2</w:t>
      </w:r>
      <w:r w:rsidRPr="005D7B2F">
        <w:t xml:space="preserve"> i.e., </w:t>
      </w:r>
      <w:r w:rsidRPr="00A00125">
        <w:t>52%</w:t>
      </w:r>
      <w:r w:rsidRPr="005D7B2F">
        <w:t xml:space="preserve">  of the GBR</w:t>
      </w:r>
      <w:r>
        <w:t xml:space="preserve"> (</w:t>
      </w:r>
      <w:r w:rsidR="005935D5">
        <w:fldChar w:fldCharType="begin"/>
      </w:r>
      <w:r>
        <w:instrText xml:space="preserve"> REF _Ref392779004 \h </w:instrText>
      </w:r>
      <w:r w:rsidR="005935D5">
        <w:fldChar w:fldCharType="separate"/>
      </w:r>
      <w:r w:rsidR="000E22F3" w:rsidRPr="00724A30">
        <w:t xml:space="preserve">Table </w:t>
      </w:r>
      <w:r w:rsidR="000E22F3">
        <w:rPr>
          <w:noProof/>
        </w:rPr>
        <w:t>5</w:t>
      </w:r>
      <w:r w:rsidR="000E22F3">
        <w:noBreakHyphen/>
      </w:r>
      <w:r w:rsidR="000E22F3">
        <w:rPr>
          <w:noProof/>
        </w:rPr>
        <w:t>5</w:t>
      </w:r>
      <w:r w:rsidR="005935D5">
        <w:fldChar w:fldCharType="end"/>
      </w:r>
      <w:r>
        <w:t>)</w:t>
      </w:r>
      <w:r w:rsidRPr="005D7B2F">
        <w:t xml:space="preserve">. </w:t>
      </w:r>
      <w:r>
        <w:rPr>
          <w:rFonts w:ascii="Calibri" w:eastAsia="Calibri" w:hAnsi="Calibri" w:cs="Times New Roman"/>
        </w:rPr>
        <w:t xml:space="preserve">NRM areas exposed to river plume </w:t>
      </w:r>
      <w:r w:rsidRPr="00DF1C49">
        <w:rPr>
          <w:rFonts w:ascii="Calibri" w:eastAsia="Calibri" w:hAnsi="Calibri" w:cs="Times New Roman"/>
        </w:rPr>
        <w:t>ranged</w:t>
      </w:r>
      <w:r w:rsidRPr="005D7B2F">
        <w:t xml:space="preserve"> from </w:t>
      </w:r>
      <w:r w:rsidRPr="00724A30">
        <w:t>11</w:t>
      </w:r>
      <w:r w:rsidR="00AB3A5B">
        <w:t>,</w:t>
      </w:r>
      <w:r w:rsidRPr="00724A30">
        <w:t>680</w:t>
      </w:r>
      <w:r>
        <w:t xml:space="preserve"> </w:t>
      </w:r>
      <w:r w:rsidRPr="005D7B2F">
        <w:t>km</w:t>
      </w:r>
      <w:r w:rsidRPr="00A00125">
        <w:rPr>
          <w:vertAlign w:val="superscript"/>
        </w:rPr>
        <w:t>2</w:t>
      </w:r>
      <w:r w:rsidRPr="005D7B2F">
        <w:t xml:space="preserve"> </w:t>
      </w:r>
      <w:r>
        <w:t>(31</w:t>
      </w:r>
      <w:r w:rsidRPr="005D7B2F">
        <w:t xml:space="preserve"> %</w:t>
      </w:r>
      <w:r>
        <w:t xml:space="preserve">) </w:t>
      </w:r>
      <w:r w:rsidRPr="005D7B2F">
        <w:t xml:space="preserve">in </w:t>
      </w:r>
      <w:r w:rsidRPr="00A00125">
        <w:t>the Burnett-Mary NRM</w:t>
      </w:r>
      <w:r w:rsidRPr="005D7B2F">
        <w:t xml:space="preserve"> to </w:t>
      </w:r>
      <w:r w:rsidR="00AB3A5B" w:rsidRPr="00AB3A5B">
        <w:t>53,893</w:t>
      </w:r>
      <w:r w:rsidR="00AB3A5B">
        <w:t xml:space="preserve"> </w:t>
      </w:r>
      <w:r w:rsidRPr="005D7B2F">
        <w:t>km</w:t>
      </w:r>
      <w:r w:rsidRPr="004F26AA">
        <w:rPr>
          <w:vertAlign w:val="superscript"/>
        </w:rPr>
        <w:t>2</w:t>
      </w:r>
      <w:r w:rsidRPr="005D7B2F">
        <w:t xml:space="preserve"> </w:t>
      </w:r>
      <w:r>
        <w:t>(</w:t>
      </w:r>
      <w:r w:rsidR="00AB3A5B" w:rsidRPr="00AB3A5B">
        <w:rPr>
          <w:rFonts w:ascii="Calibri" w:hAnsi="Calibri" w:cs="Times New Roman"/>
          <w:bCs/>
          <w:iCs/>
        </w:rPr>
        <w:t>56</w:t>
      </w:r>
      <w:r w:rsidR="00AB3A5B">
        <w:rPr>
          <w:rFonts w:ascii="Calibri" w:hAnsi="Calibri" w:cs="Times New Roman"/>
          <w:bCs/>
          <w:iCs/>
        </w:rPr>
        <w:t xml:space="preserve"> </w:t>
      </w:r>
      <w:r w:rsidR="00AB3A5B" w:rsidRPr="00AB3A5B">
        <w:rPr>
          <w:rFonts w:ascii="Calibri" w:hAnsi="Calibri" w:cs="Times New Roman"/>
          <w:bCs/>
          <w:iCs/>
        </w:rPr>
        <w:t>%</w:t>
      </w:r>
      <w:r>
        <w:t xml:space="preserve">) </w:t>
      </w:r>
      <w:r w:rsidRPr="005D7B2F">
        <w:t xml:space="preserve">in </w:t>
      </w:r>
      <w:r w:rsidR="00AB3A5B" w:rsidRPr="00AB3A5B">
        <w:t xml:space="preserve">Cape York </w:t>
      </w:r>
      <w:r w:rsidRPr="00A00125">
        <w:t>NRM</w:t>
      </w:r>
      <w:r w:rsidR="00AB3A5B">
        <w:t xml:space="preserve"> and </w:t>
      </w:r>
      <w:r w:rsidR="00AB3A5B" w:rsidRPr="00AB3A5B">
        <w:t xml:space="preserve">42,587 </w:t>
      </w:r>
      <w:r w:rsidR="00AB3A5B" w:rsidRPr="005D7B2F">
        <w:t>km</w:t>
      </w:r>
      <w:r w:rsidR="00AB3A5B" w:rsidRPr="004F26AA">
        <w:rPr>
          <w:vertAlign w:val="superscript"/>
        </w:rPr>
        <w:t>2</w:t>
      </w:r>
      <w:r w:rsidR="00AB3A5B" w:rsidRPr="005D7B2F">
        <w:t xml:space="preserve"> </w:t>
      </w:r>
      <w:r w:rsidR="00AB3A5B">
        <w:t>(</w:t>
      </w:r>
      <w:r w:rsidR="00AB3A5B" w:rsidRPr="00AB3A5B">
        <w:rPr>
          <w:rFonts w:ascii="Calibri" w:hAnsi="Calibri" w:cs="Times New Roman"/>
          <w:bCs/>
          <w:iCs/>
        </w:rPr>
        <w:t>49%</w:t>
      </w:r>
      <w:r w:rsidR="00AB3A5B">
        <w:t xml:space="preserve">) </w:t>
      </w:r>
      <w:r w:rsidR="00AB3A5B" w:rsidRPr="005D7B2F">
        <w:t xml:space="preserve">in </w:t>
      </w:r>
      <w:r w:rsidR="00AB3A5B">
        <w:t xml:space="preserve">the </w:t>
      </w:r>
      <w:r w:rsidR="00AB3A5B" w:rsidRPr="00AB3A5B">
        <w:t xml:space="preserve">Fitzroy </w:t>
      </w:r>
      <w:r w:rsidR="00AB3A5B" w:rsidRPr="00A00125">
        <w:t>NRM</w:t>
      </w:r>
      <w:r w:rsidRPr="005D7B2F">
        <w:t xml:space="preserve">. </w:t>
      </w:r>
      <w:r w:rsidRPr="00724A30">
        <w:t>However, the actual area</w:t>
      </w:r>
      <w:r>
        <w:t>s</w:t>
      </w:r>
      <w:r w:rsidRPr="00724A30">
        <w:t xml:space="preserve"> under the highest potential risk categories (III and IV) from the river plumes </w:t>
      </w:r>
      <w:r>
        <w:t>were</w:t>
      </w:r>
      <w:r w:rsidRPr="00724A30">
        <w:t xml:space="preserve"> much l</w:t>
      </w:r>
      <w:r>
        <w:t xml:space="preserve">ower with </w:t>
      </w:r>
      <w:r w:rsidRPr="00724A30">
        <w:t>26</w:t>
      </w:r>
      <w:r w:rsidR="00AB3A5B">
        <w:t>,</w:t>
      </w:r>
      <w:r w:rsidRPr="00724A30">
        <w:t>550 km</w:t>
      </w:r>
      <w:r w:rsidRPr="00724A30">
        <w:rPr>
          <w:vertAlign w:val="superscript"/>
        </w:rPr>
        <w:t>2</w:t>
      </w:r>
      <w:r>
        <w:rPr>
          <w:vertAlign w:val="superscript"/>
        </w:rPr>
        <w:t xml:space="preserve"> </w:t>
      </w:r>
      <w:r>
        <w:t>(8 %) of the GBR, 656 (2%) of the Burnett-Mary and</w:t>
      </w:r>
      <w:r w:rsidR="00AB3A5B">
        <w:t xml:space="preserve"> 4,013 </w:t>
      </w:r>
      <w:r w:rsidR="00AB3A5B" w:rsidRPr="005D7B2F">
        <w:t>km</w:t>
      </w:r>
      <w:r w:rsidR="00AB3A5B" w:rsidRPr="004F26AA">
        <w:rPr>
          <w:vertAlign w:val="superscript"/>
        </w:rPr>
        <w:t>2</w:t>
      </w:r>
      <w:r w:rsidR="00AB3A5B" w:rsidRPr="005D7B2F">
        <w:t xml:space="preserve"> </w:t>
      </w:r>
      <w:r w:rsidR="00AB3A5B">
        <w:t>(</w:t>
      </w:r>
      <w:r w:rsidR="00AB3A5B">
        <w:rPr>
          <w:rFonts w:ascii="Calibri" w:hAnsi="Calibri" w:cs="Times New Roman"/>
          <w:bCs/>
          <w:iCs/>
        </w:rPr>
        <w:t xml:space="preserve">4 </w:t>
      </w:r>
      <w:r w:rsidR="00AB3A5B" w:rsidRPr="00AB3A5B">
        <w:rPr>
          <w:rFonts w:ascii="Calibri" w:hAnsi="Calibri" w:cs="Times New Roman"/>
          <w:bCs/>
          <w:iCs/>
        </w:rPr>
        <w:t>%</w:t>
      </w:r>
      <w:r w:rsidR="00AB3A5B">
        <w:t xml:space="preserve">) and 7,687 </w:t>
      </w:r>
      <w:r w:rsidR="00AB3A5B" w:rsidRPr="005D7B2F">
        <w:t>km</w:t>
      </w:r>
      <w:r w:rsidR="00AB3A5B" w:rsidRPr="004F26AA">
        <w:rPr>
          <w:vertAlign w:val="superscript"/>
        </w:rPr>
        <w:t>2</w:t>
      </w:r>
      <w:r w:rsidR="00AB3A5B" w:rsidRPr="005D7B2F">
        <w:t xml:space="preserve"> </w:t>
      </w:r>
      <w:r w:rsidR="00AB3A5B">
        <w:t>(</w:t>
      </w:r>
      <w:r w:rsidR="00AB3A5B" w:rsidRPr="00AB3A5B">
        <w:rPr>
          <w:rFonts w:ascii="Calibri" w:hAnsi="Calibri" w:cs="Times New Roman"/>
          <w:bCs/>
          <w:iCs/>
        </w:rPr>
        <w:t>9%</w:t>
      </w:r>
      <w:r w:rsidR="00AB3A5B">
        <w:t xml:space="preserve">) </w:t>
      </w:r>
      <w:r w:rsidR="00AB3A5B" w:rsidRPr="005D7B2F">
        <w:t xml:space="preserve">in </w:t>
      </w:r>
      <w:r w:rsidR="00AB3A5B">
        <w:t>the</w:t>
      </w:r>
      <w:r w:rsidR="00AB3A5B" w:rsidRPr="00AB3A5B">
        <w:t xml:space="preserve"> Cape York </w:t>
      </w:r>
      <w:r w:rsidR="00AB3A5B">
        <w:t xml:space="preserve">and </w:t>
      </w:r>
      <w:r w:rsidR="00AB3A5B" w:rsidRPr="00AB3A5B">
        <w:t xml:space="preserve">Fitzroy </w:t>
      </w:r>
      <w:r w:rsidR="00AB3A5B" w:rsidRPr="00A00125">
        <w:t>NRM</w:t>
      </w:r>
      <w:r w:rsidR="00AB3A5B">
        <w:t xml:space="preserve"> regions, respectively.</w:t>
      </w:r>
      <w:r>
        <w:t xml:space="preserve"> </w:t>
      </w:r>
    </w:p>
    <w:p w14:paraId="73F5570C" w14:textId="5D25A68B" w:rsidR="005D38D3" w:rsidRPr="005D7B2F" w:rsidRDefault="00434EFC" w:rsidP="005D38D3">
      <w:pPr>
        <w:spacing w:after="120"/>
      </w:pPr>
      <w:r>
        <w:fldChar w:fldCharType="begin"/>
      </w:r>
      <w:r>
        <w:instrText xml:space="preserve"> REF _Ref392779093 \h  \* MERGEFORMAT </w:instrText>
      </w:r>
      <w:r>
        <w:fldChar w:fldCharType="separate"/>
      </w:r>
      <w:r w:rsidR="000E22F3" w:rsidRPr="00724A30">
        <w:t xml:space="preserve">Table </w:t>
      </w:r>
      <w:r w:rsidR="000E22F3">
        <w:t>5</w:t>
      </w:r>
      <w:r w:rsidR="000E22F3">
        <w:noBreakHyphen/>
        <w:t>6</w:t>
      </w:r>
      <w:r>
        <w:fldChar w:fldCharType="end"/>
      </w:r>
      <w:r w:rsidR="005D38D3">
        <w:t xml:space="preserve"> and </w:t>
      </w:r>
      <w:r>
        <w:fldChar w:fldCharType="begin"/>
      </w:r>
      <w:r>
        <w:instrText xml:space="preserve"> REF _Ref392779098 \h  \* MERGEFORMAT </w:instrText>
      </w:r>
      <w:r>
        <w:fldChar w:fldCharType="separate"/>
      </w:r>
      <w:r w:rsidR="000E22F3" w:rsidRPr="00724A30">
        <w:t xml:space="preserve">Table </w:t>
      </w:r>
      <w:r w:rsidR="000E22F3">
        <w:t>5</w:t>
      </w:r>
      <w:r w:rsidR="000E22F3">
        <w:noBreakHyphen/>
        <w:t>7</w:t>
      </w:r>
      <w:r>
        <w:fldChar w:fldCharType="end"/>
      </w:r>
      <w:r w:rsidR="005D38D3">
        <w:t xml:space="preserve"> present </w:t>
      </w:r>
      <w:r w:rsidR="005D38D3" w:rsidRPr="005D7B2F">
        <w:t>the areas (km</w:t>
      </w:r>
      <w:r w:rsidR="005D38D3" w:rsidRPr="00676765">
        <w:rPr>
          <w:vertAlign w:val="superscript"/>
        </w:rPr>
        <w:t>2</w:t>
      </w:r>
      <w:r w:rsidR="005D38D3" w:rsidRPr="005D7B2F">
        <w:t>) and percentage (%) of coral reefs and seagrass beds (</w:t>
      </w:r>
      <w:r w:rsidR="005D38D3">
        <w:t>coastal, deep and total</w:t>
      </w:r>
      <w:r w:rsidR="005D38D3" w:rsidRPr="005D7B2F">
        <w:t xml:space="preserve"> (</w:t>
      </w:r>
      <w:r w:rsidR="005D38D3">
        <w:t>coastal</w:t>
      </w:r>
      <w:r w:rsidR="005D38D3" w:rsidRPr="005D7B2F">
        <w:t xml:space="preserve"> + deep)</w:t>
      </w:r>
      <w:r w:rsidR="005D38D3">
        <w:t>)</w:t>
      </w:r>
      <w:r w:rsidR="005D38D3" w:rsidRPr="005D7B2F">
        <w:t xml:space="preserve"> exposed to different categories of</w:t>
      </w:r>
      <w:r w:rsidR="005D38D3">
        <w:t xml:space="preserve"> potential</w:t>
      </w:r>
      <w:r w:rsidR="005D38D3" w:rsidRPr="005D7B2F">
        <w:t xml:space="preserve"> river plume risk within each NRM. Coral reefs and seagrass beds exhibit a wide range of exposure </w:t>
      </w:r>
      <w:r w:rsidR="005D38D3">
        <w:t xml:space="preserve">(areas, % and categories of risk). </w:t>
      </w:r>
      <w:r w:rsidR="005D38D3" w:rsidRPr="005D7B2F">
        <w:t xml:space="preserve">In </w:t>
      </w:r>
      <w:r w:rsidR="005006CE">
        <w:t>2013-2014</w:t>
      </w:r>
      <w:r w:rsidR="005D38D3" w:rsidRPr="005D7B2F">
        <w:t xml:space="preserve">, </w:t>
      </w:r>
      <w:r w:rsidR="005D38D3">
        <w:t xml:space="preserve">GBR coral reefs were most exposed </w:t>
      </w:r>
      <w:r w:rsidR="00AB3A5B">
        <w:t>to the lowest categories of potential river plume risk (I and II)</w:t>
      </w:r>
      <w:r w:rsidR="005D38D3">
        <w:t xml:space="preserve"> and</w:t>
      </w:r>
      <w:r w:rsidR="005D38D3" w:rsidRPr="005D7B2F">
        <w:t xml:space="preserve"> </w:t>
      </w:r>
      <w:r w:rsidR="005D38D3">
        <w:t xml:space="preserve">GBR coastal seagrass beds were most exposed to the medium categories of </w:t>
      </w:r>
      <w:r w:rsidR="00AB3A5B">
        <w:t xml:space="preserve">potential </w:t>
      </w:r>
      <w:r w:rsidR="005D38D3">
        <w:t>river plume risk</w:t>
      </w:r>
      <w:r w:rsidR="00AB3A5B">
        <w:t xml:space="preserve"> (II and III) </w:t>
      </w:r>
      <w:r w:rsidR="005D38D3">
        <w:t xml:space="preserve">. Offshore seagrass exposure categories were </w:t>
      </w:r>
      <w:r w:rsidR="005D38D3" w:rsidRPr="007919DA">
        <w:t xml:space="preserve">more variable but </w:t>
      </w:r>
      <w:r w:rsidR="004C78F6">
        <w:t xml:space="preserve">the offshore </w:t>
      </w:r>
      <w:r w:rsidR="005D38D3">
        <w:t>seagrass</w:t>
      </w:r>
      <w:r w:rsidR="004C78F6">
        <w:t xml:space="preserve"> beds</w:t>
      </w:r>
      <w:r w:rsidR="005D38D3">
        <w:t xml:space="preserve"> were generally most exposed to the low</w:t>
      </w:r>
      <w:r w:rsidR="00AB3A5B">
        <w:t>est</w:t>
      </w:r>
      <w:r w:rsidR="005D38D3">
        <w:t xml:space="preserve"> categories</w:t>
      </w:r>
      <w:r w:rsidR="00AB3A5B">
        <w:t xml:space="preserve"> of potential river plume risk (</w:t>
      </w:r>
      <w:r w:rsidR="008E4EAC">
        <w:t>I and II</w:t>
      </w:r>
      <w:r w:rsidR="00AB3A5B">
        <w:t>)</w:t>
      </w:r>
      <w:r w:rsidR="005D38D3">
        <w:t xml:space="preserve">. </w:t>
      </w:r>
      <w:r w:rsidR="005D38D3" w:rsidRPr="005D7B2F">
        <w:t xml:space="preserve"> </w:t>
      </w:r>
    </w:p>
    <w:p w14:paraId="26195BE0" w14:textId="5439A0F2" w:rsidR="005D38D3" w:rsidRDefault="005D38D3" w:rsidP="00D11994">
      <w:pPr>
        <w:pStyle w:val="Heading2"/>
        <w:numPr>
          <w:ilvl w:val="3"/>
          <w:numId w:val="3"/>
        </w:numPr>
      </w:pPr>
      <w:bookmarkStart w:id="286" w:name="_Toc428286764"/>
      <w:bookmarkStart w:id="287" w:name="_Toc428287324"/>
      <w:bookmarkStart w:id="288" w:name="_Toc443299498"/>
      <w:bookmarkStart w:id="289" w:name="_Toc443299711"/>
      <w:bookmarkStart w:id="290" w:name="_Toc454304727"/>
      <w:r w:rsidRPr="00D75289">
        <w:t>Coral reefs</w:t>
      </w:r>
      <w:bookmarkEnd w:id="286"/>
      <w:bookmarkEnd w:id="287"/>
      <w:bookmarkEnd w:id="288"/>
      <w:bookmarkEnd w:id="289"/>
      <w:bookmarkEnd w:id="290"/>
    </w:p>
    <w:p w14:paraId="35E6653C" w14:textId="1160EC3A" w:rsidR="003A69C4" w:rsidRDefault="007D36C8" w:rsidP="005D38D3">
      <w:pPr>
        <w:pStyle w:val="ListParagraph"/>
        <w:spacing w:after="120"/>
        <w:ind w:left="0"/>
      </w:pPr>
      <w:r>
        <w:t xml:space="preserve">The modelling indicates that </w:t>
      </w:r>
      <w:r w:rsidR="005D38D3" w:rsidRPr="00CF78AD">
        <w:t>16</w:t>
      </w:r>
      <w:r w:rsidR="00A35C25">
        <w:t>,</w:t>
      </w:r>
      <w:r w:rsidR="005D38D3" w:rsidRPr="00CF78AD">
        <w:t>057</w:t>
      </w:r>
      <w:r w:rsidR="005D38D3">
        <w:t xml:space="preserve"> </w:t>
      </w:r>
      <w:r w:rsidRPr="005D7B2F">
        <w:t>km</w:t>
      </w:r>
      <w:r w:rsidRPr="00005440">
        <w:rPr>
          <w:vertAlign w:val="superscript"/>
        </w:rPr>
        <w:t>2</w:t>
      </w:r>
      <w:r>
        <w:t xml:space="preserve"> </w:t>
      </w:r>
      <w:r w:rsidR="005D38D3">
        <w:t xml:space="preserve">(i.e., </w:t>
      </w:r>
      <w:r w:rsidR="005D38D3" w:rsidRPr="00CF78AD">
        <w:t>67%</w:t>
      </w:r>
      <w:r w:rsidR="005D38D3">
        <w:t>)</w:t>
      </w:r>
      <w:r w:rsidR="005D38D3" w:rsidRPr="00CF78AD">
        <w:t xml:space="preserve"> of the GBR coral reefs were exposed to </w:t>
      </w:r>
      <w:r w:rsidR="005D38D3">
        <w:t xml:space="preserve">river plumes during the wet season </w:t>
      </w:r>
      <w:r w:rsidR="005006CE">
        <w:t>2013-2014</w:t>
      </w:r>
      <w:r w:rsidR="005D38D3">
        <w:t>, with most of them under the lowest potential risk categories (I and II) from river plume exposure</w:t>
      </w:r>
      <w:r w:rsidR="00A35C25">
        <w:t>(</w:t>
      </w:r>
      <w:r w:rsidR="005D38D3">
        <w:t xml:space="preserve">I: </w:t>
      </w:r>
      <w:r w:rsidR="005D38D3" w:rsidRPr="00005440">
        <w:t>8</w:t>
      </w:r>
      <w:r w:rsidR="00A35C25">
        <w:t>,</w:t>
      </w:r>
      <w:r w:rsidR="005D38D3" w:rsidRPr="00005440">
        <w:t>634</w:t>
      </w:r>
      <w:r w:rsidR="005D38D3">
        <w:t xml:space="preserve"> </w:t>
      </w:r>
      <w:r w:rsidR="005D38D3" w:rsidRPr="005D7B2F">
        <w:t>km</w:t>
      </w:r>
      <w:r w:rsidR="005D38D3" w:rsidRPr="00005440">
        <w:rPr>
          <w:vertAlign w:val="superscript"/>
        </w:rPr>
        <w:t>2</w:t>
      </w:r>
      <w:r w:rsidR="005D38D3">
        <w:t xml:space="preserve"> (</w:t>
      </w:r>
      <w:r w:rsidR="005D38D3" w:rsidRPr="00005440">
        <w:t>36%</w:t>
      </w:r>
      <w:r w:rsidR="005D38D3">
        <w:t>) and</w:t>
      </w:r>
      <w:r w:rsidR="005D38D3" w:rsidRPr="00005440">
        <w:t xml:space="preserve"> </w:t>
      </w:r>
      <w:r w:rsidR="005D38D3">
        <w:t xml:space="preserve">II: </w:t>
      </w:r>
      <w:r w:rsidR="005D38D3" w:rsidRPr="00005440">
        <w:t>6</w:t>
      </w:r>
      <w:r w:rsidR="00A35C25">
        <w:t>,</w:t>
      </w:r>
      <w:r w:rsidR="005D38D3" w:rsidRPr="00005440">
        <w:t xml:space="preserve">921 </w:t>
      </w:r>
      <w:r w:rsidR="005D38D3" w:rsidRPr="005D7B2F">
        <w:t>km</w:t>
      </w:r>
      <w:r w:rsidR="005D38D3" w:rsidRPr="00005440">
        <w:rPr>
          <w:vertAlign w:val="superscript"/>
        </w:rPr>
        <w:t>2</w:t>
      </w:r>
      <w:r w:rsidR="005D38D3">
        <w:t xml:space="preserve"> (</w:t>
      </w:r>
      <w:r w:rsidR="005D38D3" w:rsidRPr="00005440">
        <w:t>29%)</w:t>
      </w:r>
      <w:r w:rsidR="00A35C25">
        <w:t>)</w:t>
      </w:r>
      <w:r w:rsidR="005D38D3">
        <w:t>.</w:t>
      </w:r>
      <w:r w:rsidR="00A35C25">
        <w:t xml:space="preserve"> The </w:t>
      </w:r>
      <w:r w:rsidR="007754E4">
        <w:t>l</w:t>
      </w:r>
      <w:r w:rsidR="005D38D3" w:rsidRPr="005D7B2F">
        <w:t>argest areas (in km</w:t>
      </w:r>
      <w:r w:rsidR="005D38D3" w:rsidRPr="000D45FC">
        <w:rPr>
          <w:vertAlign w:val="superscript"/>
        </w:rPr>
        <w:t>2</w:t>
      </w:r>
      <w:r w:rsidR="005D38D3" w:rsidRPr="005D7B2F">
        <w:t>) of coral reefs exposed to river plumes were</w:t>
      </w:r>
      <w:r w:rsidR="005D38D3">
        <w:t xml:space="preserve"> located in the </w:t>
      </w:r>
      <w:r w:rsidR="005D38D3" w:rsidRPr="00005440">
        <w:t>Cape York (9</w:t>
      </w:r>
      <w:r w:rsidR="007754E4">
        <w:t>,</w:t>
      </w:r>
      <w:r w:rsidR="005D38D3" w:rsidRPr="00005440">
        <w:t>482 km</w:t>
      </w:r>
      <w:r w:rsidR="005D38D3" w:rsidRPr="000D45FC">
        <w:rPr>
          <w:vertAlign w:val="superscript"/>
        </w:rPr>
        <w:t>2</w:t>
      </w:r>
      <w:r w:rsidR="005D38D3" w:rsidRPr="00005440">
        <w:t xml:space="preserve"> or 92%), Burdekin (2</w:t>
      </w:r>
      <w:r w:rsidR="007754E4">
        <w:t>,</w:t>
      </w:r>
      <w:r w:rsidR="005D38D3" w:rsidRPr="00005440">
        <w:t>623 km</w:t>
      </w:r>
      <w:r w:rsidR="005D38D3" w:rsidRPr="000D45FC">
        <w:rPr>
          <w:vertAlign w:val="superscript"/>
        </w:rPr>
        <w:t>2</w:t>
      </w:r>
      <w:r w:rsidR="005D38D3" w:rsidRPr="00005440">
        <w:t xml:space="preserve"> or </w:t>
      </w:r>
      <w:r w:rsidR="005D38D3" w:rsidRPr="00D7581D">
        <w:t>98%</w:t>
      </w:r>
      <w:r w:rsidR="005D38D3" w:rsidRPr="00005440">
        <w:t>)</w:t>
      </w:r>
      <w:r w:rsidR="005D38D3">
        <w:t xml:space="preserve"> and </w:t>
      </w:r>
      <w:r w:rsidR="005D38D3" w:rsidRPr="00005440">
        <w:t>Wet Tropics (2</w:t>
      </w:r>
      <w:r w:rsidR="007754E4">
        <w:t>,</w:t>
      </w:r>
      <w:r w:rsidR="005D38D3" w:rsidRPr="00005440">
        <w:t>113 km</w:t>
      </w:r>
      <w:r w:rsidR="005D38D3" w:rsidRPr="000D45FC">
        <w:rPr>
          <w:vertAlign w:val="superscript"/>
        </w:rPr>
        <w:t>2</w:t>
      </w:r>
      <w:r w:rsidR="005D38D3" w:rsidRPr="00005440">
        <w:t xml:space="preserve"> or 87%)</w:t>
      </w:r>
      <w:r w:rsidR="005D38D3">
        <w:t>. It is the coral reefs of the Mackay-Whitsundays and Fitzroy NRM regions that experienced the highest potential risk (category III) from river plume exposure (203 km</w:t>
      </w:r>
      <w:r w:rsidR="005D38D3" w:rsidRPr="00405B92">
        <w:rPr>
          <w:vertAlign w:val="superscript"/>
        </w:rPr>
        <w:t>2</w:t>
      </w:r>
      <w:r w:rsidR="005D38D3">
        <w:t xml:space="preserve"> or 6% and 124 </w:t>
      </w:r>
      <w:r>
        <w:t>km</w:t>
      </w:r>
      <w:r w:rsidRPr="00405B92">
        <w:rPr>
          <w:vertAlign w:val="superscript"/>
        </w:rPr>
        <w:t>2</w:t>
      </w:r>
      <w:r>
        <w:rPr>
          <w:vertAlign w:val="superscript"/>
        </w:rPr>
        <w:t xml:space="preserve"> </w:t>
      </w:r>
      <w:r w:rsidR="005D38D3">
        <w:t>or 3 %, respectively), but nearly no reefs were exposed to the potential risk category IV (</w:t>
      </w:r>
      <w:r w:rsidR="007754E4">
        <w:t>&lt;</w:t>
      </w:r>
      <w:r w:rsidR="005D38D3">
        <w:t>1% of the GBR reefs).</w:t>
      </w:r>
      <w:r w:rsidR="005D38D3" w:rsidRPr="005D7B2F">
        <w:t xml:space="preserve"> </w:t>
      </w:r>
    </w:p>
    <w:p w14:paraId="62C685DD" w14:textId="77777777" w:rsidR="003A69C4" w:rsidRPr="00724A30" w:rsidRDefault="003A69C4" w:rsidP="00D11994">
      <w:pPr>
        <w:pStyle w:val="Heading2"/>
        <w:numPr>
          <w:ilvl w:val="3"/>
          <w:numId w:val="3"/>
        </w:numPr>
      </w:pPr>
      <w:bookmarkStart w:id="291" w:name="_Toc443299499"/>
      <w:bookmarkStart w:id="292" w:name="_Toc443299712"/>
      <w:bookmarkStart w:id="293" w:name="_Toc454304728"/>
      <w:r w:rsidRPr="00724A30">
        <w:t>Co</w:t>
      </w:r>
      <w:r w:rsidR="007B0091">
        <w:t>a</w:t>
      </w:r>
      <w:r w:rsidRPr="00724A30">
        <w:t>stal seagrasses</w:t>
      </w:r>
      <w:bookmarkEnd w:id="291"/>
      <w:bookmarkEnd w:id="292"/>
      <w:bookmarkEnd w:id="293"/>
    </w:p>
    <w:p w14:paraId="750A4BAB" w14:textId="77777777" w:rsidR="003A69C4" w:rsidRDefault="003A69C4" w:rsidP="003A69C4">
      <w:pPr>
        <w:pStyle w:val="ListParagraph"/>
        <w:spacing w:after="120"/>
        <w:ind w:left="0"/>
      </w:pPr>
      <w:r w:rsidRPr="00724A30">
        <w:t>3</w:t>
      </w:r>
      <w:r>
        <w:t>,</w:t>
      </w:r>
      <w:r w:rsidRPr="00724A30">
        <w:t>723 km</w:t>
      </w:r>
      <w:r w:rsidRPr="00724A30">
        <w:rPr>
          <w:vertAlign w:val="superscript"/>
        </w:rPr>
        <w:t>2</w:t>
      </w:r>
      <w:r w:rsidRPr="00724A30">
        <w:t xml:space="preserve"> (i.e., 98%) of the GBR coastal seagrasses were exposed to river plume</w:t>
      </w:r>
      <w:r>
        <w:t>s</w:t>
      </w:r>
      <w:r w:rsidRPr="00724A30">
        <w:t>, with</w:t>
      </w:r>
      <w:r>
        <w:t xml:space="preserve"> most of them under the potential risk categories II and III from the river plume exposure (II: </w:t>
      </w:r>
      <w:r w:rsidRPr="00724A30">
        <w:t>1</w:t>
      </w:r>
      <w:r>
        <w:t>,</w:t>
      </w:r>
      <w:r w:rsidRPr="00724A30">
        <w:t>261 km</w:t>
      </w:r>
      <w:r w:rsidRPr="00724A30">
        <w:rPr>
          <w:vertAlign w:val="superscript"/>
        </w:rPr>
        <w:t>2</w:t>
      </w:r>
      <w:r w:rsidRPr="00724A30">
        <w:t xml:space="preserve"> (</w:t>
      </w:r>
      <w:r w:rsidRPr="00724A30">
        <w:rPr>
          <w:rFonts w:ascii="Calibri" w:hAnsi="Calibri" w:cs="Times New Roman"/>
          <w:i/>
          <w:iCs/>
          <w:color w:val="000000"/>
        </w:rPr>
        <w:t>33%</w:t>
      </w:r>
      <w:r w:rsidRPr="00724A30">
        <w:t xml:space="preserve">) </w:t>
      </w:r>
      <w:r>
        <w:t xml:space="preserve">and III: </w:t>
      </w:r>
      <w:r w:rsidRPr="00724A30">
        <w:t>2</w:t>
      </w:r>
      <w:r>
        <w:t>,</w:t>
      </w:r>
      <w:r w:rsidRPr="00724A30">
        <w:t>084 km</w:t>
      </w:r>
      <w:r w:rsidRPr="00724A30">
        <w:rPr>
          <w:vertAlign w:val="superscript"/>
        </w:rPr>
        <w:t>2</w:t>
      </w:r>
      <w:r w:rsidRPr="00724A30">
        <w:t xml:space="preserve"> (</w:t>
      </w:r>
      <w:r w:rsidRPr="00724A30">
        <w:rPr>
          <w:rFonts w:ascii="Calibri" w:hAnsi="Calibri" w:cs="Times New Roman"/>
          <w:i/>
          <w:iCs/>
          <w:color w:val="000000"/>
        </w:rPr>
        <w:t>55%</w:t>
      </w:r>
      <w:r w:rsidRPr="00724A30">
        <w:t>)</w:t>
      </w:r>
      <w:r>
        <w:t>).</w:t>
      </w:r>
    </w:p>
    <w:p w14:paraId="2705DDE7" w14:textId="77777777" w:rsidR="003A69C4" w:rsidRDefault="003A69C4" w:rsidP="003A69C4">
      <w:pPr>
        <w:pStyle w:val="ListParagraph"/>
        <w:spacing w:after="120"/>
        <w:ind w:left="0"/>
      </w:pPr>
    </w:p>
    <w:p w14:paraId="271EA749" w14:textId="77777777" w:rsidR="003A69C4" w:rsidRDefault="003A69C4" w:rsidP="005D38D3">
      <w:pPr>
        <w:pStyle w:val="ListParagraph"/>
        <w:spacing w:after="120"/>
        <w:ind w:left="0"/>
      </w:pPr>
      <w:r w:rsidRPr="00724A30">
        <w:t>Largest areas (in km</w:t>
      </w:r>
      <w:r w:rsidRPr="00724A30">
        <w:rPr>
          <w:vertAlign w:val="superscript"/>
        </w:rPr>
        <w:t>2</w:t>
      </w:r>
      <w:r w:rsidRPr="00724A30">
        <w:t>) of coastal seagrasses exposed to river plumes were located in the</w:t>
      </w:r>
      <w:r>
        <w:t xml:space="preserve"> </w:t>
      </w:r>
      <w:r w:rsidRPr="00724A30">
        <w:t>Cape York (2</w:t>
      </w:r>
      <w:r>
        <w:t>,</w:t>
      </w:r>
      <w:r w:rsidRPr="00724A30">
        <w:t>433 km</w:t>
      </w:r>
      <w:r w:rsidRPr="00405B92">
        <w:rPr>
          <w:vertAlign w:val="superscript"/>
        </w:rPr>
        <w:t>2</w:t>
      </w:r>
      <w:r w:rsidRPr="00724A30">
        <w:t xml:space="preserve"> or 100%),</w:t>
      </w:r>
      <w:r>
        <w:t xml:space="preserve"> </w:t>
      </w:r>
      <w:r w:rsidRPr="00724A30">
        <w:t>Burdekin (607 km</w:t>
      </w:r>
      <w:r w:rsidRPr="00724A30">
        <w:rPr>
          <w:vertAlign w:val="superscript"/>
        </w:rPr>
        <w:t>2</w:t>
      </w:r>
      <w:r w:rsidRPr="00724A30">
        <w:t xml:space="preserve"> or 88%), Fitzroy (238 km</w:t>
      </w:r>
      <w:r w:rsidRPr="00724A30">
        <w:rPr>
          <w:vertAlign w:val="superscript"/>
        </w:rPr>
        <w:t>2</w:t>
      </w:r>
      <w:r w:rsidRPr="00724A30">
        <w:t xml:space="preserve"> or 96%).</w:t>
      </w:r>
      <w:r w:rsidRPr="00190B80">
        <w:t xml:space="preserve"> </w:t>
      </w:r>
      <w:r>
        <w:t>C</w:t>
      </w:r>
      <w:r w:rsidRPr="00190B80">
        <w:t xml:space="preserve">oastal seagrasses of the </w:t>
      </w:r>
      <w:r w:rsidRPr="00724A30">
        <w:t>Cape York</w:t>
      </w:r>
      <w:r w:rsidRPr="00190B80">
        <w:t xml:space="preserve"> NRM experie</w:t>
      </w:r>
      <w:r>
        <w:t xml:space="preserve">nced the highest potential risk </w:t>
      </w:r>
      <w:r w:rsidRPr="00190B80">
        <w:t>from river plume</w:t>
      </w:r>
      <w:r>
        <w:t xml:space="preserve"> exposure (</w:t>
      </w:r>
      <w:r w:rsidRPr="00724A30">
        <w:t>1</w:t>
      </w:r>
      <w:r>
        <w:t xml:space="preserve">,228 </w:t>
      </w:r>
      <w:r w:rsidRPr="00724A30">
        <w:t>km</w:t>
      </w:r>
      <w:r w:rsidRPr="00724A30">
        <w:rPr>
          <w:vertAlign w:val="superscript"/>
        </w:rPr>
        <w:t>2</w:t>
      </w:r>
      <w:r>
        <w:t xml:space="preserve"> or 50% of coastal seagrasses exposed to potential risk categories III and IV), followed by the </w:t>
      </w:r>
      <w:r w:rsidRPr="00724A30">
        <w:t xml:space="preserve">Burdekin and Fitzroy </w:t>
      </w:r>
      <w:r>
        <w:t>NRM regions</w:t>
      </w:r>
      <w:r w:rsidRPr="00724A30">
        <w:t xml:space="preserve"> </w:t>
      </w:r>
      <w:r>
        <w:t>(530</w:t>
      </w:r>
      <w:r w:rsidRPr="00724A30">
        <w:t xml:space="preserve"> km</w:t>
      </w:r>
      <w:r w:rsidRPr="00724A30">
        <w:rPr>
          <w:vertAlign w:val="superscript"/>
        </w:rPr>
        <w:t>2</w:t>
      </w:r>
      <w:r w:rsidRPr="00724A30">
        <w:t xml:space="preserve"> or </w:t>
      </w:r>
      <w:r>
        <w:t>85</w:t>
      </w:r>
      <w:r w:rsidRPr="00724A30">
        <w:t xml:space="preserve">% and </w:t>
      </w:r>
      <w:r>
        <w:t>236</w:t>
      </w:r>
      <w:r w:rsidRPr="00724A30">
        <w:t xml:space="preserve"> km</w:t>
      </w:r>
      <w:r w:rsidRPr="00724A30">
        <w:rPr>
          <w:vertAlign w:val="superscript"/>
        </w:rPr>
        <w:t>2</w:t>
      </w:r>
      <w:r w:rsidRPr="00724A30">
        <w:t xml:space="preserve"> or </w:t>
      </w:r>
      <w:r>
        <w:t>95</w:t>
      </w:r>
      <w:r w:rsidRPr="00724A30">
        <w:t xml:space="preserve"> %, respectively</w:t>
      </w:r>
      <w:r>
        <w:t>).</w:t>
      </w:r>
    </w:p>
    <w:p w14:paraId="5E04501E" w14:textId="77777777" w:rsidR="003A69C4" w:rsidRDefault="003A69C4" w:rsidP="005D38D3">
      <w:pPr>
        <w:pStyle w:val="ListParagraph"/>
        <w:spacing w:after="120"/>
        <w:ind w:left="0"/>
        <w:rPr>
          <w:b/>
        </w:rPr>
      </w:pPr>
    </w:p>
    <w:p w14:paraId="66827C5E" w14:textId="2A29F075" w:rsidR="005D38D3" w:rsidRPr="00724A30" w:rsidRDefault="005D38D3" w:rsidP="005D38D3">
      <w:pPr>
        <w:pStyle w:val="Caption"/>
        <w:rPr>
          <w:szCs w:val="22"/>
        </w:rPr>
      </w:pPr>
      <w:bookmarkStart w:id="294" w:name="_Ref392779004"/>
      <w:bookmarkStart w:id="295" w:name="_Toc454304624"/>
      <w:r w:rsidRPr="00724A30">
        <w:rPr>
          <w:szCs w:val="22"/>
        </w:rPr>
        <w:t xml:space="preserve">Table </w:t>
      </w:r>
      <w:r w:rsidR="00445BD2">
        <w:rPr>
          <w:szCs w:val="22"/>
        </w:rPr>
        <w:fldChar w:fldCharType="begin"/>
      </w:r>
      <w:r w:rsidR="00445BD2">
        <w:rPr>
          <w:szCs w:val="22"/>
        </w:rPr>
        <w:instrText xml:space="preserve"> STYLEREF 1 \s </w:instrText>
      </w:r>
      <w:r w:rsidR="00445BD2">
        <w:rPr>
          <w:szCs w:val="22"/>
        </w:rPr>
        <w:fldChar w:fldCharType="separate"/>
      </w:r>
      <w:r w:rsidR="000E22F3">
        <w:rPr>
          <w:noProof/>
          <w:szCs w:val="22"/>
        </w:rPr>
        <w:t>5</w:t>
      </w:r>
      <w:r w:rsidR="00445BD2">
        <w:rPr>
          <w:szCs w:val="22"/>
        </w:rPr>
        <w:fldChar w:fldCharType="end"/>
      </w:r>
      <w:r w:rsidR="00445BD2">
        <w:rPr>
          <w:szCs w:val="22"/>
        </w:rPr>
        <w:noBreakHyphen/>
      </w:r>
      <w:r w:rsidR="00445BD2">
        <w:rPr>
          <w:szCs w:val="22"/>
        </w:rPr>
        <w:fldChar w:fldCharType="begin"/>
      </w:r>
      <w:r w:rsidR="00445BD2">
        <w:rPr>
          <w:szCs w:val="22"/>
        </w:rPr>
        <w:instrText xml:space="preserve"> SEQ Table \* ARABIC \s 1 </w:instrText>
      </w:r>
      <w:r w:rsidR="00445BD2">
        <w:rPr>
          <w:szCs w:val="22"/>
        </w:rPr>
        <w:fldChar w:fldCharType="separate"/>
      </w:r>
      <w:r w:rsidR="000E22F3">
        <w:rPr>
          <w:noProof/>
          <w:szCs w:val="22"/>
        </w:rPr>
        <w:t>5</w:t>
      </w:r>
      <w:r w:rsidR="00445BD2">
        <w:rPr>
          <w:szCs w:val="22"/>
        </w:rPr>
        <w:fldChar w:fldCharType="end"/>
      </w:r>
      <w:bookmarkEnd w:id="294"/>
      <w:r w:rsidRPr="00724A30">
        <w:rPr>
          <w:szCs w:val="22"/>
        </w:rPr>
        <w:t>: Areas (km</w:t>
      </w:r>
      <w:r w:rsidRPr="00B6097A">
        <w:rPr>
          <w:szCs w:val="22"/>
          <w:vertAlign w:val="superscript"/>
        </w:rPr>
        <w:t>2</w:t>
      </w:r>
      <w:r w:rsidRPr="00724A30">
        <w:rPr>
          <w:szCs w:val="22"/>
        </w:rPr>
        <w:t>) and percentage (%) of the GBR lagoon exposed to different categories of river plume frequency and river plume-related risk within the GBR and each NRM.</w:t>
      </w:r>
      <w:r w:rsidR="000F1641" w:rsidRPr="000F1641">
        <w:t xml:space="preserve"> </w:t>
      </w:r>
      <w:r w:rsidR="000F1641">
        <w:t>S</w:t>
      </w:r>
      <w:r w:rsidR="000F1641" w:rsidRPr="000F1641">
        <w:rPr>
          <w:rFonts w:eastAsia="Calibri"/>
        </w:rPr>
        <w:t xml:space="preserve">urface areas </w:t>
      </w:r>
      <w:r w:rsidR="000F1641">
        <w:rPr>
          <w:rFonts w:eastAsia="Calibri"/>
        </w:rPr>
        <w:t>south of the GBR marine park boundary (</w:t>
      </w:r>
      <w:r w:rsidR="000F1641" w:rsidRPr="000F1641">
        <w:rPr>
          <w:rFonts w:eastAsia="Calibri"/>
        </w:rPr>
        <w:t>Hervey Bay</w:t>
      </w:r>
      <w:r w:rsidR="000F1641">
        <w:rPr>
          <w:rFonts w:eastAsia="Calibri"/>
        </w:rPr>
        <w:t>)</w:t>
      </w:r>
      <w:r w:rsidR="000F1641" w:rsidRPr="000F1641">
        <w:rPr>
          <w:rFonts w:eastAsia="Calibri"/>
        </w:rPr>
        <w:t xml:space="preserve"> </w:t>
      </w:r>
      <w:r w:rsidR="000F1641">
        <w:rPr>
          <w:rFonts w:eastAsia="Calibri"/>
        </w:rPr>
        <w:t xml:space="preserve">are not </w:t>
      </w:r>
      <w:r w:rsidR="000F1641" w:rsidRPr="000F1641">
        <w:rPr>
          <w:rFonts w:eastAsia="Calibri"/>
        </w:rPr>
        <w:t>included</w:t>
      </w:r>
      <w:r w:rsidR="000F1641">
        <w:rPr>
          <w:rFonts w:eastAsia="Calibri"/>
        </w:rPr>
        <w:t>.</w:t>
      </w:r>
      <w:bookmarkEnd w:id="295"/>
    </w:p>
    <w:tbl>
      <w:tblPr>
        <w:tblW w:w="5000" w:type="pct"/>
        <w:tblLook w:val="04A0" w:firstRow="1" w:lastRow="0" w:firstColumn="1" w:lastColumn="0" w:noHBand="0" w:noVBand="1"/>
        <w:tblCaption w:val="Table 5-5"/>
        <w:tblDescription w:val="Areas (km2) and percentage (%) of the GBR lagoon exposed to different categories of river plume frequency and river plume-related risk within the GBR and each NRM. Surface areas south of the GBR marine park boundary (Hervey Bay) are not included."/>
      </w:tblPr>
      <w:tblGrid>
        <w:gridCol w:w="2021"/>
        <w:gridCol w:w="586"/>
        <w:gridCol w:w="876"/>
        <w:gridCol w:w="775"/>
        <w:gridCol w:w="819"/>
        <w:gridCol w:w="775"/>
        <w:gridCol w:w="943"/>
        <w:gridCol w:w="1041"/>
        <w:gridCol w:w="1407"/>
      </w:tblGrid>
      <w:tr w:rsidR="005D38D3" w:rsidRPr="00925C94" w14:paraId="768011C3" w14:textId="77777777" w:rsidTr="00A35C25">
        <w:trPr>
          <w:trHeight w:val="300"/>
        </w:trPr>
        <w:tc>
          <w:tcPr>
            <w:tcW w:w="1115" w:type="pct"/>
            <w:tcBorders>
              <w:top w:val="nil"/>
              <w:left w:val="nil"/>
              <w:bottom w:val="nil"/>
              <w:right w:val="nil"/>
            </w:tcBorders>
            <w:shd w:val="clear" w:color="auto" w:fill="auto"/>
            <w:noWrap/>
            <w:vAlign w:val="center"/>
            <w:hideMark/>
          </w:tcPr>
          <w:p w14:paraId="36EA0A73" w14:textId="77777777" w:rsidR="005D38D3" w:rsidRPr="00925C94" w:rsidRDefault="005D38D3" w:rsidP="00A35C25">
            <w:pPr>
              <w:spacing w:before="0" w:after="0"/>
              <w:jc w:val="center"/>
              <w:rPr>
                <w:rFonts w:ascii="Calibri" w:hAnsi="Calibri" w:cs="Times New Roman"/>
                <w:color w:val="000000"/>
                <w:sz w:val="20"/>
                <w:szCs w:val="20"/>
              </w:rPr>
            </w:pPr>
          </w:p>
        </w:tc>
        <w:tc>
          <w:tcPr>
            <w:tcW w:w="325" w:type="pct"/>
            <w:tcBorders>
              <w:top w:val="nil"/>
              <w:left w:val="nil"/>
              <w:bottom w:val="nil"/>
              <w:right w:val="nil"/>
            </w:tcBorders>
            <w:shd w:val="clear" w:color="auto" w:fill="auto"/>
            <w:noWrap/>
            <w:vAlign w:val="center"/>
            <w:hideMark/>
          </w:tcPr>
          <w:p w14:paraId="4B9FB19F" w14:textId="77777777" w:rsidR="005D38D3" w:rsidRPr="00925C94" w:rsidRDefault="005D38D3" w:rsidP="00A35C25">
            <w:pPr>
              <w:spacing w:before="0" w:after="0"/>
              <w:jc w:val="center"/>
              <w:rPr>
                <w:rFonts w:ascii="Calibri" w:hAnsi="Calibri" w:cs="Times New Roman"/>
                <w:color w:val="000000"/>
                <w:sz w:val="20"/>
                <w:szCs w:val="20"/>
              </w:rPr>
            </w:pPr>
          </w:p>
        </w:tc>
        <w:tc>
          <w:tcPr>
            <w:tcW w:w="430" w:type="pct"/>
            <w:tcBorders>
              <w:top w:val="nil"/>
              <w:left w:val="nil"/>
              <w:bottom w:val="nil"/>
              <w:right w:val="nil"/>
            </w:tcBorders>
            <w:shd w:val="clear" w:color="auto" w:fill="auto"/>
            <w:noWrap/>
            <w:vAlign w:val="center"/>
            <w:hideMark/>
          </w:tcPr>
          <w:p w14:paraId="486E046B" w14:textId="77777777" w:rsidR="005D38D3" w:rsidRPr="00925C94" w:rsidRDefault="005D38D3" w:rsidP="00B755E6">
            <w:pPr>
              <w:spacing w:before="0" w:after="0"/>
              <w:jc w:val="center"/>
              <w:rPr>
                <w:rFonts w:ascii="Calibri" w:hAnsi="Calibri" w:cs="Times New Roman"/>
                <w:color w:val="000000"/>
                <w:sz w:val="20"/>
                <w:szCs w:val="20"/>
              </w:rPr>
            </w:pPr>
          </w:p>
        </w:tc>
        <w:tc>
          <w:tcPr>
            <w:tcW w:w="1764" w:type="pct"/>
            <w:gridSpan w:val="4"/>
            <w:tcBorders>
              <w:top w:val="single" w:sz="4" w:space="0" w:color="auto"/>
              <w:left w:val="single" w:sz="4" w:space="0" w:color="auto"/>
              <w:bottom w:val="single" w:sz="4" w:space="0" w:color="auto"/>
              <w:right w:val="nil"/>
            </w:tcBorders>
            <w:shd w:val="clear" w:color="000000" w:fill="F2F2F2"/>
            <w:noWrap/>
            <w:vAlign w:val="center"/>
            <w:hideMark/>
          </w:tcPr>
          <w:p w14:paraId="3FAC46AD" w14:textId="77777777" w:rsidR="005D38D3" w:rsidRPr="00925C94" w:rsidRDefault="005D38D3" w:rsidP="00F22F6C">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Risk category</w:t>
            </w:r>
          </w:p>
        </w:tc>
        <w:tc>
          <w:tcPr>
            <w:tcW w:w="584" w:type="pct"/>
            <w:vMerge w:val="restart"/>
            <w:tcBorders>
              <w:top w:val="single" w:sz="4" w:space="0" w:color="auto"/>
              <w:left w:val="nil"/>
              <w:bottom w:val="single" w:sz="4" w:space="0" w:color="000000"/>
              <w:right w:val="nil"/>
            </w:tcBorders>
            <w:shd w:val="clear" w:color="000000" w:fill="F2DCDB"/>
            <w:vAlign w:val="center"/>
            <w:hideMark/>
          </w:tcPr>
          <w:p w14:paraId="4F203177" w14:textId="77777777" w:rsidR="005D38D3" w:rsidRPr="00925C94" w:rsidRDefault="005D38D3" w:rsidP="00CF0671">
            <w:pPr>
              <w:spacing w:before="0" w:after="0"/>
              <w:jc w:val="center"/>
              <w:rPr>
                <w:rFonts w:ascii="Calibri" w:hAnsi="Calibri" w:cs="Times New Roman"/>
                <w:b/>
                <w:bCs/>
                <w:sz w:val="20"/>
                <w:szCs w:val="20"/>
              </w:rPr>
            </w:pPr>
            <w:r w:rsidRPr="00925C94">
              <w:rPr>
                <w:rFonts w:ascii="Calibri" w:hAnsi="Calibri" w:cs="Times New Roman"/>
                <w:b/>
                <w:bCs/>
                <w:sz w:val="20"/>
                <w:szCs w:val="20"/>
              </w:rPr>
              <w:t>TOT exposed</w:t>
            </w:r>
          </w:p>
        </w:tc>
        <w:tc>
          <w:tcPr>
            <w:tcW w:w="782" w:type="pct"/>
            <w:vMerge w:val="restart"/>
            <w:tcBorders>
              <w:top w:val="single" w:sz="4" w:space="0" w:color="auto"/>
              <w:left w:val="nil"/>
              <w:bottom w:val="single" w:sz="4" w:space="0" w:color="000000"/>
              <w:right w:val="single" w:sz="4" w:space="0" w:color="auto"/>
            </w:tcBorders>
            <w:shd w:val="clear" w:color="000000" w:fill="F2DCDB"/>
            <w:vAlign w:val="center"/>
            <w:hideMark/>
          </w:tcPr>
          <w:p w14:paraId="21167B2C" w14:textId="77777777" w:rsidR="005D38D3" w:rsidRPr="00925C94" w:rsidRDefault="005D38D3" w:rsidP="00CF0671">
            <w:pPr>
              <w:spacing w:before="0" w:after="0"/>
              <w:jc w:val="center"/>
              <w:rPr>
                <w:rFonts w:ascii="Calibri" w:hAnsi="Calibri" w:cs="Times New Roman"/>
                <w:b/>
                <w:bCs/>
                <w:sz w:val="20"/>
                <w:szCs w:val="20"/>
              </w:rPr>
            </w:pPr>
            <w:r w:rsidRPr="00925C94">
              <w:rPr>
                <w:rFonts w:ascii="Calibri" w:hAnsi="Calibri" w:cs="Times New Roman"/>
                <w:b/>
                <w:bCs/>
                <w:sz w:val="20"/>
                <w:szCs w:val="20"/>
              </w:rPr>
              <w:t>TOT non exposed</w:t>
            </w:r>
          </w:p>
        </w:tc>
      </w:tr>
      <w:tr w:rsidR="005D38D3" w:rsidRPr="00925C94" w14:paraId="4A972537" w14:textId="77777777" w:rsidTr="00A35C25">
        <w:trPr>
          <w:trHeight w:val="300"/>
        </w:trPr>
        <w:tc>
          <w:tcPr>
            <w:tcW w:w="1440" w:type="pct"/>
            <w:gridSpan w:val="2"/>
            <w:tcBorders>
              <w:top w:val="single" w:sz="4" w:space="0" w:color="auto"/>
              <w:left w:val="single" w:sz="4" w:space="0" w:color="auto"/>
              <w:bottom w:val="single" w:sz="4" w:space="0" w:color="auto"/>
              <w:right w:val="single" w:sz="4" w:space="0" w:color="000000"/>
            </w:tcBorders>
            <w:shd w:val="clear" w:color="000000" w:fill="F2F2F2"/>
            <w:noWrap/>
            <w:vAlign w:val="center"/>
            <w:hideMark/>
          </w:tcPr>
          <w:p w14:paraId="2A364A52" w14:textId="77777777" w:rsidR="005D38D3" w:rsidRPr="00925C94" w:rsidRDefault="005D38D3" w:rsidP="00A35C25">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NRM</w:t>
            </w:r>
          </w:p>
        </w:tc>
        <w:tc>
          <w:tcPr>
            <w:tcW w:w="430" w:type="pct"/>
            <w:tcBorders>
              <w:top w:val="single" w:sz="4" w:space="0" w:color="auto"/>
              <w:left w:val="nil"/>
              <w:bottom w:val="nil"/>
              <w:right w:val="single" w:sz="4" w:space="0" w:color="auto"/>
            </w:tcBorders>
            <w:shd w:val="clear" w:color="000000" w:fill="F2F2F2"/>
            <w:noWrap/>
            <w:vAlign w:val="center"/>
            <w:hideMark/>
          </w:tcPr>
          <w:p w14:paraId="7FCDF597" w14:textId="77777777" w:rsidR="005D38D3" w:rsidRPr="00925C94" w:rsidRDefault="005D38D3" w:rsidP="00A35C25">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Tot</w:t>
            </w:r>
          </w:p>
        </w:tc>
        <w:tc>
          <w:tcPr>
            <w:tcW w:w="377" w:type="pct"/>
            <w:tcBorders>
              <w:top w:val="nil"/>
              <w:left w:val="nil"/>
              <w:bottom w:val="nil"/>
              <w:right w:val="nil"/>
            </w:tcBorders>
            <w:shd w:val="clear" w:color="000000" w:fill="0070C0"/>
            <w:noWrap/>
            <w:vAlign w:val="center"/>
            <w:hideMark/>
          </w:tcPr>
          <w:p w14:paraId="1B539ED7" w14:textId="77777777" w:rsidR="005D38D3" w:rsidRPr="00925C94" w:rsidRDefault="005D38D3" w:rsidP="00B755E6">
            <w:pPr>
              <w:spacing w:before="0" w:after="0"/>
              <w:jc w:val="center"/>
              <w:rPr>
                <w:rFonts w:ascii="Calibri" w:hAnsi="Calibri" w:cs="Times New Roman"/>
                <w:b/>
                <w:bCs/>
                <w:color w:val="FFFFFF"/>
                <w:sz w:val="20"/>
                <w:szCs w:val="20"/>
              </w:rPr>
            </w:pPr>
            <w:r w:rsidRPr="00925C94">
              <w:rPr>
                <w:rFonts w:ascii="Calibri" w:hAnsi="Calibri" w:cs="Times New Roman"/>
                <w:b/>
                <w:bCs/>
                <w:color w:val="FFFFFF"/>
                <w:sz w:val="20"/>
                <w:szCs w:val="20"/>
              </w:rPr>
              <w:t>I</w:t>
            </w:r>
          </w:p>
        </w:tc>
        <w:tc>
          <w:tcPr>
            <w:tcW w:w="478" w:type="pct"/>
            <w:tcBorders>
              <w:top w:val="nil"/>
              <w:left w:val="nil"/>
              <w:bottom w:val="nil"/>
              <w:right w:val="nil"/>
            </w:tcBorders>
            <w:shd w:val="clear" w:color="000000" w:fill="00B050"/>
            <w:noWrap/>
            <w:vAlign w:val="center"/>
            <w:hideMark/>
          </w:tcPr>
          <w:p w14:paraId="720150AE" w14:textId="77777777" w:rsidR="005D38D3" w:rsidRPr="00925C94" w:rsidRDefault="005D38D3" w:rsidP="00F22F6C">
            <w:pPr>
              <w:spacing w:before="0" w:after="0"/>
              <w:jc w:val="center"/>
              <w:rPr>
                <w:rFonts w:ascii="Calibri" w:hAnsi="Calibri" w:cs="Times New Roman"/>
                <w:b/>
                <w:bCs/>
                <w:color w:val="FFFFFF"/>
                <w:sz w:val="20"/>
                <w:szCs w:val="20"/>
              </w:rPr>
            </w:pPr>
            <w:r w:rsidRPr="00925C94">
              <w:rPr>
                <w:rFonts w:ascii="Calibri" w:hAnsi="Calibri" w:cs="Times New Roman"/>
                <w:b/>
                <w:bCs/>
                <w:color w:val="FFFFFF"/>
                <w:sz w:val="20"/>
                <w:szCs w:val="20"/>
              </w:rPr>
              <w:t>II</w:t>
            </w:r>
          </w:p>
        </w:tc>
        <w:tc>
          <w:tcPr>
            <w:tcW w:w="377" w:type="pct"/>
            <w:tcBorders>
              <w:top w:val="nil"/>
              <w:left w:val="nil"/>
              <w:bottom w:val="nil"/>
              <w:right w:val="nil"/>
            </w:tcBorders>
            <w:shd w:val="clear" w:color="000000" w:fill="FF0000"/>
            <w:noWrap/>
            <w:vAlign w:val="center"/>
            <w:hideMark/>
          </w:tcPr>
          <w:p w14:paraId="3781145A" w14:textId="77777777" w:rsidR="005D38D3" w:rsidRPr="00925C94" w:rsidRDefault="005D38D3" w:rsidP="00CF0671">
            <w:pPr>
              <w:spacing w:before="0" w:after="0"/>
              <w:jc w:val="center"/>
              <w:rPr>
                <w:rFonts w:ascii="Calibri" w:hAnsi="Calibri" w:cs="Times New Roman"/>
                <w:b/>
                <w:bCs/>
                <w:color w:val="FFFFFF"/>
                <w:sz w:val="20"/>
                <w:szCs w:val="20"/>
              </w:rPr>
            </w:pPr>
            <w:r w:rsidRPr="00925C94">
              <w:rPr>
                <w:rFonts w:ascii="Calibri" w:hAnsi="Calibri" w:cs="Times New Roman"/>
                <w:b/>
                <w:bCs/>
                <w:color w:val="FFFFFF"/>
                <w:sz w:val="20"/>
                <w:szCs w:val="20"/>
              </w:rPr>
              <w:t>III</w:t>
            </w:r>
          </w:p>
        </w:tc>
        <w:tc>
          <w:tcPr>
            <w:tcW w:w="532" w:type="pct"/>
            <w:tcBorders>
              <w:top w:val="nil"/>
              <w:left w:val="nil"/>
              <w:bottom w:val="nil"/>
              <w:right w:val="nil"/>
            </w:tcBorders>
            <w:shd w:val="clear" w:color="000000" w:fill="C00000"/>
            <w:noWrap/>
            <w:vAlign w:val="center"/>
            <w:hideMark/>
          </w:tcPr>
          <w:p w14:paraId="6DF6A552" w14:textId="77777777" w:rsidR="005D38D3" w:rsidRPr="00925C94" w:rsidRDefault="005D38D3" w:rsidP="00CF0671">
            <w:pPr>
              <w:spacing w:before="0" w:after="0"/>
              <w:jc w:val="center"/>
              <w:rPr>
                <w:rFonts w:ascii="Calibri" w:hAnsi="Calibri" w:cs="Times New Roman"/>
                <w:b/>
                <w:bCs/>
                <w:color w:val="FFFFFF"/>
                <w:sz w:val="20"/>
                <w:szCs w:val="20"/>
              </w:rPr>
            </w:pPr>
            <w:r w:rsidRPr="00925C94">
              <w:rPr>
                <w:rFonts w:ascii="Calibri" w:hAnsi="Calibri" w:cs="Times New Roman"/>
                <w:b/>
                <w:bCs/>
                <w:color w:val="FFFFFF"/>
                <w:sz w:val="20"/>
                <w:szCs w:val="20"/>
              </w:rPr>
              <w:t>IV</w:t>
            </w:r>
          </w:p>
        </w:tc>
        <w:tc>
          <w:tcPr>
            <w:tcW w:w="584" w:type="pct"/>
            <w:vMerge/>
            <w:tcBorders>
              <w:top w:val="single" w:sz="4" w:space="0" w:color="auto"/>
              <w:left w:val="nil"/>
              <w:bottom w:val="single" w:sz="4" w:space="0" w:color="000000"/>
              <w:right w:val="nil"/>
            </w:tcBorders>
            <w:vAlign w:val="center"/>
            <w:hideMark/>
          </w:tcPr>
          <w:p w14:paraId="2A3138D2" w14:textId="77777777" w:rsidR="005D38D3" w:rsidRPr="00925C94" w:rsidRDefault="005D38D3">
            <w:pPr>
              <w:spacing w:before="0" w:after="0"/>
              <w:jc w:val="center"/>
              <w:rPr>
                <w:rFonts w:ascii="Calibri" w:hAnsi="Calibri" w:cs="Times New Roman"/>
                <w:b/>
                <w:bCs/>
                <w:sz w:val="20"/>
                <w:szCs w:val="20"/>
              </w:rPr>
            </w:pPr>
          </w:p>
        </w:tc>
        <w:tc>
          <w:tcPr>
            <w:tcW w:w="782" w:type="pct"/>
            <w:vMerge/>
            <w:tcBorders>
              <w:top w:val="single" w:sz="4" w:space="0" w:color="auto"/>
              <w:left w:val="nil"/>
              <w:bottom w:val="single" w:sz="4" w:space="0" w:color="000000"/>
              <w:right w:val="single" w:sz="4" w:space="0" w:color="auto"/>
            </w:tcBorders>
            <w:vAlign w:val="center"/>
            <w:hideMark/>
          </w:tcPr>
          <w:p w14:paraId="3D5D97D9" w14:textId="77777777" w:rsidR="005D38D3" w:rsidRPr="00925C94" w:rsidRDefault="005D38D3">
            <w:pPr>
              <w:spacing w:before="0" w:after="0"/>
              <w:jc w:val="center"/>
              <w:rPr>
                <w:rFonts w:ascii="Calibri" w:hAnsi="Calibri" w:cs="Times New Roman"/>
                <w:b/>
                <w:bCs/>
                <w:sz w:val="20"/>
                <w:szCs w:val="20"/>
              </w:rPr>
            </w:pPr>
          </w:p>
        </w:tc>
      </w:tr>
      <w:tr w:rsidR="005D38D3" w:rsidRPr="00925C94" w14:paraId="6B6A02F2" w14:textId="77777777" w:rsidTr="00A35C25">
        <w:trPr>
          <w:trHeight w:val="300"/>
        </w:trPr>
        <w:tc>
          <w:tcPr>
            <w:tcW w:w="1115" w:type="pct"/>
            <w:vMerge w:val="restart"/>
            <w:tcBorders>
              <w:top w:val="single" w:sz="4" w:space="0" w:color="auto"/>
              <w:left w:val="single" w:sz="4" w:space="0" w:color="auto"/>
              <w:bottom w:val="double" w:sz="6" w:space="0" w:color="000000"/>
              <w:right w:val="nil"/>
            </w:tcBorders>
            <w:shd w:val="clear" w:color="000000" w:fill="F2F2F2"/>
            <w:noWrap/>
            <w:vAlign w:val="center"/>
            <w:hideMark/>
          </w:tcPr>
          <w:p w14:paraId="237B9077" w14:textId="77777777" w:rsidR="005D38D3" w:rsidRPr="00925C94" w:rsidRDefault="005D38D3" w:rsidP="00A35C25">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GBR</w:t>
            </w:r>
          </w:p>
        </w:tc>
        <w:tc>
          <w:tcPr>
            <w:tcW w:w="325" w:type="pct"/>
            <w:tcBorders>
              <w:top w:val="single" w:sz="4" w:space="0" w:color="auto"/>
              <w:left w:val="single" w:sz="4" w:space="0" w:color="auto"/>
              <w:bottom w:val="nil"/>
              <w:right w:val="single" w:sz="4" w:space="0" w:color="auto"/>
            </w:tcBorders>
            <w:shd w:val="clear" w:color="000000" w:fill="F2F2F2"/>
            <w:noWrap/>
            <w:vAlign w:val="center"/>
            <w:hideMark/>
          </w:tcPr>
          <w:p w14:paraId="5661E4C5" w14:textId="77777777" w:rsidR="005D38D3" w:rsidRPr="00925C94" w:rsidRDefault="005D38D3" w:rsidP="00A35C25">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area</w:t>
            </w:r>
          </w:p>
        </w:tc>
        <w:tc>
          <w:tcPr>
            <w:tcW w:w="430" w:type="pct"/>
            <w:tcBorders>
              <w:top w:val="single" w:sz="4" w:space="0" w:color="auto"/>
              <w:left w:val="nil"/>
              <w:bottom w:val="nil"/>
              <w:right w:val="single" w:sz="4" w:space="0" w:color="auto"/>
            </w:tcBorders>
            <w:shd w:val="clear" w:color="000000" w:fill="F2F2F2"/>
            <w:noWrap/>
            <w:vAlign w:val="center"/>
            <w:hideMark/>
          </w:tcPr>
          <w:p w14:paraId="0492349C" w14:textId="77777777" w:rsidR="005D38D3" w:rsidRPr="00925C94" w:rsidRDefault="005D38D3" w:rsidP="00B755E6">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34</w:t>
            </w:r>
            <w:r w:rsidR="00CE2946" w:rsidRPr="00925C94">
              <w:rPr>
                <w:rFonts w:ascii="Calibri" w:hAnsi="Calibri" w:cs="Times New Roman"/>
                <w:b/>
                <w:bCs/>
                <w:color w:val="000000"/>
                <w:sz w:val="20"/>
                <w:szCs w:val="20"/>
              </w:rPr>
              <w:t>,</w:t>
            </w:r>
            <w:r w:rsidRPr="00925C94">
              <w:rPr>
                <w:rFonts w:ascii="Calibri" w:hAnsi="Calibri" w:cs="Times New Roman"/>
                <w:b/>
                <w:bCs/>
                <w:color w:val="000000"/>
                <w:sz w:val="20"/>
                <w:szCs w:val="20"/>
              </w:rPr>
              <w:t>8753</w:t>
            </w:r>
          </w:p>
        </w:tc>
        <w:tc>
          <w:tcPr>
            <w:tcW w:w="377" w:type="pct"/>
            <w:tcBorders>
              <w:top w:val="single" w:sz="4" w:space="0" w:color="auto"/>
              <w:left w:val="nil"/>
              <w:bottom w:val="nil"/>
              <w:right w:val="nil"/>
            </w:tcBorders>
            <w:shd w:val="clear" w:color="auto" w:fill="auto"/>
            <w:noWrap/>
            <w:vAlign w:val="center"/>
            <w:hideMark/>
          </w:tcPr>
          <w:p w14:paraId="77F8EC61" w14:textId="77777777" w:rsidR="005D38D3" w:rsidRPr="00925C94" w:rsidRDefault="005D38D3" w:rsidP="00F22F6C">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80</w:t>
            </w:r>
            <w:r w:rsidR="00AB3A5B" w:rsidRPr="00925C94">
              <w:rPr>
                <w:rFonts w:ascii="Calibri" w:hAnsi="Calibri" w:cs="Times New Roman"/>
                <w:b/>
                <w:bCs/>
                <w:color w:val="000000"/>
                <w:sz w:val="20"/>
                <w:szCs w:val="20"/>
              </w:rPr>
              <w:t>,</w:t>
            </w:r>
            <w:r w:rsidRPr="00925C94">
              <w:rPr>
                <w:rFonts w:ascii="Calibri" w:hAnsi="Calibri" w:cs="Times New Roman"/>
                <w:b/>
                <w:bCs/>
                <w:color w:val="000000"/>
                <w:sz w:val="20"/>
                <w:szCs w:val="20"/>
              </w:rPr>
              <w:t>158</w:t>
            </w:r>
          </w:p>
        </w:tc>
        <w:tc>
          <w:tcPr>
            <w:tcW w:w="478" w:type="pct"/>
            <w:tcBorders>
              <w:top w:val="single" w:sz="4" w:space="0" w:color="auto"/>
              <w:left w:val="nil"/>
              <w:bottom w:val="nil"/>
              <w:right w:val="nil"/>
            </w:tcBorders>
            <w:shd w:val="clear" w:color="auto" w:fill="auto"/>
            <w:noWrap/>
            <w:vAlign w:val="center"/>
            <w:hideMark/>
          </w:tcPr>
          <w:p w14:paraId="23914FC8" w14:textId="77777777" w:rsidR="005D38D3" w:rsidRPr="00925C94" w:rsidRDefault="005D38D3" w:rsidP="00CF0671">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76</w:t>
            </w:r>
            <w:r w:rsidR="00AB3A5B" w:rsidRPr="00925C94">
              <w:rPr>
                <w:rFonts w:ascii="Calibri" w:hAnsi="Calibri" w:cs="Times New Roman"/>
                <w:b/>
                <w:bCs/>
                <w:color w:val="000000"/>
                <w:sz w:val="20"/>
                <w:szCs w:val="20"/>
              </w:rPr>
              <w:t>,</w:t>
            </w:r>
            <w:r w:rsidRPr="00925C94">
              <w:rPr>
                <w:rFonts w:ascii="Calibri" w:hAnsi="Calibri" w:cs="Times New Roman"/>
                <w:b/>
                <w:bCs/>
                <w:color w:val="000000"/>
                <w:sz w:val="20"/>
                <w:szCs w:val="20"/>
              </w:rPr>
              <w:t>244</w:t>
            </w:r>
          </w:p>
        </w:tc>
        <w:tc>
          <w:tcPr>
            <w:tcW w:w="377" w:type="pct"/>
            <w:tcBorders>
              <w:top w:val="single" w:sz="4" w:space="0" w:color="auto"/>
              <w:left w:val="nil"/>
              <w:bottom w:val="nil"/>
              <w:right w:val="nil"/>
            </w:tcBorders>
            <w:shd w:val="clear" w:color="auto" w:fill="auto"/>
            <w:noWrap/>
            <w:vAlign w:val="center"/>
            <w:hideMark/>
          </w:tcPr>
          <w:p w14:paraId="18AE7FF4" w14:textId="77777777" w:rsidR="005D38D3" w:rsidRPr="00925C94" w:rsidRDefault="005D38D3" w:rsidP="00CF0671">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24</w:t>
            </w:r>
            <w:r w:rsidR="00AB3A5B" w:rsidRPr="00925C94">
              <w:rPr>
                <w:rFonts w:ascii="Calibri" w:hAnsi="Calibri" w:cs="Times New Roman"/>
                <w:b/>
                <w:bCs/>
                <w:color w:val="000000"/>
                <w:sz w:val="20"/>
                <w:szCs w:val="20"/>
              </w:rPr>
              <w:t>,</w:t>
            </w:r>
            <w:r w:rsidRPr="00925C94">
              <w:rPr>
                <w:rFonts w:ascii="Calibri" w:hAnsi="Calibri" w:cs="Times New Roman"/>
                <w:b/>
                <w:bCs/>
                <w:color w:val="000000"/>
                <w:sz w:val="20"/>
                <w:szCs w:val="20"/>
              </w:rPr>
              <w:t>083</w:t>
            </w:r>
          </w:p>
        </w:tc>
        <w:tc>
          <w:tcPr>
            <w:tcW w:w="532" w:type="pct"/>
            <w:tcBorders>
              <w:top w:val="single" w:sz="4" w:space="0" w:color="auto"/>
              <w:left w:val="nil"/>
              <w:bottom w:val="nil"/>
              <w:right w:val="nil"/>
            </w:tcBorders>
            <w:shd w:val="clear" w:color="auto" w:fill="auto"/>
            <w:noWrap/>
            <w:vAlign w:val="center"/>
            <w:hideMark/>
          </w:tcPr>
          <w:p w14:paraId="796F7460" w14:textId="77777777" w:rsidR="005D38D3" w:rsidRPr="00925C94" w:rsidRDefault="005D38D3" w:rsidP="00CF0671">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2</w:t>
            </w:r>
            <w:r w:rsidR="00AB3A5B" w:rsidRPr="00925C94">
              <w:rPr>
                <w:rFonts w:ascii="Calibri" w:hAnsi="Calibri" w:cs="Times New Roman"/>
                <w:b/>
                <w:bCs/>
                <w:color w:val="000000"/>
                <w:sz w:val="20"/>
                <w:szCs w:val="20"/>
              </w:rPr>
              <w:t>,</w:t>
            </w:r>
            <w:r w:rsidRPr="00925C94">
              <w:rPr>
                <w:rFonts w:ascii="Calibri" w:hAnsi="Calibri" w:cs="Times New Roman"/>
                <w:b/>
                <w:bCs/>
                <w:color w:val="000000"/>
                <w:sz w:val="20"/>
                <w:szCs w:val="20"/>
              </w:rPr>
              <w:t>467</w:t>
            </w:r>
          </w:p>
        </w:tc>
        <w:tc>
          <w:tcPr>
            <w:tcW w:w="584" w:type="pct"/>
            <w:tcBorders>
              <w:top w:val="nil"/>
              <w:left w:val="nil"/>
              <w:bottom w:val="nil"/>
              <w:right w:val="nil"/>
            </w:tcBorders>
            <w:shd w:val="clear" w:color="000000" w:fill="F2DCDB"/>
            <w:noWrap/>
            <w:vAlign w:val="center"/>
            <w:hideMark/>
          </w:tcPr>
          <w:p w14:paraId="43D084AE" w14:textId="77777777" w:rsidR="005D38D3" w:rsidRPr="00925C94" w:rsidRDefault="005D38D3" w:rsidP="00CF0671">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182</w:t>
            </w:r>
            <w:r w:rsidR="00AB3A5B" w:rsidRPr="00925C94">
              <w:rPr>
                <w:rFonts w:ascii="Calibri" w:hAnsi="Calibri" w:cs="Times New Roman"/>
                <w:b/>
                <w:bCs/>
                <w:color w:val="000000"/>
                <w:sz w:val="20"/>
                <w:szCs w:val="20"/>
              </w:rPr>
              <w:t>,</w:t>
            </w:r>
            <w:r w:rsidRPr="00925C94">
              <w:rPr>
                <w:rFonts w:ascii="Calibri" w:hAnsi="Calibri" w:cs="Times New Roman"/>
                <w:b/>
                <w:bCs/>
                <w:color w:val="000000"/>
                <w:sz w:val="20"/>
                <w:szCs w:val="20"/>
              </w:rPr>
              <w:t>952</w:t>
            </w:r>
          </w:p>
        </w:tc>
        <w:tc>
          <w:tcPr>
            <w:tcW w:w="782" w:type="pct"/>
            <w:tcBorders>
              <w:top w:val="nil"/>
              <w:left w:val="nil"/>
              <w:bottom w:val="nil"/>
              <w:right w:val="single" w:sz="4" w:space="0" w:color="auto"/>
            </w:tcBorders>
            <w:shd w:val="clear" w:color="000000" w:fill="F2DCDB"/>
            <w:noWrap/>
            <w:vAlign w:val="center"/>
            <w:hideMark/>
          </w:tcPr>
          <w:p w14:paraId="317EE027" w14:textId="77777777" w:rsidR="005D38D3" w:rsidRPr="00925C94" w:rsidRDefault="005D38D3" w:rsidP="00CF0671">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165</w:t>
            </w:r>
            <w:r w:rsidR="00AB3A5B" w:rsidRPr="00925C94">
              <w:rPr>
                <w:rFonts w:ascii="Calibri" w:hAnsi="Calibri" w:cs="Times New Roman"/>
                <w:b/>
                <w:bCs/>
                <w:color w:val="000000"/>
                <w:sz w:val="20"/>
                <w:szCs w:val="20"/>
              </w:rPr>
              <w:t>,</w:t>
            </w:r>
            <w:r w:rsidRPr="00925C94">
              <w:rPr>
                <w:rFonts w:ascii="Calibri" w:hAnsi="Calibri" w:cs="Times New Roman"/>
                <w:b/>
                <w:bCs/>
                <w:color w:val="000000"/>
                <w:sz w:val="20"/>
                <w:szCs w:val="20"/>
              </w:rPr>
              <w:t>801</w:t>
            </w:r>
          </w:p>
        </w:tc>
      </w:tr>
      <w:tr w:rsidR="005D38D3" w:rsidRPr="00925C94" w14:paraId="0A789739" w14:textId="77777777" w:rsidTr="00A35C25">
        <w:trPr>
          <w:trHeight w:val="315"/>
        </w:trPr>
        <w:tc>
          <w:tcPr>
            <w:tcW w:w="1115" w:type="pct"/>
            <w:vMerge/>
            <w:tcBorders>
              <w:top w:val="single" w:sz="4" w:space="0" w:color="auto"/>
              <w:left w:val="single" w:sz="4" w:space="0" w:color="auto"/>
              <w:bottom w:val="double" w:sz="6" w:space="0" w:color="000000"/>
              <w:right w:val="nil"/>
            </w:tcBorders>
            <w:vAlign w:val="center"/>
            <w:hideMark/>
          </w:tcPr>
          <w:p w14:paraId="5CFFE264" w14:textId="77777777" w:rsidR="005D38D3" w:rsidRPr="00925C94" w:rsidRDefault="005D38D3" w:rsidP="0065493C">
            <w:pPr>
              <w:spacing w:before="0" w:after="0"/>
              <w:jc w:val="center"/>
              <w:rPr>
                <w:rFonts w:ascii="Calibri" w:hAnsi="Calibri" w:cs="Times New Roman"/>
                <w:b/>
                <w:bCs/>
                <w:color w:val="000000"/>
                <w:sz w:val="20"/>
                <w:szCs w:val="20"/>
              </w:rPr>
            </w:pPr>
          </w:p>
        </w:tc>
        <w:tc>
          <w:tcPr>
            <w:tcW w:w="325" w:type="pct"/>
            <w:tcBorders>
              <w:top w:val="nil"/>
              <w:left w:val="single" w:sz="4" w:space="0" w:color="auto"/>
              <w:bottom w:val="double" w:sz="6" w:space="0" w:color="auto"/>
              <w:right w:val="single" w:sz="4" w:space="0" w:color="auto"/>
            </w:tcBorders>
            <w:shd w:val="clear" w:color="000000" w:fill="F2F2F2"/>
            <w:noWrap/>
            <w:vAlign w:val="center"/>
            <w:hideMark/>
          </w:tcPr>
          <w:p w14:paraId="5F9D067F" w14:textId="77777777" w:rsidR="005D38D3" w:rsidRPr="00925C94" w:rsidRDefault="005D38D3" w:rsidP="0065493C">
            <w:pPr>
              <w:spacing w:before="0" w:after="0"/>
              <w:jc w:val="center"/>
              <w:rPr>
                <w:rFonts w:ascii="Calibri" w:hAnsi="Calibri" w:cs="Times New Roman"/>
                <w:b/>
                <w:bCs/>
                <w:i/>
                <w:iCs/>
                <w:color w:val="000000"/>
                <w:sz w:val="20"/>
                <w:szCs w:val="20"/>
              </w:rPr>
            </w:pPr>
            <w:r w:rsidRPr="00925C94">
              <w:rPr>
                <w:rFonts w:ascii="Calibri" w:hAnsi="Calibri" w:cs="Times New Roman"/>
                <w:b/>
                <w:bCs/>
                <w:i/>
                <w:iCs/>
                <w:color w:val="000000"/>
                <w:sz w:val="20"/>
                <w:szCs w:val="20"/>
              </w:rPr>
              <w:t>%</w:t>
            </w:r>
          </w:p>
        </w:tc>
        <w:tc>
          <w:tcPr>
            <w:tcW w:w="430" w:type="pct"/>
            <w:tcBorders>
              <w:top w:val="nil"/>
              <w:left w:val="nil"/>
              <w:bottom w:val="double" w:sz="6" w:space="0" w:color="auto"/>
              <w:right w:val="single" w:sz="4" w:space="0" w:color="auto"/>
            </w:tcBorders>
            <w:shd w:val="clear" w:color="000000" w:fill="F2F2F2"/>
            <w:noWrap/>
            <w:vAlign w:val="center"/>
            <w:hideMark/>
          </w:tcPr>
          <w:p w14:paraId="260F0CC1" w14:textId="77777777" w:rsidR="005D38D3" w:rsidRPr="00925C94" w:rsidRDefault="005D38D3" w:rsidP="0065493C">
            <w:pPr>
              <w:spacing w:before="0" w:after="0"/>
              <w:jc w:val="center"/>
              <w:rPr>
                <w:rFonts w:ascii="Calibri" w:hAnsi="Calibri" w:cs="Times New Roman"/>
                <w:b/>
                <w:bCs/>
                <w:i/>
                <w:iCs/>
                <w:color w:val="000000"/>
                <w:sz w:val="20"/>
                <w:szCs w:val="20"/>
              </w:rPr>
            </w:pPr>
            <w:r w:rsidRPr="00925C94">
              <w:rPr>
                <w:rFonts w:ascii="Calibri" w:hAnsi="Calibri" w:cs="Times New Roman"/>
                <w:b/>
                <w:bCs/>
                <w:i/>
                <w:iCs/>
                <w:color w:val="000000"/>
                <w:sz w:val="20"/>
                <w:szCs w:val="20"/>
              </w:rPr>
              <w:t>100%</w:t>
            </w:r>
          </w:p>
        </w:tc>
        <w:tc>
          <w:tcPr>
            <w:tcW w:w="377" w:type="pct"/>
            <w:tcBorders>
              <w:top w:val="nil"/>
              <w:left w:val="nil"/>
              <w:bottom w:val="double" w:sz="6" w:space="0" w:color="auto"/>
              <w:right w:val="nil"/>
            </w:tcBorders>
            <w:shd w:val="clear" w:color="auto" w:fill="auto"/>
            <w:noWrap/>
            <w:vAlign w:val="center"/>
            <w:hideMark/>
          </w:tcPr>
          <w:p w14:paraId="2A69210E" w14:textId="77777777" w:rsidR="005D38D3" w:rsidRPr="00925C94" w:rsidRDefault="005D38D3" w:rsidP="0065493C">
            <w:pPr>
              <w:spacing w:before="0" w:after="0"/>
              <w:jc w:val="center"/>
              <w:rPr>
                <w:rFonts w:ascii="Calibri" w:hAnsi="Calibri" w:cs="Times New Roman"/>
                <w:b/>
                <w:bCs/>
                <w:i/>
                <w:iCs/>
                <w:color w:val="000000"/>
                <w:sz w:val="20"/>
                <w:szCs w:val="20"/>
              </w:rPr>
            </w:pPr>
            <w:r w:rsidRPr="00925C94">
              <w:rPr>
                <w:rFonts w:ascii="Calibri" w:hAnsi="Calibri" w:cs="Times New Roman"/>
                <w:b/>
                <w:bCs/>
                <w:i/>
                <w:iCs/>
                <w:color w:val="000000"/>
                <w:sz w:val="20"/>
                <w:szCs w:val="20"/>
              </w:rPr>
              <w:t>23%</w:t>
            </w:r>
          </w:p>
        </w:tc>
        <w:tc>
          <w:tcPr>
            <w:tcW w:w="478" w:type="pct"/>
            <w:tcBorders>
              <w:top w:val="nil"/>
              <w:left w:val="nil"/>
              <w:bottom w:val="double" w:sz="6" w:space="0" w:color="auto"/>
              <w:right w:val="nil"/>
            </w:tcBorders>
            <w:shd w:val="clear" w:color="auto" w:fill="auto"/>
            <w:noWrap/>
            <w:vAlign w:val="center"/>
            <w:hideMark/>
          </w:tcPr>
          <w:p w14:paraId="1E25E0DE" w14:textId="77777777" w:rsidR="005D38D3" w:rsidRPr="00925C94" w:rsidRDefault="005D38D3" w:rsidP="0065493C">
            <w:pPr>
              <w:spacing w:before="0" w:after="0"/>
              <w:jc w:val="center"/>
              <w:rPr>
                <w:rFonts w:ascii="Calibri" w:hAnsi="Calibri" w:cs="Times New Roman"/>
                <w:b/>
                <w:bCs/>
                <w:i/>
                <w:iCs/>
                <w:color w:val="000000"/>
                <w:sz w:val="20"/>
                <w:szCs w:val="20"/>
              </w:rPr>
            </w:pPr>
            <w:r w:rsidRPr="00925C94">
              <w:rPr>
                <w:rFonts w:ascii="Calibri" w:hAnsi="Calibri" w:cs="Times New Roman"/>
                <w:b/>
                <w:bCs/>
                <w:i/>
                <w:iCs/>
                <w:color w:val="000000"/>
                <w:sz w:val="20"/>
                <w:szCs w:val="20"/>
              </w:rPr>
              <w:t>22%</w:t>
            </w:r>
          </w:p>
        </w:tc>
        <w:tc>
          <w:tcPr>
            <w:tcW w:w="377" w:type="pct"/>
            <w:tcBorders>
              <w:top w:val="nil"/>
              <w:left w:val="nil"/>
              <w:bottom w:val="double" w:sz="6" w:space="0" w:color="auto"/>
              <w:right w:val="nil"/>
            </w:tcBorders>
            <w:shd w:val="clear" w:color="auto" w:fill="auto"/>
            <w:noWrap/>
            <w:vAlign w:val="center"/>
            <w:hideMark/>
          </w:tcPr>
          <w:p w14:paraId="2E3062C4" w14:textId="77777777" w:rsidR="005D38D3" w:rsidRPr="00925C94" w:rsidRDefault="005D38D3" w:rsidP="0065493C">
            <w:pPr>
              <w:spacing w:before="0" w:after="0"/>
              <w:jc w:val="center"/>
              <w:rPr>
                <w:rFonts w:ascii="Calibri" w:hAnsi="Calibri" w:cs="Times New Roman"/>
                <w:b/>
                <w:bCs/>
                <w:i/>
                <w:iCs/>
                <w:color w:val="000000"/>
                <w:sz w:val="20"/>
                <w:szCs w:val="20"/>
              </w:rPr>
            </w:pPr>
            <w:r w:rsidRPr="00925C94">
              <w:rPr>
                <w:rFonts w:ascii="Calibri" w:hAnsi="Calibri" w:cs="Times New Roman"/>
                <w:b/>
                <w:bCs/>
                <w:i/>
                <w:iCs/>
                <w:color w:val="000000"/>
                <w:sz w:val="20"/>
                <w:szCs w:val="20"/>
              </w:rPr>
              <w:t>7%</w:t>
            </w:r>
          </w:p>
        </w:tc>
        <w:tc>
          <w:tcPr>
            <w:tcW w:w="532" w:type="pct"/>
            <w:tcBorders>
              <w:top w:val="nil"/>
              <w:left w:val="nil"/>
              <w:bottom w:val="double" w:sz="6" w:space="0" w:color="auto"/>
              <w:right w:val="nil"/>
            </w:tcBorders>
            <w:shd w:val="clear" w:color="auto" w:fill="auto"/>
            <w:noWrap/>
            <w:vAlign w:val="center"/>
            <w:hideMark/>
          </w:tcPr>
          <w:p w14:paraId="1149C2F0" w14:textId="77777777" w:rsidR="005D38D3" w:rsidRPr="00925C94" w:rsidRDefault="005D38D3" w:rsidP="0065493C">
            <w:pPr>
              <w:spacing w:before="0" w:after="0"/>
              <w:jc w:val="center"/>
              <w:rPr>
                <w:rFonts w:ascii="Calibri" w:hAnsi="Calibri" w:cs="Times New Roman"/>
                <w:b/>
                <w:bCs/>
                <w:i/>
                <w:iCs/>
                <w:color w:val="000000"/>
                <w:sz w:val="20"/>
                <w:szCs w:val="20"/>
              </w:rPr>
            </w:pPr>
            <w:r w:rsidRPr="00925C94">
              <w:rPr>
                <w:rFonts w:ascii="Calibri" w:hAnsi="Calibri" w:cs="Times New Roman"/>
                <w:b/>
                <w:bCs/>
                <w:i/>
                <w:iCs/>
                <w:color w:val="000000"/>
                <w:sz w:val="20"/>
                <w:szCs w:val="20"/>
              </w:rPr>
              <w:t>1%</w:t>
            </w:r>
          </w:p>
        </w:tc>
        <w:tc>
          <w:tcPr>
            <w:tcW w:w="584" w:type="pct"/>
            <w:tcBorders>
              <w:top w:val="nil"/>
              <w:left w:val="nil"/>
              <w:bottom w:val="double" w:sz="6" w:space="0" w:color="auto"/>
              <w:right w:val="nil"/>
            </w:tcBorders>
            <w:shd w:val="clear" w:color="000000" w:fill="F2DCDB"/>
            <w:noWrap/>
            <w:vAlign w:val="center"/>
            <w:hideMark/>
          </w:tcPr>
          <w:p w14:paraId="55C81A79" w14:textId="77777777" w:rsidR="005D38D3" w:rsidRPr="00925C94" w:rsidRDefault="005D38D3" w:rsidP="0065493C">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52%</w:t>
            </w:r>
          </w:p>
        </w:tc>
        <w:tc>
          <w:tcPr>
            <w:tcW w:w="782" w:type="pct"/>
            <w:tcBorders>
              <w:top w:val="nil"/>
              <w:left w:val="nil"/>
              <w:bottom w:val="double" w:sz="6" w:space="0" w:color="auto"/>
              <w:right w:val="single" w:sz="4" w:space="0" w:color="auto"/>
            </w:tcBorders>
            <w:shd w:val="clear" w:color="000000" w:fill="F2DCDB"/>
            <w:noWrap/>
            <w:vAlign w:val="center"/>
            <w:hideMark/>
          </w:tcPr>
          <w:p w14:paraId="78AC7104" w14:textId="77777777" w:rsidR="005D38D3" w:rsidRPr="00925C94" w:rsidRDefault="005D38D3" w:rsidP="0065493C">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48%</w:t>
            </w:r>
          </w:p>
        </w:tc>
      </w:tr>
      <w:tr w:rsidR="005D38D3" w:rsidRPr="00925C94" w14:paraId="40E1B4D8" w14:textId="77777777" w:rsidTr="00A35C25">
        <w:trPr>
          <w:trHeight w:val="315"/>
        </w:trPr>
        <w:tc>
          <w:tcPr>
            <w:tcW w:w="1115" w:type="pct"/>
            <w:vMerge w:val="restart"/>
            <w:tcBorders>
              <w:top w:val="nil"/>
              <w:left w:val="single" w:sz="4" w:space="0" w:color="auto"/>
              <w:bottom w:val="nil"/>
              <w:right w:val="nil"/>
            </w:tcBorders>
            <w:shd w:val="clear" w:color="000000" w:fill="F2F2F2"/>
            <w:noWrap/>
            <w:vAlign w:val="center"/>
            <w:hideMark/>
          </w:tcPr>
          <w:p w14:paraId="4F4E276B" w14:textId="77777777" w:rsidR="005D38D3" w:rsidRPr="00925C94" w:rsidRDefault="005D38D3" w:rsidP="00A35C25">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Cape York</w:t>
            </w:r>
          </w:p>
        </w:tc>
        <w:tc>
          <w:tcPr>
            <w:tcW w:w="325" w:type="pct"/>
            <w:tcBorders>
              <w:top w:val="nil"/>
              <w:left w:val="single" w:sz="4" w:space="0" w:color="auto"/>
              <w:bottom w:val="nil"/>
              <w:right w:val="single" w:sz="4" w:space="0" w:color="auto"/>
            </w:tcBorders>
            <w:shd w:val="clear" w:color="000000" w:fill="F2F2F2"/>
            <w:noWrap/>
            <w:vAlign w:val="center"/>
            <w:hideMark/>
          </w:tcPr>
          <w:p w14:paraId="044B192E" w14:textId="77777777" w:rsidR="005D38D3" w:rsidRPr="00925C94" w:rsidRDefault="005D38D3" w:rsidP="00A35C25">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area</w:t>
            </w:r>
          </w:p>
        </w:tc>
        <w:tc>
          <w:tcPr>
            <w:tcW w:w="430" w:type="pct"/>
            <w:tcBorders>
              <w:top w:val="nil"/>
              <w:left w:val="nil"/>
              <w:bottom w:val="nil"/>
              <w:right w:val="single" w:sz="4" w:space="0" w:color="auto"/>
            </w:tcBorders>
            <w:shd w:val="clear" w:color="000000" w:fill="F2F2F2"/>
            <w:noWrap/>
            <w:vAlign w:val="center"/>
            <w:hideMark/>
          </w:tcPr>
          <w:p w14:paraId="50119D00" w14:textId="77777777" w:rsidR="005D38D3" w:rsidRPr="00925C94" w:rsidRDefault="005D38D3" w:rsidP="00B755E6">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96</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316</w:t>
            </w:r>
          </w:p>
        </w:tc>
        <w:tc>
          <w:tcPr>
            <w:tcW w:w="377" w:type="pct"/>
            <w:tcBorders>
              <w:top w:val="nil"/>
              <w:left w:val="nil"/>
              <w:bottom w:val="nil"/>
              <w:right w:val="nil"/>
            </w:tcBorders>
            <w:shd w:val="clear" w:color="auto" w:fill="auto"/>
            <w:noWrap/>
            <w:vAlign w:val="center"/>
            <w:hideMark/>
          </w:tcPr>
          <w:p w14:paraId="4EC0F80B" w14:textId="77777777" w:rsidR="005D38D3" w:rsidRPr="00925C94" w:rsidRDefault="005D38D3" w:rsidP="00F22F6C">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21</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359</w:t>
            </w:r>
          </w:p>
        </w:tc>
        <w:tc>
          <w:tcPr>
            <w:tcW w:w="478" w:type="pct"/>
            <w:tcBorders>
              <w:top w:val="nil"/>
              <w:left w:val="nil"/>
              <w:bottom w:val="nil"/>
              <w:right w:val="nil"/>
            </w:tcBorders>
            <w:shd w:val="clear" w:color="auto" w:fill="auto"/>
            <w:noWrap/>
            <w:vAlign w:val="center"/>
            <w:hideMark/>
          </w:tcPr>
          <w:p w14:paraId="5BF89F2D" w14:textId="77777777" w:rsidR="005D38D3" w:rsidRPr="00925C94" w:rsidRDefault="005D38D3" w:rsidP="00CF0671">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28</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391</w:t>
            </w:r>
          </w:p>
        </w:tc>
        <w:tc>
          <w:tcPr>
            <w:tcW w:w="377" w:type="pct"/>
            <w:tcBorders>
              <w:top w:val="nil"/>
              <w:left w:val="nil"/>
              <w:bottom w:val="nil"/>
              <w:right w:val="nil"/>
            </w:tcBorders>
            <w:shd w:val="clear" w:color="auto" w:fill="auto"/>
            <w:noWrap/>
            <w:vAlign w:val="center"/>
            <w:hideMark/>
          </w:tcPr>
          <w:p w14:paraId="6BFF71BD" w14:textId="77777777" w:rsidR="005D38D3" w:rsidRPr="00925C94" w:rsidRDefault="005D38D3" w:rsidP="00CF0671">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4</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013</w:t>
            </w:r>
          </w:p>
        </w:tc>
        <w:tc>
          <w:tcPr>
            <w:tcW w:w="532" w:type="pct"/>
            <w:tcBorders>
              <w:top w:val="nil"/>
              <w:left w:val="nil"/>
              <w:bottom w:val="nil"/>
              <w:right w:val="nil"/>
            </w:tcBorders>
            <w:shd w:val="clear" w:color="auto" w:fill="auto"/>
            <w:noWrap/>
            <w:vAlign w:val="center"/>
            <w:hideMark/>
          </w:tcPr>
          <w:p w14:paraId="41BB4B2F" w14:textId="77777777" w:rsidR="005D38D3" w:rsidRPr="00925C94" w:rsidRDefault="005D38D3" w:rsidP="00CF0671">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130</w:t>
            </w:r>
          </w:p>
        </w:tc>
        <w:tc>
          <w:tcPr>
            <w:tcW w:w="584" w:type="pct"/>
            <w:tcBorders>
              <w:top w:val="nil"/>
              <w:left w:val="nil"/>
              <w:bottom w:val="nil"/>
              <w:right w:val="nil"/>
            </w:tcBorders>
            <w:shd w:val="clear" w:color="000000" w:fill="F2DCDB"/>
            <w:noWrap/>
            <w:vAlign w:val="center"/>
            <w:hideMark/>
          </w:tcPr>
          <w:p w14:paraId="494016BA" w14:textId="77777777" w:rsidR="005D38D3" w:rsidRPr="00925C94" w:rsidRDefault="005D38D3" w:rsidP="00CF0671">
            <w:pPr>
              <w:spacing w:before="0" w:after="0"/>
              <w:jc w:val="center"/>
              <w:rPr>
                <w:rFonts w:ascii="Calibri" w:hAnsi="Calibri" w:cs="Times New Roman"/>
                <w:b/>
                <w:bCs/>
                <w:sz w:val="20"/>
                <w:szCs w:val="20"/>
              </w:rPr>
            </w:pPr>
            <w:r w:rsidRPr="00925C94">
              <w:rPr>
                <w:rFonts w:ascii="Calibri" w:hAnsi="Calibri" w:cs="Times New Roman"/>
                <w:b/>
                <w:bCs/>
                <w:sz w:val="20"/>
                <w:szCs w:val="20"/>
              </w:rPr>
              <w:t>53</w:t>
            </w:r>
            <w:r w:rsidR="00CE2946" w:rsidRPr="00925C94">
              <w:rPr>
                <w:rFonts w:ascii="Calibri" w:hAnsi="Calibri" w:cs="Times New Roman"/>
                <w:b/>
                <w:bCs/>
                <w:sz w:val="20"/>
                <w:szCs w:val="20"/>
              </w:rPr>
              <w:t>,</w:t>
            </w:r>
            <w:r w:rsidRPr="00925C94">
              <w:rPr>
                <w:rFonts w:ascii="Calibri" w:hAnsi="Calibri" w:cs="Times New Roman"/>
                <w:b/>
                <w:bCs/>
                <w:sz w:val="20"/>
                <w:szCs w:val="20"/>
              </w:rPr>
              <w:t>893</w:t>
            </w:r>
          </w:p>
        </w:tc>
        <w:tc>
          <w:tcPr>
            <w:tcW w:w="782" w:type="pct"/>
            <w:tcBorders>
              <w:top w:val="nil"/>
              <w:left w:val="nil"/>
              <w:bottom w:val="nil"/>
              <w:right w:val="single" w:sz="4" w:space="0" w:color="auto"/>
            </w:tcBorders>
            <w:shd w:val="clear" w:color="000000" w:fill="F2DCDB"/>
            <w:noWrap/>
            <w:vAlign w:val="center"/>
            <w:hideMark/>
          </w:tcPr>
          <w:p w14:paraId="3AB4B071" w14:textId="77777777" w:rsidR="005D38D3" w:rsidRPr="00925C94" w:rsidRDefault="005D38D3" w:rsidP="00CF0671">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42</w:t>
            </w:r>
            <w:r w:rsidR="00CE2946" w:rsidRPr="00925C94">
              <w:rPr>
                <w:rFonts w:ascii="Calibri" w:hAnsi="Calibri" w:cs="Times New Roman"/>
                <w:b/>
                <w:bCs/>
                <w:color w:val="000000"/>
                <w:sz w:val="20"/>
                <w:szCs w:val="20"/>
              </w:rPr>
              <w:t>,</w:t>
            </w:r>
            <w:r w:rsidRPr="00925C94">
              <w:rPr>
                <w:rFonts w:ascii="Calibri" w:hAnsi="Calibri" w:cs="Times New Roman"/>
                <w:b/>
                <w:bCs/>
                <w:color w:val="000000"/>
                <w:sz w:val="20"/>
                <w:szCs w:val="20"/>
              </w:rPr>
              <w:t>423</w:t>
            </w:r>
          </w:p>
        </w:tc>
      </w:tr>
      <w:tr w:rsidR="005D38D3" w:rsidRPr="00925C94" w14:paraId="3D95D60A" w14:textId="77777777" w:rsidTr="00A35C25">
        <w:trPr>
          <w:trHeight w:val="300"/>
        </w:trPr>
        <w:tc>
          <w:tcPr>
            <w:tcW w:w="1115" w:type="pct"/>
            <w:vMerge/>
            <w:tcBorders>
              <w:top w:val="nil"/>
              <w:left w:val="single" w:sz="4" w:space="0" w:color="auto"/>
              <w:bottom w:val="nil"/>
              <w:right w:val="nil"/>
            </w:tcBorders>
            <w:vAlign w:val="center"/>
            <w:hideMark/>
          </w:tcPr>
          <w:p w14:paraId="2DE39B7C" w14:textId="77777777" w:rsidR="005D38D3" w:rsidRPr="00925C94" w:rsidRDefault="005D38D3" w:rsidP="0065493C">
            <w:pPr>
              <w:spacing w:before="0" w:after="0"/>
              <w:jc w:val="center"/>
              <w:rPr>
                <w:rFonts w:ascii="Calibri" w:hAnsi="Calibri" w:cs="Times New Roman"/>
                <w:b/>
                <w:bCs/>
                <w:color w:val="000000"/>
                <w:sz w:val="20"/>
                <w:szCs w:val="20"/>
              </w:rPr>
            </w:pPr>
          </w:p>
        </w:tc>
        <w:tc>
          <w:tcPr>
            <w:tcW w:w="325" w:type="pct"/>
            <w:tcBorders>
              <w:top w:val="nil"/>
              <w:left w:val="single" w:sz="4" w:space="0" w:color="auto"/>
              <w:bottom w:val="nil"/>
              <w:right w:val="single" w:sz="4" w:space="0" w:color="auto"/>
            </w:tcBorders>
            <w:shd w:val="clear" w:color="000000" w:fill="F2F2F2"/>
            <w:noWrap/>
            <w:vAlign w:val="center"/>
            <w:hideMark/>
          </w:tcPr>
          <w:p w14:paraId="0FD0B5CC" w14:textId="77777777" w:rsidR="005D38D3" w:rsidRPr="00925C94" w:rsidRDefault="005D38D3" w:rsidP="0065493C">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w:t>
            </w:r>
          </w:p>
        </w:tc>
        <w:tc>
          <w:tcPr>
            <w:tcW w:w="430" w:type="pct"/>
            <w:tcBorders>
              <w:top w:val="nil"/>
              <w:left w:val="nil"/>
              <w:bottom w:val="nil"/>
              <w:right w:val="single" w:sz="4" w:space="0" w:color="auto"/>
            </w:tcBorders>
            <w:shd w:val="clear" w:color="000000" w:fill="F2F2F2"/>
            <w:noWrap/>
            <w:vAlign w:val="center"/>
            <w:hideMark/>
          </w:tcPr>
          <w:p w14:paraId="54DB0D1A" w14:textId="77777777" w:rsidR="005D38D3" w:rsidRPr="00925C94" w:rsidRDefault="005D38D3" w:rsidP="0065493C">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100%</w:t>
            </w:r>
          </w:p>
        </w:tc>
        <w:tc>
          <w:tcPr>
            <w:tcW w:w="377" w:type="pct"/>
            <w:tcBorders>
              <w:top w:val="nil"/>
              <w:left w:val="nil"/>
              <w:bottom w:val="nil"/>
              <w:right w:val="nil"/>
            </w:tcBorders>
            <w:shd w:val="clear" w:color="auto" w:fill="auto"/>
            <w:noWrap/>
            <w:vAlign w:val="center"/>
            <w:hideMark/>
          </w:tcPr>
          <w:p w14:paraId="72928EE9" w14:textId="77777777" w:rsidR="005D38D3" w:rsidRPr="00925C94" w:rsidRDefault="005D38D3" w:rsidP="0065493C">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22%</w:t>
            </w:r>
          </w:p>
        </w:tc>
        <w:tc>
          <w:tcPr>
            <w:tcW w:w="478" w:type="pct"/>
            <w:tcBorders>
              <w:top w:val="nil"/>
              <w:left w:val="nil"/>
              <w:bottom w:val="nil"/>
              <w:right w:val="nil"/>
            </w:tcBorders>
            <w:shd w:val="clear" w:color="auto" w:fill="auto"/>
            <w:noWrap/>
            <w:vAlign w:val="center"/>
            <w:hideMark/>
          </w:tcPr>
          <w:p w14:paraId="7B817322" w14:textId="77777777" w:rsidR="005D38D3" w:rsidRPr="00925C94" w:rsidRDefault="005D38D3" w:rsidP="0065493C">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29%</w:t>
            </w:r>
          </w:p>
        </w:tc>
        <w:tc>
          <w:tcPr>
            <w:tcW w:w="377" w:type="pct"/>
            <w:tcBorders>
              <w:top w:val="nil"/>
              <w:left w:val="nil"/>
              <w:bottom w:val="nil"/>
              <w:right w:val="nil"/>
            </w:tcBorders>
            <w:shd w:val="clear" w:color="auto" w:fill="auto"/>
            <w:noWrap/>
            <w:vAlign w:val="center"/>
            <w:hideMark/>
          </w:tcPr>
          <w:p w14:paraId="302ACE2C" w14:textId="77777777" w:rsidR="005D38D3" w:rsidRPr="00925C94" w:rsidRDefault="005D38D3" w:rsidP="0065493C">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4%</w:t>
            </w:r>
          </w:p>
        </w:tc>
        <w:tc>
          <w:tcPr>
            <w:tcW w:w="532" w:type="pct"/>
            <w:tcBorders>
              <w:top w:val="nil"/>
              <w:left w:val="nil"/>
              <w:bottom w:val="nil"/>
              <w:right w:val="nil"/>
            </w:tcBorders>
            <w:shd w:val="clear" w:color="auto" w:fill="auto"/>
            <w:noWrap/>
            <w:vAlign w:val="center"/>
            <w:hideMark/>
          </w:tcPr>
          <w:p w14:paraId="75343A55" w14:textId="77777777" w:rsidR="005D38D3" w:rsidRPr="00925C94" w:rsidRDefault="005D38D3" w:rsidP="0065493C">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0%</w:t>
            </w:r>
          </w:p>
        </w:tc>
        <w:tc>
          <w:tcPr>
            <w:tcW w:w="584" w:type="pct"/>
            <w:tcBorders>
              <w:top w:val="nil"/>
              <w:left w:val="nil"/>
              <w:bottom w:val="nil"/>
              <w:right w:val="nil"/>
            </w:tcBorders>
            <w:shd w:val="clear" w:color="000000" w:fill="F2DCDB"/>
            <w:noWrap/>
            <w:vAlign w:val="center"/>
            <w:hideMark/>
          </w:tcPr>
          <w:p w14:paraId="6FAED29A" w14:textId="77777777" w:rsidR="005D38D3" w:rsidRPr="00925C94" w:rsidRDefault="005D38D3" w:rsidP="0065493C">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56%</w:t>
            </w:r>
          </w:p>
        </w:tc>
        <w:tc>
          <w:tcPr>
            <w:tcW w:w="782" w:type="pct"/>
            <w:tcBorders>
              <w:top w:val="nil"/>
              <w:left w:val="nil"/>
              <w:bottom w:val="nil"/>
              <w:right w:val="single" w:sz="4" w:space="0" w:color="auto"/>
            </w:tcBorders>
            <w:shd w:val="clear" w:color="000000" w:fill="F2DCDB"/>
            <w:noWrap/>
            <w:vAlign w:val="center"/>
            <w:hideMark/>
          </w:tcPr>
          <w:p w14:paraId="20D24460" w14:textId="77777777" w:rsidR="005D38D3" w:rsidRPr="00925C94" w:rsidRDefault="005D38D3" w:rsidP="0065493C">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44%</w:t>
            </w:r>
          </w:p>
        </w:tc>
      </w:tr>
      <w:tr w:rsidR="005D38D3" w:rsidRPr="00925C94" w14:paraId="2CE3D495" w14:textId="77777777" w:rsidTr="00A35C25">
        <w:trPr>
          <w:trHeight w:val="300"/>
        </w:trPr>
        <w:tc>
          <w:tcPr>
            <w:tcW w:w="1115" w:type="pct"/>
            <w:vMerge w:val="restart"/>
            <w:tcBorders>
              <w:top w:val="nil"/>
              <w:left w:val="single" w:sz="4" w:space="0" w:color="auto"/>
              <w:bottom w:val="nil"/>
              <w:right w:val="nil"/>
            </w:tcBorders>
            <w:shd w:val="clear" w:color="000000" w:fill="F2F2F2"/>
            <w:noWrap/>
            <w:vAlign w:val="center"/>
            <w:hideMark/>
          </w:tcPr>
          <w:p w14:paraId="38411C31" w14:textId="77777777" w:rsidR="005D38D3" w:rsidRPr="00925C94" w:rsidRDefault="005D38D3" w:rsidP="00A35C25">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Wet Tropics</w:t>
            </w:r>
          </w:p>
        </w:tc>
        <w:tc>
          <w:tcPr>
            <w:tcW w:w="325" w:type="pct"/>
            <w:tcBorders>
              <w:top w:val="nil"/>
              <w:left w:val="single" w:sz="4" w:space="0" w:color="auto"/>
              <w:bottom w:val="nil"/>
              <w:right w:val="single" w:sz="4" w:space="0" w:color="auto"/>
            </w:tcBorders>
            <w:shd w:val="clear" w:color="000000" w:fill="F2F2F2"/>
            <w:noWrap/>
            <w:vAlign w:val="center"/>
            <w:hideMark/>
          </w:tcPr>
          <w:p w14:paraId="34E3667B" w14:textId="77777777" w:rsidR="005D38D3" w:rsidRPr="00925C94" w:rsidRDefault="005D38D3" w:rsidP="00A35C25">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area</w:t>
            </w:r>
          </w:p>
        </w:tc>
        <w:tc>
          <w:tcPr>
            <w:tcW w:w="430" w:type="pct"/>
            <w:tcBorders>
              <w:top w:val="nil"/>
              <w:left w:val="nil"/>
              <w:bottom w:val="nil"/>
              <w:right w:val="single" w:sz="4" w:space="0" w:color="auto"/>
            </w:tcBorders>
            <w:shd w:val="clear" w:color="000000" w:fill="F2F2F2"/>
            <w:noWrap/>
            <w:vAlign w:val="center"/>
            <w:hideMark/>
          </w:tcPr>
          <w:p w14:paraId="12DF5EFE" w14:textId="77777777" w:rsidR="005D38D3" w:rsidRPr="00925C94" w:rsidRDefault="005D38D3" w:rsidP="00B755E6">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31</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949</w:t>
            </w:r>
          </w:p>
        </w:tc>
        <w:tc>
          <w:tcPr>
            <w:tcW w:w="377" w:type="pct"/>
            <w:tcBorders>
              <w:top w:val="nil"/>
              <w:left w:val="nil"/>
              <w:bottom w:val="nil"/>
              <w:right w:val="nil"/>
            </w:tcBorders>
            <w:shd w:val="clear" w:color="auto" w:fill="auto"/>
            <w:noWrap/>
            <w:vAlign w:val="center"/>
            <w:hideMark/>
          </w:tcPr>
          <w:p w14:paraId="1E4BF5BD" w14:textId="77777777" w:rsidR="005D38D3" w:rsidRPr="00925C94" w:rsidRDefault="005D38D3" w:rsidP="00F22F6C">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7</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608</w:t>
            </w:r>
          </w:p>
        </w:tc>
        <w:tc>
          <w:tcPr>
            <w:tcW w:w="478" w:type="pct"/>
            <w:tcBorders>
              <w:top w:val="nil"/>
              <w:left w:val="nil"/>
              <w:bottom w:val="nil"/>
              <w:right w:val="nil"/>
            </w:tcBorders>
            <w:shd w:val="clear" w:color="auto" w:fill="auto"/>
            <w:noWrap/>
            <w:vAlign w:val="center"/>
            <w:hideMark/>
          </w:tcPr>
          <w:p w14:paraId="631F27BA" w14:textId="77777777" w:rsidR="005D38D3" w:rsidRPr="00925C94" w:rsidRDefault="005D38D3" w:rsidP="00CF0671">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8</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554</w:t>
            </w:r>
          </w:p>
        </w:tc>
        <w:tc>
          <w:tcPr>
            <w:tcW w:w="377" w:type="pct"/>
            <w:tcBorders>
              <w:top w:val="nil"/>
              <w:left w:val="nil"/>
              <w:bottom w:val="nil"/>
              <w:right w:val="nil"/>
            </w:tcBorders>
            <w:shd w:val="clear" w:color="auto" w:fill="auto"/>
            <w:noWrap/>
            <w:vAlign w:val="center"/>
            <w:hideMark/>
          </w:tcPr>
          <w:p w14:paraId="3D440321" w14:textId="77777777" w:rsidR="005D38D3" w:rsidRPr="00925C94" w:rsidRDefault="005D38D3" w:rsidP="00CF0671">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572</w:t>
            </w:r>
          </w:p>
        </w:tc>
        <w:tc>
          <w:tcPr>
            <w:tcW w:w="532" w:type="pct"/>
            <w:tcBorders>
              <w:top w:val="nil"/>
              <w:left w:val="nil"/>
              <w:bottom w:val="nil"/>
              <w:right w:val="nil"/>
            </w:tcBorders>
            <w:shd w:val="clear" w:color="auto" w:fill="auto"/>
            <w:noWrap/>
            <w:vAlign w:val="center"/>
            <w:hideMark/>
          </w:tcPr>
          <w:p w14:paraId="7538ECCA" w14:textId="77777777" w:rsidR="005D38D3" w:rsidRPr="00925C94" w:rsidRDefault="005D38D3" w:rsidP="00CF0671">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130</w:t>
            </w:r>
          </w:p>
        </w:tc>
        <w:tc>
          <w:tcPr>
            <w:tcW w:w="584" w:type="pct"/>
            <w:tcBorders>
              <w:top w:val="nil"/>
              <w:left w:val="nil"/>
              <w:bottom w:val="nil"/>
              <w:right w:val="nil"/>
            </w:tcBorders>
            <w:shd w:val="clear" w:color="000000" w:fill="F2DCDB"/>
            <w:noWrap/>
            <w:vAlign w:val="center"/>
            <w:hideMark/>
          </w:tcPr>
          <w:p w14:paraId="23E0FF7D" w14:textId="77777777" w:rsidR="005D38D3" w:rsidRPr="00925C94" w:rsidRDefault="005D38D3" w:rsidP="00CF0671">
            <w:pPr>
              <w:spacing w:before="0" w:after="0"/>
              <w:jc w:val="center"/>
              <w:rPr>
                <w:rFonts w:ascii="Calibri" w:hAnsi="Calibri" w:cs="Times New Roman"/>
                <w:b/>
                <w:bCs/>
                <w:sz w:val="20"/>
                <w:szCs w:val="20"/>
              </w:rPr>
            </w:pPr>
            <w:r w:rsidRPr="00925C94">
              <w:rPr>
                <w:rFonts w:ascii="Calibri" w:hAnsi="Calibri" w:cs="Times New Roman"/>
                <w:b/>
                <w:bCs/>
                <w:sz w:val="20"/>
                <w:szCs w:val="20"/>
              </w:rPr>
              <w:t>18</w:t>
            </w:r>
            <w:r w:rsidR="00CE2946" w:rsidRPr="00925C94">
              <w:rPr>
                <w:rFonts w:ascii="Calibri" w:hAnsi="Calibri" w:cs="Times New Roman"/>
                <w:b/>
                <w:bCs/>
                <w:sz w:val="20"/>
                <w:szCs w:val="20"/>
              </w:rPr>
              <w:t>,</w:t>
            </w:r>
            <w:r w:rsidRPr="00925C94">
              <w:rPr>
                <w:rFonts w:ascii="Calibri" w:hAnsi="Calibri" w:cs="Times New Roman"/>
                <w:b/>
                <w:bCs/>
                <w:sz w:val="20"/>
                <w:szCs w:val="20"/>
              </w:rPr>
              <w:t>864</w:t>
            </w:r>
          </w:p>
        </w:tc>
        <w:tc>
          <w:tcPr>
            <w:tcW w:w="782" w:type="pct"/>
            <w:tcBorders>
              <w:top w:val="nil"/>
              <w:left w:val="nil"/>
              <w:bottom w:val="nil"/>
              <w:right w:val="single" w:sz="4" w:space="0" w:color="auto"/>
            </w:tcBorders>
            <w:shd w:val="clear" w:color="000000" w:fill="F2DCDB"/>
            <w:noWrap/>
            <w:vAlign w:val="center"/>
            <w:hideMark/>
          </w:tcPr>
          <w:p w14:paraId="09B62CDD" w14:textId="77777777" w:rsidR="005D38D3" w:rsidRPr="00925C94" w:rsidRDefault="005D38D3" w:rsidP="00CF0671">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13</w:t>
            </w:r>
            <w:r w:rsidR="00CE2946" w:rsidRPr="00925C94">
              <w:rPr>
                <w:rFonts w:ascii="Calibri" w:hAnsi="Calibri" w:cs="Times New Roman"/>
                <w:b/>
                <w:bCs/>
                <w:color w:val="000000"/>
                <w:sz w:val="20"/>
                <w:szCs w:val="20"/>
              </w:rPr>
              <w:t>,</w:t>
            </w:r>
            <w:r w:rsidRPr="00925C94">
              <w:rPr>
                <w:rFonts w:ascii="Calibri" w:hAnsi="Calibri" w:cs="Times New Roman"/>
                <w:b/>
                <w:bCs/>
                <w:color w:val="000000"/>
                <w:sz w:val="20"/>
                <w:szCs w:val="20"/>
              </w:rPr>
              <w:t>085</w:t>
            </w:r>
          </w:p>
        </w:tc>
      </w:tr>
      <w:tr w:rsidR="005D38D3" w:rsidRPr="00925C94" w14:paraId="026B6C61" w14:textId="77777777" w:rsidTr="00A35C25">
        <w:trPr>
          <w:trHeight w:val="300"/>
        </w:trPr>
        <w:tc>
          <w:tcPr>
            <w:tcW w:w="1115" w:type="pct"/>
            <w:vMerge/>
            <w:tcBorders>
              <w:top w:val="nil"/>
              <w:left w:val="single" w:sz="4" w:space="0" w:color="auto"/>
              <w:bottom w:val="nil"/>
              <w:right w:val="nil"/>
            </w:tcBorders>
            <w:vAlign w:val="center"/>
            <w:hideMark/>
          </w:tcPr>
          <w:p w14:paraId="3B5F17BE" w14:textId="77777777" w:rsidR="005D38D3" w:rsidRPr="00925C94" w:rsidRDefault="005D38D3" w:rsidP="0065493C">
            <w:pPr>
              <w:spacing w:before="0" w:after="0"/>
              <w:jc w:val="center"/>
              <w:rPr>
                <w:rFonts w:ascii="Calibri" w:hAnsi="Calibri" w:cs="Times New Roman"/>
                <w:b/>
                <w:bCs/>
                <w:color w:val="000000"/>
                <w:sz w:val="20"/>
                <w:szCs w:val="20"/>
              </w:rPr>
            </w:pPr>
          </w:p>
        </w:tc>
        <w:tc>
          <w:tcPr>
            <w:tcW w:w="325" w:type="pct"/>
            <w:tcBorders>
              <w:top w:val="nil"/>
              <w:left w:val="single" w:sz="4" w:space="0" w:color="auto"/>
              <w:bottom w:val="nil"/>
              <w:right w:val="single" w:sz="4" w:space="0" w:color="auto"/>
            </w:tcBorders>
            <w:shd w:val="clear" w:color="000000" w:fill="F2F2F2"/>
            <w:noWrap/>
            <w:vAlign w:val="center"/>
            <w:hideMark/>
          </w:tcPr>
          <w:p w14:paraId="4A1EB608" w14:textId="77777777" w:rsidR="005D38D3" w:rsidRPr="00925C94" w:rsidRDefault="005D38D3" w:rsidP="0065493C">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w:t>
            </w:r>
          </w:p>
        </w:tc>
        <w:tc>
          <w:tcPr>
            <w:tcW w:w="430" w:type="pct"/>
            <w:tcBorders>
              <w:top w:val="nil"/>
              <w:left w:val="nil"/>
              <w:bottom w:val="nil"/>
              <w:right w:val="single" w:sz="4" w:space="0" w:color="auto"/>
            </w:tcBorders>
            <w:shd w:val="clear" w:color="000000" w:fill="F2F2F2"/>
            <w:noWrap/>
            <w:vAlign w:val="center"/>
            <w:hideMark/>
          </w:tcPr>
          <w:p w14:paraId="173A1ADD" w14:textId="77777777" w:rsidR="005D38D3" w:rsidRPr="00925C94" w:rsidRDefault="005D38D3" w:rsidP="0065493C">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100%</w:t>
            </w:r>
          </w:p>
        </w:tc>
        <w:tc>
          <w:tcPr>
            <w:tcW w:w="377" w:type="pct"/>
            <w:tcBorders>
              <w:top w:val="nil"/>
              <w:left w:val="nil"/>
              <w:bottom w:val="nil"/>
              <w:right w:val="nil"/>
            </w:tcBorders>
            <w:shd w:val="clear" w:color="auto" w:fill="auto"/>
            <w:noWrap/>
            <w:vAlign w:val="center"/>
            <w:hideMark/>
          </w:tcPr>
          <w:p w14:paraId="2B254E7A" w14:textId="77777777" w:rsidR="005D38D3" w:rsidRPr="00925C94" w:rsidRDefault="005D38D3" w:rsidP="0065493C">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24%</w:t>
            </w:r>
          </w:p>
        </w:tc>
        <w:tc>
          <w:tcPr>
            <w:tcW w:w="478" w:type="pct"/>
            <w:tcBorders>
              <w:top w:val="nil"/>
              <w:left w:val="nil"/>
              <w:bottom w:val="nil"/>
              <w:right w:val="nil"/>
            </w:tcBorders>
            <w:shd w:val="clear" w:color="auto" w:fill="auto"/>
            <w:noWrap/>
            <w:vAlign w:val="center"/>
            <w:hideMark/>
          </w:tcPr>
          <w:p w14:paraId="51406F04" w14:textId="77777777" w:rsidR="005D38D3" w:rsidRPr="00925C94" w:rsidRDefault="005D38D3" w:rsidP="0065493C">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27%</w:t>
            </w:r>
          </w:p>
        </w:tc>
        <w:tc>
          <w:tcPr>
            <w:tcW w:w="377" w:type="pct"/>
            <w:tcBorders>
              <w:top w:val="nil"/>
              <w:left w:val="nil"/>
              <w:bottom w:val="nil"/>
              <w:right w:val="nil"/>
            </w:tcBorders>
            <w:shd w:val="clear" w:color="auto" w:fill="auto"/>
            <w:noWrap/>
            <w:vAlign w:val="center"/>
            <w:hideMark/>
          </w:tcPr>
          <w:p w14:paraId="2FEFDE58" w14:textId="77777777" w:rsidR="005D38D3" w:rsidRPr="00925C94" w:rsidRDefault="005D38D3" w:rsidP="0065493C">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8%</w:t>
            </w:r>
          </w:p>
        </w:tc>
        <w:tc>
          <w:tcPr>
            <w:tcW w:w="532" w:type="pct"/>
            <w:tcBorders>
              <w:top w:val="nil"/>
              <w:left w:val="nil"/>
              <w:bottom w:val="nil"/>
              <w:right w:val="nil"/>
            </w:tcBorders>
            <w:shd w:val="clear" w:color="auto" w:fill="auto"/>
            <w:noWrap/>
            <w:vAlign w:val="center"/>
            <w:hideMark/>
          </w:tcPr>
          <w:p w14:paraId="2031B368" w14:textId="77777777" w:rsidR="005D38D3" w:rsidRPr="00925C94" w:rsidRDefault="005D38D3" w:rsidP="0065493C">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0%</w:t>
            </w:r>
          </w:p>
        </w:tc>
        <w:tc>
          <w:tcPr>
            <w:tcW w:w="584" w:type="pct"/>
            <w:tcBorders>
              <w:top w:val="nil"/>
              <w:left w:val="nil"/>
              <w:bottom w:val="nil"/>
              <w:right w:val="nil"/>
            </w:tcBorders>
            <w:shd w:val="clear" w:color="000000" w:fill="F2DCDB"/>
            <w:noWrap/>
            <w:vAlign w:val="center"/>
            <w:hideMark/>
          </w:tcPr>
          <w:p w14:paraId="2DBC63AA" w14:textId="77777777" w:rsidR="005D38D3" w:rsidRPr="00925C94" w:rsidRDefault="005D38D3" w:rsidP="0065493C">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59%</w:t>
            </w:r>
          </w:p>
        </w:tc>
        <w:tc>
          <w:tcPr>
            <w:tcW w:w="782" w:type="pct"/>
            <w:tcBorders>
              <w:top w:val="nil"/>
              <w:left w:val="nil"/>
              <w:bottom w:val="nil"/>
              <w:right w:val="single" w:sz="4" w:space="0" w:color="auto"/>
            </w:tcBorders>
            <w:shd w:val="clear" w:color="000000" w:fill="F2DCDB"/>
            <w:noWrap/>
            <w:vAlign w:val="center"/>
            <w:hideMark/>
          </w:tcPr>
          <w:p w14:paraId="2F484428" w14:textId="77777777" w:rsidR="005D38D3" w:rsidRPr="00925C94" w:rsidRDefault="005D38D3" w:rsidP="0065493C">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41%</w:t>
            </w:r>
          </w:p>
        </w:tc>
      </w:tr>
      <w:tr w:rsidR="005D38D3" w:rsidRPr="00925C94" w14:paraId="253D78DE" w14:textId="77777777" w:rsidTr="00A35C25">
        <w:trPr>
          <w:trHeight w:val="300"/>
        </w:trPr>
        <w:tc>
          <w:tcPr>
            <w:tcW w:w="1115" w:type="pct"/>
            <w:vMerge w:val="restart"/>
            <w:tcBorders>
              <w:top w:val="nil"/>
              <w:left w:val="single" w:sz="4" w:space="0" w:color="auto"/>
              <w:bottom w:val="nil"/>
              <w:right w:val="nil"/>
            </w:tcBorders>
            <w:shd w:val="clear" w:color="000000" w:fill="F2F2F2"/>
            <w:noWrap/>
            <w:vAlign w:val="center"/>
            <w:hideMark/>
          </w:tcPr>
          <w:p w14:paraId="6E298167" w14:textId="77777777" w:rsidR="005D38D3" w:rsidRPr="00925C94" w:rsidRDefault="005D38D3" w:rsidP="00A35C25">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Burdekin</w:t>
            </w:r>
          </w:p>
        </w:tc>
        <w:tc>
          <w:tcPr>
            <w:tcW w:w="325" w:type="pct"/>
            <w:tcBorders>
              <w:top w:val="nil"/>
              <w:left w:val="single" w:sz="4" w:space="0" w:color="auto"/>
              <w:bottom w:val="nil"/>
              <w:right w:val="single" w:sz="4" w:space="0" w:color="auto"/>
            </w:tcBorders>
            <w:shd w:val="clear" w:color="000000" w:fill="F2F2F2"/>
            <w:noWrap/>
            <w:vAlign w:val="center"/>
            <w:hideMark/>
          </w:tcPr>
          <w:p w14:paraId="49564727" w14:textId="77777777" w:rsidR="005D38D3" w:rsidRPr="00925C94" w:rsidRDefault="005D38D3" w:rsidP="00A35C25">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area</w:t>
            </w:r>
          </w:p>
        </w:tc>
        <w:tc>
          <w:tcPr>
            <w:tcW w:w="430" w:type="pct"/>
            <w:tcBorders>
              <w:top w:val="nil"/>
              <w:left w:val="nil"/>
              <w:bottom w:val="nil"/>
              <w:right w:val="single" w:sz="4" w:space="0" w:color="auto"/>
            </w:tcBorders>
            <w:shd w:val="clear" w:color="000000" w:fill="F2F2F2"/>
            <w:noWrap/>
            <w:vAlign w:val="center"/>
            <w:hideMark/>
          </w:tcPr>
          <w:p w14:paraId="0DF481F5" w14:textId="77777777" w:rsidR="005D38D3" w:rsidRPr="00925C94" w:rsidRDefault="005D38D3" w:rsidP="00B755E6">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46</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967</w:t>
            </w:r>
          </w:p>
        </w:tc>
        <w:tc>
          <w:tcPr>
            <w:tcW w:w="377" w:type="pct"/>
            <w:tcBorders>
              <w:top w:val="nil"/>
              <w:left w:val="nil"/>
              <w:bottom w:val="nil"/>
              <w:right w:val="nil"/>
            </w:tcBorders>
            <w:shd w:val="clear" w:color="auto" w:fill="auto"/>
            <w:noWrap/>
            <w:vAlign w:val="center"/>
            <w:hideMark/>
          </w:tcPr>
          <w:p w14:paraId="782A3EDC" w14:textId="77777777" w:rsidR="005D38D3" w:rsidRPr="00925C94" w:rsidRDefault="005D38D3" w:rsidP="00F22F6C">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21</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468</w:t>
            </w:r>
          </w:p>
        </w:tc>
        <w:tc>
          <w:tcPr>
            <w:tcW w:w="478" w:type="pct"/>
            <w:tcBorders>
              <w:top w:val="nil"/>
              <w:left w:val="nil"/>
              <w:bottom w:val="nil"/>
              <w:right w:val="nil"/>
            </w:tcBorders>
            <w:shd w:val="clear" w:color="auto" w:fill="auto"/>
            <w:noWrap/>
            <w:vAlign w:val="center"/>
            <w:hideMark/>
          </w:tcPr>
          <w:p w14:paraId="07BA7A3B" w14:textId="77777777" w:rsidR="005D38D3" w:rsidRPr="00925C94" w:rsidRDefault="005D38D3" w:rsidP="00CF0671">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4</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767</w:t>
            </w:r>
          </w:p>
        </w:tc>
        <w:tc>
          <w:tcPr>
            <w:tcW w:w="377" w:type="pct"/>
            <w:tcBorders>
              <w:top w:val="nil"/>
              <w:left w:val="nil"/>
              <w:bottom w:val="nil"/>
              <w:right w:val="nil"/>
            </w:tcBorders>
            <w:shd w:val="clear" w:color="auto" w:fill="auto"/>
            <w:noWrap/>
            <w:vAlign w:val="center"/>
            <w:hideMark/>
          </w:tcPr>
          <w:p w14:paraId="17EFEA19" w14:textId="77777777" w:rsidR="005D38D3" w:rsidRPr="00925C94" w:rsidRDefault="005D38D3" w:rsidP="00CF0671">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3</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149</w:t>
            </w:r>
          </w:p>
        </w:tc>
        <w:tc>
          <w:tcPr>
            <w:tcW w:w="532" w:type="pct"/>
            <w:tcBorders>
              <w:top w:val="nil"/>
              <w:left w:val="nil"/>
              <w:bottom w:val="nil"/>
              <w:right w:val="nil"/>
            </w:tcBorders>
            <w:shd w:val="clear" w:color="auto" w:fill="auto"/>
            <w:noWrap/>
            <w:vAlign w:val="center"/>
            <w:hideMark/>
          </w:tcPr>
          <w:p w14:paraId="69F4918E" w14:textId="77777777" w:rsidR="005D38D3" w:rsidRPr="00925C94" w:rsidRDefault="005D38D3" w:rsidP="00CF0671">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448</w:t>
            </w:r>
          </w:p>
        </w:tc>
        <w:tc>
          <w:tcPr>
            <w:tcW w:w="584" w:type="pct"/>
            <w:tcBorders>
              <w:top w:val="nil"/>
              <w:left w:val="nil"/>
              <w:bottom w:val="nil"/>
              <w:right w:val="nil"/>
            </w:tcBorders>
            <w:shd w:val="clear" w:color="000000" w:fill="F2DCDB"/>
            <w:noWrap/>
            <w:vAlign w:val="center"/>
            <w:hideMark/>
          </w:tcPr>
          <w:p w14:paraId="6680D192" w14:textId="77777777" w:rsidR="005D38D3" w:rsidRPr="00925C94" w:rsidRDefault="005D38D3" w:rsidP="00CF0671">
            <w:pPr>
              <w:spacing w:before="0" w:after="0"/>
              <w:jc w:val="center"/>
              <w:rPr>
                <w:rFonts w:ascii="Calibri" w:hAnsi="Calibri" w:cs="Times New Roman"/>
                <w:b/>
                <w:bCs/>
                <w:sz w:val="20"/>
                <w:szCs w:val="20"/>
              </w:rPr>
            </w:pPr>
            <w:r w:rsidRPr="00925C94">
              <w:rPr>
                <w:rFonts w:ascii="Calibri" w:hAnsi="Calibri" w:cs="Times New Roman"/>
                <w:b/>
                <w:bCs/>
                <w:sz w:val="20"/>
                <w:szCs w:val="20"/>
              </w:rPr>
              <w:t>29</w:t>
            </w:r>
            <w:r w:rsidR="00CE2946" w:rsidRPr="00925C94">
              <w:rPr>
                <w:rFonts w:ascii="Calibri" w:hAnsi="Calibri" w:cs="Times New Roman"/>
                <w:b/>
                <w:bCs/>
                <w:sz w:val="20"/>
                <w:szCs w:val="20"/>
              </w:rPr>
              <w:t>,</w:t>
            </w:r>
            <w:r w:rsidRPr="00925C94">
              <w:rPr>
                <w:rFonts w:ascii="Calibri" w:hAnsi="Calibri" w:cs="Times New Roman"/>
                <w:b/>
                <w:bCs/>
                <w:sz w:val="20"/>
                <w:szCs w:val="20"/>
              </w:rPr>
              <w:t>833</w:t>
            </w:r>
          </w:p>
        </w:tc>
        <w:tc>
          <w:tcPr>
            <w:tcW w:w="782" w:type="pct"/>
            <w:tcBorders>
              <w:top w:val="nil"/>
              <w:left w:val="nil"/>
              <w:bottom w:val="nil"/>
              <w:right w:val="single" w:sz="4" w:space="0" w:color="auto"/>
            </w:tcBorders>
            <w:shd w:val="clear" w:color="000000" w:fill="F2DCDB"/>
            <w:noWrap/>
            <w:vAlign w:val="center"/>
            <w:hideMark/>
          </w:tcPr>
          <w:p w14:paraId="76F4B7D6" w14:textId="77777777" w:rsidR="005D38D3" w:rsidRPr="00925C94" w:rsidRDefault="005D38D3" w:rsidP="00CF0671">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17</w:t>
            </w:r>
            <w:r w:rsidR="00CE2946" w:rsidRPr="00925C94">
              <w:rPr>
                <w:rFonts w:ascii="Calibri" w:hAnsi="Calibri" w:cs="Times New Roman"/>
                <w:b/>
                <w:bCs/>
                <w:color w:val="000000"/>
                <w:sz w:val="20"/>
                <w:szCs w:val="20"/>
              </w:rPr>
              <w:t>,</w:t>
            </w:r>
            <w:r w:rsidRPr="00925C94">
              <w:rPr>
                <w:rFonts w:ascii="Calibri" w:hAnsi="Calibri" w:cs="Times New Roman"/>
                <w:b/>
                <w:bCs/>
                <w:color w:val="000000"/>
                <w:sz w:val="20"/>
                <w:szCs w:val="20"/>
              </w:rPr>
              <w:t>134</w:t>
            </w:r>
          </w:p>
        </w:tc>
      </w:tr>
      <w:tr w:rsidR="005D38D3" w:rsidRPr="00925C94" w14:paraId="528B2F14" w14:textId="77777777" w:rsidTr="00A35C25">
        <w:trPr>
          <w:trHeight w:val="300"/>
        </w:trPr>
        <w:tc>
          <w:tcPr>
            <w:tcW w:w="1115" w:type="pct"/>
            <w:vMerge/>
            <w:tcBorders>
              <w:top w:val="nil"/>
              <w:left w:val="single" w:sz="4" w:space="0" w:color="auto"/>
              <w:bottom w:val="nil"/>
              <w:right w:val="nil"/>
            </w:tcBorders>
            <w:vAlign w:val="center"/>
            <w:hideMark/>
          </w:tcPr>
          <w:p w14:paraId="42529452" w14:textId="77777777" w:rsidR="005D38D3" w:rsidRPr="00925C94" w:rsidRDefault="005D38D3" w:rsidP="0065493C">
            <w:pPr>
              <w:spacing w:before="0" w:after="0"/>
              <w:jc w:val="center"/>
              <w:rPr>
                <w:rFonts w:ascii="Calibri" w:hAnsi="Calibri" w:cs="Times New Roman"/>
                <w:b/>
                <w:bCs/>
                <w:color w:val="000000"/>
                <w:sz w:val="20"/>
                <w:szCs w:val="20"/>
              </w:rPr>
            </w:pPr>
          </w:p>
        </w:tc>
        <w:tc>
          <w:tcPr>
            <w:tcW w:w="325" w:type="pct"/>
            <w:tcBorders>
              <w:top w:val="nil"/>
              <w:left w:val="single" w:sz="4" w:space="0" w:color="auto"/>
              <w:bottom w:val="nil"/>
              <w:right w:val="single" w:sz="4" w:space="0" w:color="auto"/>
            </w:tcBorders>
            <w:shd w:val="clear" w:color="000000" w:fill="F2F2F2"/>
            <w:noWrap/>
            <w:vAlign w:val="center"/>
            <w:hideMark/>
          </w:tcPr>
          <w:p w14:paraId="7510E60D" w14:textId="77777777" w:rsidR="005D38D3" w:rsidRPr="00925C94" w:rsidRDefault="005D38D3" w:rsidP="0065493C">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w:t>
            </w:r>
          </w:p>
        </w:tc>
        <w:tc>
          <w:tcPr>
            <w:tcW w:w="430" w:type="pct"/>
            <w:tcBorders>
              <w:top w:val="nil"/>
              <w:left w:val="nil"/>
              <w:bottom w:val="nil"/>
              <w:right w:val="single" w:sz="4" w:space="0" w:color="auto"/>
            </w:tcBorders>
            <w:shd w:val="clear" w:color="000000" w:fill="F2F2F2"/>
            <w:noWrap/>
            <w:vAlign w:val="center"/>
            <w:hideMark/>
          </w:tcPr>
          <w:p w14:paraId="24567FE1" w14:textId="77777777" w:rsidR="005D38D3" w:rsidRPr="00925C94" w:rsidRDefault="005D38D3" w:rsidP="0065493C">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100%</w:t>
            </w:r>
          </w:p>
        </w:tc>
        <w:tc>
          <w:tcPr>
            <w:tcW w:w="377" w:type="pct"/>
            <w:tcBorders>
              <w:top w:val="nil"/>
              <w:left w:val="nil"/>
              <w:bottom w:val="nil"/>
              <w:right w:val="nil"/>
            </w:tcBorders>
            <w:shd w:val="clear" w:color="auto" w:fill="auto"/>
            <w:noWrap/>
            <w:vAlign w:val="center"/>
            <w:hideMark/>
          </w:tcPr>
          <w:p w14:paraId="257497A8" w14:textId="77777777" w:rsidR="005D38D3" w:rsidRPr="00925C94" w:rsidRDefault="005D38D3" w:rsidP="0065493C">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46%</w:t>
            </w:r>
          </w:p>
        </w:tc>
        <w:tc>
          <w:tcPr>
            <w:tcW w:w="478" w:type="pct"/>
            <w:tcBorders>
              <w:top w:val="nil"/>
              <w:left w:val="nil"/>
              <w:bottom w:val="nil"/>
              <w:right w:val="nil"/>
            </w:tcBorders>
            <w:shd w:val="clear" w:color="auto" w:fill="auto"/>
            <w:noWrap/>
            <w:vAlign w:val="center"/>
            <w:hideMark/>
          </w:tcPr>
          <w:p w14:paraId="04EAD55C" w14:textId="77777777" w:rsidR="005D38D3" w:rsidRPr="00925C94" w:rsidRDefault="005D38D3" w:rsidP="0065493C">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10%</w:t>
            </w:r>
          </w:p>
        </w:tc>
        <w:tc>
          <w:tcPr>
            <w:tcW w:w="377" w:type="pct"/>
            <w:tcBorders>
              <w:top w:val="nil"/>
              <w:left w:val="nil"/>
              <w:bottom w:val="nil"/>
              <w:right w:val="nil"/>
            </w:tcBorders>
            <w:shd w:val="clear" w:color="auto" w:fill="auto"/>
            <w:noWrap/>
            <w:vAlign w:val="center"/>
            <w:hideMark/>
          </w:tcPr>
          <w:p w14:paraId="4007EF48" w14:textId="77777777" w:rsidR="005D38D3" w:rsidRPr="00925C94" w:rsidRDefault="005D38D3" w:rsidP="0065493C">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7%</w:t>
            </w:r>
          </w:p>
        </w:tc>
        <w:tc>
          <w:tcPr>
            <w:tcW w:w="532" w:type="pct"/>
            <w:tcBorders>
              <w:top w:val="nil"/>
              <w:left w:val="nil"/>
              <w:bottom w:val="nil"/>
              <w:right w:val="nil"/>
            </w:tcBorders>
            <w:shd w:val="clear" w:color="auto" w:fill="auto"/>
            <w:noWrap/>
            <w:vAlign w:val="center"/>
            <w:hideMark/>
          </w:tcPr>
          <w:p w14:paraId="0B73743A" w14:textId="77777777" w:rsidR="005D38D3" w:rsidRPr="00925C94" w:rsidRDefault="005D38D3" w:rsidP="0065493C">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w:t>
            </w:r>
          </w:p>
        </w:tc>
        <w:tc>
          <w:tcPr>
            <w:tcW w:w="584" w:type="pct"/>
            <w:tcBorders>
              <w:top w:val="nil"/>
              <w:left w:val="nil"/>
              <w:bottom w:val="nil"/>
              <w:right w:val="nil"/>
            </w:tcBorders>
            <w:shd w:val="clear" w:color="000000" w:fill="F2DCDB"/>
            <w:noWrap/>
            <w:vAlign w:val="center"/>
            <w:hideMark/>
          </w:tcPr>
          <w:p w14:paraId="673E8B17" w14:textId="77777777" w:rsidR="005D38D3" w:rsidRPr="00925C94" w:rsidRDefault="005D38D3" w:rsidP="0065493C">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64%</w:t>
            </w:r>
          </w:p>
        </w:tc>
        <w:tc>
          <w:tcPr>
            <w:tcW w:w="782" w:type="pct"/>
            <w:tcBorders>
              <w:top w:val="nil"/>
              <w:left w:val="nil"/>
              <w:bottom w:val="nil"/>
              <w:right w:val="single" w:sz="4" w:space="0" w:color="auto"/>
            </w:tcBorders>
            <w:shd w:val="clear" w:color="000000" w:fill="F2DCDB"/>
            <w:noWrap/>
            <w:vAlign w:val="center"/>
            <w:hideMark/>
          </w:tcPr>
          <w:p w14:paraId="656AF022" w14:textId="77777777" w:rsidR="005D38D3" w:rsidRPr="00925C94" w:rsidRDefault="005D38D3" w:rsidP="0065493C">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36%</w:t>
            </w:r>
          </w:p>
        </w:tc>
      </w:tr>
      <w:tr w:rsidR="005D38D3" w:rsidRPr="00925C94" w14:paraId="73C380EF" w14:textId="77777777" w:rsidTr="00A35C25">
        <w:trPr>
          <w:trHeight w:val="300"/>
        </w:trPr>
        <w:tc>
          <w:tcPr>
            <w:tcW w:w="1115" w:type="pct"/>
            <w:vMerge w:val="restart"/>
            <w:tcBorders>
              <w:top w:val="nil"/>
              <w:left w:val="single" w:sz="4" w:space="0" w:color="auto"/>
              <w:bottom w:val="nil"/>
              <w:right w:val="single" w:sz="4" w:space="0" w:color="auto"/>
            </w:tcBorders>
            <w:shd w:val="clear" w:color="000000" w:fill="F2F2F2"/>
            <w:vAlign w:val="center"/>
            <w:hideMark/>
          </w:tcPr>
          <w:p w14:paraId="4099ED3B" w14:textId="77777777" w:rsidR="005D38D3" w:rsidRPr="00925C94" w:rsidRDefault="005D38D3" w:rsidP="00A35C25">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Mackay-Whitsundays</w:t>
            </w:r>
          </w:p>
        </w:tc>
        <w:tc>
          <w:tcPr>
            <w:tcW w:w="325" w:type="pct"/>
            <w:tcBorders>
              <w:top w:val="nil"/>
              <w:left w:val="nil"/>
              <w:bottom w:val="nil"/>
              <w:right w:val="single" w:sz="4" w:space="0" w:color="auto"/>
            </w:tcBorders>
            <w:shd w:val="clear" w:color="000000" w:fill="F2F2F2"/>
            <w:noWrap/>
            <w:vAlign w:val="center"/>
            <w:hideMark/>
          </w:tcPr>
          <w:p w14:paraId="6C2EB78A" w14:textId="77777777" w:rsidR="005D38D3" w:rsidRPr="00925C94" w:rsidRDefault="005D38D3" w:rsidP="00A35C25">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area</w:t>
            </w:r>
          </w:p>
        </w:tc>
        <w:tc>
          <w:tcPr>
            <w:tcW w:w="430" w:type="pct"/>
            <w:tcBorders>
              <w:top w:val="nil"/>
              <w:left w:val="nil"/>
              <w:bottom w:val="nil"/>
              <w:right w:val="single" w:sz="4" w:space="0" w:color="auto"/>
            </w:tcBorders>
            <w:shd w:val="clear" w:color="000000" w:fill="F2F2F2"/>
            <w:noWrap/>
            <w:vAlign w:val="center"/>
            <w:hideMark/>
          </w:tcPr>
          <w:p w14:paraId="5744116F" w14:textId="77777777" w:rsidR="005D38D3" w:rsidRPr="00925C94" w:rsidRDefault="005D38D3" w:rsidP="00B755E6">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48</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949</w:t>
            </w:r>
          </w:p>
        </w:tc>
        <w:tc>
          <w:tcPr>
            <w:tcW w:w="377" w:type="pct"/>
            <w:tcBorders>
              <w:top w:val="nil"/>
              <w:left w:val="nil"/>
              <w:bottom w:val="nil"/>
              <w:right w:val="nil"/>
            </w:tcBorders>
            <w:shd w:val="clear" w:color="auto" w:fill="auto"/>
            <w:noWrap/>
            <w:vAlign w:val="center"/>
            <w:hideMark/>
          </w:tcPr>
          <w:p w14:paraId="695DA32B" w14:textId="77777777" w:rsidR="005D38D3" w:rsidRPr="00925C94" w:rsidRDefault="005D38D3" w:rsidP="00F22F6C">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8</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916</w:t>
            </w:r>
          </w:p>
        </w:tc>
        <w:tc>
          <w:tcPr>
            <w:tcW w:w="478" w:type="pct"/>
            <w:tcBorders>
              <w:top w:val="nil"/>
              <w:left w:val="nil"/>
              <w:bottom w:val="nil"/>
              <w:right w:val="nil"/>
            </w:tcBorders>
            <w:shd w:val="clear" w:color="auto" w:fill="auto"/>
            <w:noWrap/>
            <w:vAlign w:val="center"/>
            <w:hideMark/>
          </w:tcPr>
          <w:p w14:paraId="48498C47" w14:textId="77777777" w:rsidR="005D38D3" w:rsidRPr="00925C94" w:rsidRDefault="005D38D3" w:rsidP="00CF0671">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9</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415</w:t>
            </w:r>
          </w:p>
        </w:tc>
        <w:tc>
          <w:tcPr>
            <w:tcW w:w="377" w:type="pct"/>
            <w:tcBorders>
              <w:top w:val="nil"/>
              <w:left w:val="nil"/>
              <w:bottom w:val="nil"/>
              <w:right w:val="nil"/>
            </w:tcBorders>
            <w:shd w:val="clear" w:color="auto" w:fill="auto"/>
            <w:noWrap/>
            <w:vAlign w:val="center"/>
            <w:hideMark/>
          </w:tcPr>
          <w:p w14:paraId="48974999" w14:textId="77777777" w:rsidR="005D38D3" w:rsidRPr="00925C94" w:rsidRDefault="005D38D3" w:rsidP="00CF0671">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7</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514</w:t>
            </w:r>
          </w:p>
        </w:tc>
        <w:tc>
          <w:tcPr>
            <w:tcW w:w="532" w:type="pct"/>
            <w:tcBorders>
              <w:top w:val="nil"/>
              <w:left w:val="nil"/>
              <w:bottom w:val="nil"/>
              <w:right w:val="nil"/>
            </w:tcBorders>
            <w:shd w:val="clear" w:color="auto" w:fill="auto"/>
            <w:noWrap/>
            <w:vAlign w:val="center"/>
            <w:hideMark/>
          </w:tcPr>
          <w:p w14:paraId="6EEF4932" w14:textId="77777777" w:rsidR="005D38D3" w:rsidRPr="00925C94" w:rsidRDefault="005D38D3" w:rsidP="00CF0671">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250</w:t>
            </w:r>
          </w:p>
        </w:tc>
        <w:tc>
          <w:tcPr>
            <w:tcW w:w="584" w:type="pct"/>
            <w:tcBorders>
              <w:top w:val="nil"/>
              <w:left w:val="nil"/>
              <w:bottom w:val="nil"/>
              <w:right w:val="nil"/>
            </w:tcBorders>
            <w:shd w:val="clear" w:color="000000" w:fill="F2DCDB"/>
            <w:noWrap/>
            <w:vAlign w:val="center"/>
            <w:hideMark/>
          </w:tcPr>
          <w:p w14:paraId="6CD80277" w14:textId="77777777" w:rsidR="005D38D3" w:rsidRPr="00925C94" w:rsidRDefault="005D38D3" w:rsidP="00CF0671">
            <w:pPr>
              <w:spacing w:before="0" w:after="0"/>
              <w:jc w:val="center"/>
              <w:rPr>
                <w:rFonts w:ascii="Calibri" w:hAnsi="Calibri" w:cs="Times New Roman"/>
                <w:b/>
                <w:bCs/>
                <w:sz w:val="20"/>
                <w:szCs w:val="20"/>
              </w:rPr>
            </w:pPr>
            <w:r w:rsidRPr="00925C94">
              <w:rPr>
                <w:rFonts w:ascii="Calibri" w:hAnsi="Calibri" w:cs="Times New Roman"/>
                <w:b/>
                <w:bCs/>
                <w:sz w:val="20"/>
                <w:szCs w:val="20"/>
              </w:rPr>
              <w:t>26</w:t>
            </w:r>
            <w:r w:rsidR="00CE2946" w:rsidRPr="00925C94">
              <w:rPr>
                <w:rFonts w:ascii="Calibri" w:hAnsi="Calibri" w:cs="Times New Roman"/>
                <w:b/>
                <w:bCs/>
                <w:sz w:val="20"/>
                <w:szCs w:val="20"/>
              </w:rPr>
              <w:t>,</w:t>
            </w:r>
            <w:r w:rsidRPr="00925C94">
              <w:rPr>
                <w:rFonts w:ascii="Calibri" w:hAnsi="Calibri" w:cs="Times New Roman"/>
                <w:b/>
                <w:bCs/>
                <w:sz w:val="20"/>
                <w:szCs w:val="20"/>
              </w:rPr>
              <w:t>095</w:t>
            </w:r>
          </w:p>
        </w:tc>
        <w:tc>
          <w:tcPr>
            <w:tcW w:w="782" w:type="pct"/>
            <w:tcBorders>
              <w:top w:val="nil"/>
              <w:left w:val="nil"/>
              <w:bottom w:val="nil"/>
              <w:right w:val="single" w:sz="4" w:space="0" w:color="auto"/>
            </w:tcBorders>
            <w:shd w:val="clear" w:color="000000" w:fill="F2DCDB"/>
            <w:noWrap/>
            <w:vAlign w:val="center"/>
            <w:hideMark/>
          </w:tcPr>
          <w:p w14:paraId="35E38073" w14:textId="77777777" w:rsidR="005D38D3" w:rsidRPr="00925C94" w:rsidRDefault="005D38D3" w:rsidP="00CF0671">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22</w:t>
            </w:r>
            <w:r w:rsidR="00CE2946" w:rsidRPr="00925C94">
              <w:rPr>
                <w:rFonts w:ascii="Calibri" w:hAnsi="Calibri" w:cs="Times New Roman"/>
                <w:b/>
                <w:bCs/>
                <w:color w:val="000000"/>
                <w:sz w:val="20"/>
                <w:szCs w:val="20"/>
              </w:rPr>
              <w:t>,</w:t>
            </w:r>
            <w:r w:rsidRPr="00925C94">
              <w:rPr>
                <w:rFonts w:ascii="Calibri" w:hAnsi="Calibri" w:cs="Times New Roman"/>
                <w:b/>
                <w:bCs/>
                <w:color w:val="000000"/>
                <w:sz w:val="20"/>
                <w:szCs w:val="20"/>
              </w:rPr>
              <w:t>854</w:t>
            </w:r>
          </w:p>
        </w:tc>
      </w:tr>
      <w:tr w:rsidR="005D38D3" w:rsidRPr="00925C94" w14:paraId="2D84490E" w14:textId="77777777" w:rsidTr="00A35C25">
        <w:trPr>
          <w:trHeight w:val="300"/>
        </w:trPr>
        <w:tc>
          <w:tcPr>
            <w:tcW w:w="1115" w:type="pct"/>
            <w:vMerge/>
            <w:tcBorders>
              <w:top w:val="nil"/>
              <w:left w:val="single" w:sz="4" w:space="0" w:color="auto"/>
              <w:bottom w:val="nil"/>
              <w:right w:val="single" w:sz="4" w:space="0" w:color="auto"/>
            </w:tcBorders>
            <w:vAlign w:val="center"/>
            <w:hideMark/>
          </w:tcPr>
          <w:p w14:paraId="2E3643C4" w14:textId="77777777" w:rsidR="005D38D3" w:rsidRPr="00925C94" w:rsidRDefault="005D38D3" w:rsidP="0065493C">
            <w:pPr>
              <w:spacing w:before="0" w:after="0"/>
              <w:jc w:val="center"/>
              <w:rPr>
                <w:rFonts w:ascii="Calibri" w:hAnsi="Calibri" w:cs="Times New Roman"/>
                <w:b/>
                <w:bCs/>
                <w:color w:val="000000"/>
                <w:sz w:val="20"/>
                <w:szCs w:val="20"/>
              </w:rPr>
            </w:pPr>
          </w:p>
        </w:tc>
        <w:tc>
          <w:tcPr>
            <w:tcW w:w="325" w:type="pct"/>
            <w:tcBorders>
              <w:top w:val="nil"/>
              <w:left w:val="nil"/>
              <w:bottom w:val="nil"/>
              <w:right w:val="single" w:sz="4" w:space="0" w:color="auto"/>
            </w:tcBorders>
            <w:shd w:val="clear" w:color="000000" w:fill="F2F2F2"/>
            <w:noWrap/>
            <w:vAlign w:val="center"/>
            <w:hideMark/>
          </w:tcPr>
          <w:p w14:paraId="72D28241" w14:textId="77777777" w:rsidR="005D38D3" w:rsidRPr="00925C94" w:rsidRDefault="005D38D3" w:rsidP="0065493C">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w:t>
            </w:r>
          </w:p>
        </w:tc>
        <w:tc>
          <w:tcPr>
            <w:tcW w:w="430" w:type="pct"/>
            <w:tcBorders>
              <w:top w:val="nil"/>
              <w:left w:val="nil"/>
              <w:bottom w:val="nil"/>
              <w:right w:val="single" w:sz="4" w:space="0" w:color="auto"/>
            </w:tcBorders>
            <w:shd w:val="clear" w:color="000000" w:fill="F2F2F2"/>
            <w:noWrap/>
            <w:vAlign w:val="center"/>
            <w:hideMark/>
          </w:tcPr>
          <w:p w14:paraId="10DBDF78" w14:textId="77777777" w:rsidR="005D38D3" w:rsidRPr="00925C94" w:rsidRDefault="005D38D3" w:rsidP="0065493C">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100%</w:t>
            </w:r>
          </w:p>
        </w:tc>
        <w:tc>
          <w:tcPr>
            <w:tcW w:w="377" w:type="pct"/>
            <w:tcBorders>
              <w:top w:val="nil"/>
              <w:left w:val="nil"/>
              <w:bottom w:val="nil"/>
              <w:right w:val="nil"/>
            </w:tcBorders>
            <w:shd w:val="clear" w:color="auto" w:fill="auto"/>
            <w:noWrap/>
            <w:vAlign w:val="center"/>
            <w:hideMark/>
          </w:tcPr>
          <w:p w14:paraId="5E18A8C7" w14:textId="77777777" w:rsidR="005D38D3" w:rsidRPr="00925C94" w:rsidRDefault="005D38D3" w:rsidP="0065493C">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18%</w:t>
            </w:r>
          </w:p>
        </w:tc>
        <w:tc>
          <w:tcPr>
            <w:tcW w:w="478" w:type="pct"/>
            <w:tcBorders>
              <w:top w:val="nil"/>
              <w:left w:val="nil"/>
              <w:bottom w:val="nil"/>
              <w:right w:val="nil"/>
            </w:tcBorders>
            <w:shd w:val="clear" w:color="auto" w:fill="auto"/>
            <w:noWrap/>
            <w:vAlign w:val="center"/>
            <w:hideMark/>
          </w:tcPr>
          <w:p w14:paraId="730FBE3F" w14:textId="77777777" w:rsidR="005D38D3" w:rsidRPr="00925C94" w:rsidRDefault="005D38D3" w:rsidP="0065493C">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19%</w:t>
            </w:r>
          </w:p>
        </w:tc>
        <w:tc>
          <w:tcPr>
            <w:tcW w:w="377" w:type="pct"/>
            <w:tcBorders>
              <w:top w:val="nil"/>
              <w:left w:val="nil"/>
              <w:bottom w:val="nil"/>
              <w:right w:val="nil"/>
            </w:tcBorders>
            <w:shd w:val="clear" w:color="auto" w:fill="auto"/>
            <w:noWrap/>
            <w:vAlign w:val="center"/>
            <w:hideMark/>
          </w:tcPr>
          <w:p w14:paraId="3E025C91" w14:textId="77777777" w:rsidR="005D38D3" w:rsidRPr="00925C94" w:rsidRDefault="005D38D3" w:rsidP="0065493C">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15%</w:t>
            </w:r>
          </w:p>
        </w:tc>
        <w:tc>
          <w:tcPr>
            <w:tcW w:w="532" w:type="pct"/>
            <w:tcBorders>
              <w:top w:val="nil"/>
              <w:left w:val="nil"/>
              <w:bottom w:val="nil"/>
              <w:right w:val="nil"/>
            </w:tcBorders>
            <w:shd w:val="clear" w:color="auto" w:fill="auto"/>
            <w:noWrap/>
            <w:vAlign w:val="center"/>
            <w:hideMark/>
          </w:tcPr>
          <w:p w14:paraId="7BA5ECE1" w14:textId="77777777" w:rsidR="005D38D3" w:rsidRPr="00925C94" w:rsidRDefault="005D38D3" w:rsidP="0065493C">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w:t>
            </w:r>
          </w:p>
        </w:tc>
        <w:tc>
          <w:tcPr>
            <w:tcW w:w="584" w:type="pct"/>
            <w:tcBorders>
              <w:top w:val="nil"/>
              <w:left w:val="nil"/>
              <w:bottom w:val="nil"/>
              <w:right w:val="nil"/>
            </w:tcBorders>
            <w:shd w:val="clear" w:color="000000" w:fill="F2DCDB"/>
            <w:noWrap/>
            <w:vAlign w:val="center"/>
            <w:hideMark/>
          </w:tcPr>
          <w:p w14:paraId="277D7B83" w14:textId="77777777" w:rsidR="005D38D3" w:rsidRPr="00925C94" w:rsidRDefault="005D38D3" w:rsidP="0065493C">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53%</w:t>
            </w:r>
          </w:p>
        </w:tc>
        <w:tc>
          <w:tcPr>
            <w:tcW w:w="782" w:type="pct"/>
            <w:tcBorders>
              <w:top w:val="nil"/>
              <w:left w:val="nil"/>
              <w:bottom w:val="nil"/>
              <w:right w:val="single" w:sz="4" w:space="0" w:color="auto"/>
            </w:tcBorders>
            <w:shd w:val="clear" w:color="000000" w:fill="F2DCDB"/>
            <w:noWrap/>
            <w:vAlign w:val="center"/>
            <w:hideMark/>
          </w:tcPr>
          <w:p w14:paraId="13F8092A" w14:textId="77777777" w:rsidR="005D38D3" w:rsidRPr="00925C94" w:rsidRDefault="005D38D3" w:rsidP="0065493C">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47%</w:t>
            </w:r>
          </w:p>
        </w:tc>
      </w:tr>
      <w:tr w:rsidR="005D38D3" w:rsidRPr="00925C94" w14:paraId="0F0C3663" w14:textId="77777777" w:rsidTr="00A35C25">
        <w:trPr>
          <w:trHeight w:val="300"/>
        </w:trPr>
        <w:tc>
          <w:tcPr>
            <w:tcW w:w="1115" w:type="pct"/>
            <w:vMerge w:val="restart"/>
            <w:tcBorders>
              <w:top w:val="nil"/>
              <w:left w:val="single" w:sz="4" w:space="0" w:color="auto"/>
              <w:bottom w:val="nil"/>
              <w:right w:val="nil"/>
            </w:tcBorders>
            <w:shd w:val="clear" w:color="000000" w:fill="F2F2F2"/>
            <w:noWrap/>
            <w:vAlign w:val="center"/>
            <w:hideMark/>
          </w:tcPr>
          <w:p w14:paraId="46F36BC9" w14:textId="77777777" w:rsidR="005D38D3" w:rsidRPr="00925C94" w:rsidRDefault="005D38D3" w:rsidP="00A35C25">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Fitzroy</w:t>
            </w:r>
          </w:p>
        </w:tc>
        <w:tc>
          <w:tcPr>
            <w:tcW w:w="325" w:type="pct"/>
            <w:tcBorders>
              <w:top w:val="nil"/>
              <w:left w:val="single" w:sz="4" w:space="0" w:color="auto"/>
              <w:bottom w:val="nil"/>
              <w:right w:val="single" w:sz="4" w:space="0" w:color="auto"/>
            </w:tcBorders>
            <w:shd w:val="clear" w:color="000000" w:fill="F2F2F2"/>
            <w:noWrap/>
            <w:vAlign w:val="center"/>
            <w:hideMark/>
          </w:tcPr>
          <w:p w14:paraId="037AE5B9" w14:textId="77777777" w:rsidR="005D38D3" w:rsidRPr="00925C94" w:rsidRDefault="005D38D3" w:rsidP="00A35C25">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area</w:t>
            </w:r>
          </w:p>
        </w:tc>
        <w:tc>
          <w:tcPr>
            <w:tcW w:w="430" w:type="pct"/>
            <w:tcBorders>
              <w:top w:val="nil"/>
              <w:left w:val="nil"/>
              <w:bottom w:val="nil"/>
              <w:right w:val="single" w:sz="4" w:space="0" w:color="auto"/>
            </w:tcBorders>
            <w:shd w:val="clear" w:color="000000" w:fill="F2F2F2"/>
            <w:noWrap/>
            <w:vAlign w:val="center"/>
            <w:hideMark/>
          </w:tcPr>
          <w:p w14:paraId="1CCBACAC" w14:textId="77777777" w:rsidR="005D38D3" w:rsidRPr="00925C94" w:rsidRDefault="005D38D3" w:rsidP="00B755E6">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86</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860</w:t>
            </w:r>
          </w:p>
        </w:tc>
        <w:tc>
          <w:tcPr>
            <w:tcW w:w="377" w:type="pct"/>
            <w:tcBorders>
              <w:top w:val="nil"/>
              <w:left w:val="nil"/>
              <w:bottom w:val="nil"/>
              <w:right w:val="nil"/>
            </w:tcBorders>
            <w:shd w:val="clear" w:color="auto" w:fill="auto"/>
            <w:noWrap/>
            <w:vAlign w:val="center"/>
            <w:hideMark/>
          </w:tcPr>
          <w:p w14:paraId="4CABFA61" w14:textId="77777777" w:rsidR="005D38D3" w:rsidRPr="00925C94" w:rsidRDefault="005D38D3" w:rsidP="00F22F6C">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16</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101</w:t>
            </w:r>
          </w:p>
        </w:tc>
        <w:tc>
          <w:tcPr>
            <w:tcW w:w="478" w:type="pct"/>
            <w:tcBorders>
              <w:top w:val="nil"/>
              <w:left w:val="nil"/>
              <w:bottom w:val="nil"/>
              <w:right w:val="nil"/>
            </w:tcBorders>
            <w:shd w:val="clear" w:color="auto" w:fill="auto"/>
            <w:noWrap/>
            <w:vAlign w:val="center"/>
            <w:hideMark/>
          </w:tcPr>
          <w:p w14:paraId="7CB14868" w14:textId="77777777" w:rsidR="005D38D3" w:rsidRPr="00925C94" w:rsidRDefault="005D38D3" w:rsidP="00CF0671">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18</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800</w:t>
            </w:r>
          </w:p>
        </w:tc>
        <w:tc>
          <w:tcPr>
            <w:tcW w:w="377" w:type="pct"/>
            <w:tcBorders>
              <w:top w:val="nil"/>
              <w:left w:val="nil"/>
              <w:bottom w:val="nil"/>
              <w:right w:val="nil"/>
            </w:tcBorders>
            <w:shd w:val="clear" w:color="auto" w:fill="auto"/>
            <w:noWrap/>
            <w:vAlign w:val="center"/>
            <w:hideMark/>
          </w:tcPr>
          <w:p w14:paraId="3833B092" w14:textId="77777777" w:rsidR="005D38D3" w:rsidRPr="00925C94" w:rsidRDefault="005D38D3" w:rsidP="00CF0671">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6</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266</w:t>
            </w:r>
          </w:p>
        </w:tc>
        <w:tc>
          <w:tcPr>
            <w:tcW w:w="532" w:type="pct"/>
            <w:tcBorders>
              <w:top w:val="nil"/>
              <w:left w:val="nil"/>
              <w:bottom w:val="nil"/>
              <w:right w:val="nil"/>
            </w:tcBorders>
            <w:shd w:val="clear" w:color="auto" w:fill="auto"/>
            <w:noWrap/>
            <w:vAlign w:val="center"/>
            <w:hideMark/>
          </w:tcPr>
          <w:p w14:paraId="3209B55F" w14:textId="77777777" w:rsidR="005D38D3" w:rsidRPr="00925C94" w:rsidRDefault="005D38D3" w:rsidP="00CF0671">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1</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421</w:t>
            </w:r>
          </w:p>
        </w:tc>
        <w:tc>
          <w:tcPr>
            <w:tcW w:w="584" w:type="pct"/>
            <w:tcBorders>
              <w:top w:val="nil"/>
              <w:left w:val="nil"/>
              <w:bottom w:val="nil"/>
              <w:right w:val="nil"/>
            </w:tcBorders>
            <w:shd w:val="clear" w:color="000000" w:fill="F2DCDB"/>
            <w:noWrap/>
            <w:vAlign w:val="center"/>
            <w:hideMark/>
          </w:tcPr>
          <w:p w14:paraId="397FB94E" w14:textId="77777777" w:rsidR="005D38D3" w:rsidRPr="00925C94" w:rsidRDefault="005D38D3" w:rsidP="00CF0671">
            <w:pPr>
              <w:spacing w:before="0" w:after="0"/>
              <w:jc w:val="center"/>
              <w:rPr>
                <w:rFonts w:ascii="Calibri" w:hAnsi="Calibri" w:cs="Times New Roman"/>
                <w:b/>
                <w:bCs/>
                <w:sz w:val="20"/>
                <w:szCs w:val="20"/>
              </w:rPr>
            </w:pPr>
            <w:r w:rsidRPr="00925C94">
              <w:rPr>
                <w:rFonts w:ascii="Calibri" w:hAnsi="Calibri" w:cs="Times New Roman"/>
                <w:b/>
                <w:bCs/>
                <w:sz w:val="20"/>
                <w:szCs w:val="20"/>
              </w:rPr>
              <w:t>42</w:t>
            </w:r>
            <w:r w:rsidR="00CE2946" w:rsidRPr="00925C94">
              <w:rPr>
                <w:rFonts w:ascii="Calibri" w:hAnsi="Calibri" w:cs="Times New Roman"/>
                <w:b/>
                <w:bCs/>
                <w:sz w:val="20"/>
                <w:szCs w:val="20"/>
              </w:rPr>
              <w:t>,</w:t>
            </w:r>
            <w:r w:rsidRPr="00925C94">
              <w:rPr>
                <w:rFonts w:ascii="Calibri" w:hAnsi="Calibri" w:cs="Times New Roman"/>
                <w:b/>
                <w:bCs/>
                <w:sz w:val="20"/>
                <w:szCs w:val="20"/>
              </w:rPr>
              <w:t>587</w:t>
            </w:r>
          </w:p>
        </w:tc>
        <w:tc>
          <w:tcPr>
            <w:tcW w:w="782" w:type="pct"/>
            <w:tcBorders>
              <w:top w:val="nil"/>
              <w:left w:val="nil"/>
              <w:bottom w:val="nil"/>
              <w:right w:val="single" w:sz="4" w:space="0" w:color="auto"/>
            </w:tcBorders>
            <w:shd w:val="clear" w:color="000000" w:fill="F2DCDB"/>
            <w:noWrap/>
            <w:vAlign w:val="center"/>
            <w:hideMark/>
          </w:tcPr>
          <w:p w14:paraId="73F4BD39" w14:textId="77777777" w:rsidR="005D38D3" w:rsidRPr="00925C94" w:rsidRDefault="005D38D3" w:rsidP="00CF0671">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44</w:t>
            </w:r>
            <w:r w:rsidR="00CE2946" w:rsidRPr="00925C94">
              <w:rPr>
                <w:rFonts w:ascii="Calibri" w:hAnsi="Calibri" w:cs="Times New Roman"/>
                <w:b/>
                <w:bCs/>
                <w:color w:val="000000"/>
                <w:sz w:val="20"/>
                <w:szCs w:val="20"/>
              </w:rPr>
              <w:t>,</w:t>
            </w:r>
            <w:r w:rsidRPr="00925C94">
              <w:rPr>
                <w:rFonts w:ascii="Calibri" w:hAnsi="Calibri" w:cs="Times New Roman"/>
                <w:b/>
                <w:bCs/>
                <w:color w:val="000000"/>
                <w:sz w:val="20"/>
                <w:szCs w:val="20"/>
              </w:rPr>
              <w:t>273</w:t>
            </w:r>
          </w:p>
        </w:tc>
      </w:tr>
      <w:tr w:rsidR="005D38D3" w:rsidRPr="00925C94" w14:paraId="138210FA" w14:textId="77777777" w:rsidTr="00A35C25">
        <w:trPr>
          <w:trHeight w:val="300"/>
        </w:trPr>
        <w:tc>
          <w:tcPr>
            <w:tcW w:w="1115" w:type="pct"/>
            <w:vMerge/>
            <w:tcBorders>
              <w:top w:val="nil"/>
              <w:left w:val="single" w:sz="4" w:space="0" w:color="auto"/>
              <w:bottom w:val="nil"/>
              <w:right w:val="nil"/>
            </w:tcBorders>
            <w:vAlign w:val="center"/>
            <w:hideMark/>
          </w:tcPr>
          <w:p w14:paraId="628F1F0C" w14:textId="77777777" w:rsidR="005D38D3" w:rsidRPr="00925C94" w:rsidRDefault="005D38D3" w:rsidP="0065493C">
            <w:pPr>
              <w:spacing w:before="0" w:after="0"/>
              <w:jc w:val="center"/>
              <w:rPr>
                <w:rFonts w:ascii="Calibri" w:hAnsi="Calibri" w:cs="Times New Roman"/>
                <w:b/>
                <w:bCs/>
                <w:color w:val="000000"/>
                <w:sz w:val="20"/>
                <w:szCs w:val="20"/>
              </w:rPr>
            </w:pPr>
          </w:p>
        </w:tc>
        <w:tc>
          <w:tcPr>
            <w:tcW w:w="325" w:type="pct"/>
            <w:tcBorders>
              <w:top w:val="nil"/>
              <w:left w:val="single" w:sz="4" w:space="0" w:color="auto"/>
              <w:bottom w:val="nil"/>
              <w:right w:val="single" w:sz="4" w:space="0" w:color="auto"/>
            </w:tcBorders>
            <w:shd w:val="clear" w:color="000000" w:fill="F2F2F2"/>
            <w:noWrap/>
            <w:vAlign w:val="center"/>
            <w:hideMark/>
          </w:tcPr>
          <w:p w14:paraId="27A6FA35" w14:textId="77777777" w:rsidR="005D38D3" w:rsidRPr="00925C94" w:rsidRDefault="005D38D3" w:rsidP="0065493C">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w:t>
            </w:r>
          </w:p>
        </w:tc>
        <w:tc>
          <w:tcPr>
            <w:tcW w:w="430" w:type="pct"/>
            <w:tcBorders>
              <w:top w:val="nil"/>
              <w:left w:val="nil"/>
              <w:bottom w:val="nil"/>
              <w:right w:val="single" w:sz="4" w:space="0" w:color="auto"/>
            </w:tcBorders>
            <w:shd w:val="clear" w:color="000000" w:fill="F2F2F2"/>
            <w:noWrap/>
            <w:vAlign w:val="center"/>
            <w:hideMark/>
          </w:tcPr>
          <w:p w14:paraId="4BD99DD8" w14:textId="77777777" w:rsidR="005D38D3" w:rsidRPr="00925C94" w:rsidRDefault="005D38D3" w:rsidP="0065493C">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100%</w:t>
            </w:r>
          </w:p>
        </w:tc>
        <w:tc>
          <w:tcPr>
            <w:tcW w:w="377" w:type="pct"/>
            <w:tcBorders>
              <w:top w:val="nil"/>
              <w:left w:val="nil"/>
              <w:bottom w:val="nil"/>
              <w:right w:val="nil"/>
            </w:tcBorders>
            <w:shd w:val="clear" w:color="auto" w:fill="auto"/>
            <w:noWrap/>
            <w:vAlign w:val="center"/>
            <w:hideMark/>
          </w:tcPr>
          <w:p w14:paraId="76893218" w14:textId="77777777" w:rsidR="005D38D3" w:rsidRPr="00925C94" w:rsidRDefault="005D38D3" w:rsidP="0065493C">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19%</w:t>
            </w:r>
          </w:p>
        </w:tc>
        <w:tc>
          <w:tcPr>
            <w:tcW w:w="478" w:type="pct"/>
            <w:tcBorders>
              <w:top w:val="nil"/>
              <w:left w:val="nil"/>
              <w:bottom w:val="nil"/>
              <w:right w:val="nil"/>
            </w:tcBorders>
            <w:shd w:val="clear" w:color="auto" w:fill="auto"/>
            <w:noWrap/>
            <w:vAlign w:val="center"/>
            <w:hideMark/>
          </w:tcPr>
          <w:p w14:paraId="0853BFA1" w14:textId="77777777" w:rsidR="005D38D3" w:rsidRPr="00925C94" w:rsidRDefault="005D38D3" w:rsidP="0065493C">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22%</w:t>
            </w:r>
          </w:p>
        </w:tc>
        <w:tc>
          <w:tcPr>
            <w:tcW w:w="377" w:type="pct"/>
            <w:tcBorders>
              <w:top w:val="nil"/>
              <w:left w:val="nil"/>
              <w:bottom w:val="nil"/>
              <w:right w:val="nil"/>
            </w:tcBorders>
            <w:shd w:val="clear" w:color="auto" w:fill="auto"/>
            <w:noWrap/>
            <w:vAlign w:val="center"/>
            <w:hideMark/>
          </w:tcPr>
          <w:p w14:paraId="0FEB2F2D" w14:textId="77777777" w:rsidR="005D38D3" w:rsidRPr="00925C94" w:rsidRDefault="005D38D3" w:rsidP="0065493C">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7%</w:t>
            </w:r>
          </w:p>
        </w:tc>
        <w:tc>
          <w:tcPr>
            <w:tcW w:w="532" w:type="pct"/>
            <w:tcBorders>
              <w:top w:val="nil"/>
              <w:left w:val="nil"/>
              <w:bottom w:val="nil"/>
              <w:right w:val="nil"/>
            </w:tcBorders>
            <w:shd w:val="clear" w:color="auto" w:fill="auto"/>
            <w:noWrap/>
            <w:vAlign w:val="center"/>
            <w:hideMark/>
          </w:tcPr>
          <w:p w14:paraId="4C7D80DA" w14:textId="77777777" w:rsidR="005D38D3" w:rsidRPr="00925C94" w:rsidRDefault="005D38D3" w:rsidP="0065493C">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2%</w:t>
            </w:r>
          </w:p>
        </w:tc>
        <w:tc>
          <w:tcPr>
            <w:tcW w:w="584" w:type="pct"/>
            <w:tcBorders>
              <w:top w:val="nil"/>
              <w:left w:val="nil"/>
              <w:bottom w:val="nil"/>
              <w:right w:val="nil"/>
            </w:tcBorders>
            <w:shd w:val="clear" w:color="000000" w:fill="F2DCDB"/>
            <w:noWrap/>
            <w:vAlign w:val="center"/>
            <w:hideMark/>
          </w:tcPr>
          <w:p w14:paraId="05C50B2F" w14:textId="77777777" w:rsidR="005D38D3" w:rsidRPr="00925C94" w:rsidRDefault="005D38D3" w:rsidP="0065493C">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49%</w:t>
            </w:r>
          </w:p>
        </w:tc>
        <w:tc>
          <w:tcPr>
            <w:tcW w:w="782" w:type="pct"/>
            <w:tcBorders>
              <w:top w:val="nil"/>
              <w:left w:val="nil"/>
              <w:bottom w:val="nil"/>
              <w:right w:val="single" w:sz="4" w:space="0" w:color="auto"/>
            </w:tcBorders>
            <w:shd w:val="clear" w:color="000000" w:fill="F2DCDB"/>
            <w:noWrap/>
            <w:vAlign w:val="center"/>
            <w:hideMark/>
          </w:tcPr>
          <w:p w14:paraId="734AB155" w14:textId="77777777" w:rsidR="005D38D3" w:rsidRPr="00925C94" w:rsidRDefault="005D38D3" w:rsidP="0065493C">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51%</w:t>
            </w:r>
          </w:p>
        </w:tc>
      </w:tr>
      <w:tr w:rsidR="005D38D3" w:rsidRPr="00925C94" w14:paraId="1C783F15" w14:textId="77777777" w:rsidTr="00A35C25">
        <w:trPr>
          <w:trHeight w:val="300"/>
        </w:trPr>
        <w:tc>
          <w:tcPr>
            <w:tcW w:w="1115" w:type="pct"/>
            <w:vMerge w:val="restart"/>
            <w:tcBorders>
              <w:top w:val="nil"/>
              <w:left w:val="single" w:sz="4" w:space="0" w:color="auto"/>
              <w:bottom w:val="single" w:sz="4" w:space="0" w:color="000000"/>
              <w:right w:val="single" w:sz="4" w:space="0" w:color="auto"/>
            </w:tcBorders>
            <w:shd w:val="clear" w:color="000000" w:fill="F2F2F2"/>
            <w:vAlign w:val="center"/>
            <w:hideMark/>
          </w:tcPr>
          <w:p w14:paraId="7FD20D79" w14:textId="77777777" w:rsidR="005D38D3" w:rsidRPr="00925C94" w:rsidRDefault="005D38D3" w:rsidP="00A35C25">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Burnett-Mary</w:t>
            </w:r>
          </w:p>
        </w:tc>
        <w:tc>
          <w:tcPr>
            <w:tcW w:w="325" w:type="pct"/>
            <w:tcBorders>
              <w:top w:val="nil"/>
              <w:left w:val="nil"/>
              <w:bottom w:val="nil"/>
              <w:right w:val="single" w:sz="4" w:space="0" w:color="auto"/>
            </w:tcBorders>
            <w:shd w:val="clear" w:color="000000" w:fill="F2F2F2"/>
            <w:noWrap/>
            <w:vAlign w:val="center"/>
            <w:hideMark/>
          </w:tcPr>
          <w:p w14:paraId="385BE62D" w14:textId="77777777" w:rsidR="005D38D3" w:rsidRPr="00925C94" w:rsidRDefault="005D38D3" w:rsidP="00A35C25">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area</w:t>
            </w:r>
          </w:p>
        </w:tc>
        <w:tc>
          <w:tcPr>
            <w:tcW w:w="430" w:type="pct"/>
            <w:tcBorders>
              <w:top w:val="nil"/>
              <w:left w:val="nil"/>
              <w:bottom w:val="nil"/>
              <w:right w:val="single" w:sz="4" w:space="0" w:color="auto"/>
            </w:tcBorders>
            <w:shd w:val="clear" w:color="000000" w:fill="F2F2F2"/>
            <w:noWrap/>
            <w:vAlign w:val="center"/>
            <w:hideMark/>
          </w:tcPr>
          <w:p w14:paraId="389A12B5" w14:textId="77777777" w:rsidR="005D38D3" w:rsidRPr="00925C94" w:rsidRDefault="005D38D3" w:rsidP="00B755E6">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37</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712</w:t>
            </w:r>
          </w:p>
        </w:tc>
        <w:tc>
          <w:tcPr>
            <w:tcW w:w="377" w:type="pct"/>
            <w:tcBorders>
              <w:top w:val="nil"/>
              <w:left w:val="nil"/>
              <w:bottom w:val="nil"/>
              <w:right w:val="nil"/>
            </w:tcBorders>
            <w:shd w:val="clear" w:color="auto" w:fill="auto"/>
            <w:noWrap/>
            <w:vAlign w:val="center"/>
            <w:hideMark/>
          </w:tcPr>
          <w:p w14:paraId="09CC72BD" w14:textId="77777777" w:rsidR="005D38D3" w:rsidRPr="00925C94" w:rsidRDefault="005D38D3" w:rsidP="00F22F6C">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4</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706</w:t>
            </w:r>
          </w:p>
        </w:tc>
        <w:tc>
          <w:tcPr>
            <w:tcW w:w="478" w:type="pct"/>
            <w:tcBorders>
              <w:top w:val="nil"/>
              <w:left w:val="nil"/>
              <w:bottom w:val="nil"/>
              <w:right w:val="nil"/>
            </w:tcBorders>
            <w:shd w:val="clear" w:color="auto" w:fill="auto"/>
            <w:noWrap/>
            <w:vAlign w:val="center"/>
            <w:hideMark/>
          </w:tcPr>
          <w:p w14:paraId="035A6CFE" w14:textId="77777777" w:rsidR="005D38D3" w:rsidRPr="00925C94" w:rsidRDefault="005D38D3" w:rsidP="00CF0671">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6</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317</w:t>
            </w:r>
          </w:p>
        </w:tc>
        <w:tc>
          <w:tcPr>
            <w:tcW w:w="377" w:type="pct"/>
            <w:tcBorders>
              <w:top w:val="nil"/>
              <w:left w:val="nil"/>
              <w:bottom w:val="nil"/>
              <w:right w:val="nil"/>
            </w:tcBorders>
            <w:shd w:val="clear" w:color="auto" w:fill="auto"/>
            <w:noWrap/>
            <w:vAlign w:val="center"/>
            <w:hideMark/>
          </w:tcPr>
          <w:p w14:paraId="3F1405D2" w14:textId="77777777" w:rsidR="005D38D3" w:rsidRPr="00925C94" w:rsidRDefault="005D38D3" w:rsidP="00CF0671">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569</w:t>
            </w:r>
          </w:p>
        </w:tc>
        <w:tc>
          <w:tcPr>
            <w:tcW w:w="532" w:type="pct"/>
            <w:tcBorders>
              <w:top w:val="nil"/>
              <w:left w:val="nil"/>
              <w:bottom w:val="nil"/>
              <w:right w:val="nil"/>
            </w:tcBorders>
            <w:shd w:val="clear" w:color="auto" w:fill="auto"/>
            <w:noWrap/>
            <w:vAlign w:val="center"/>
            <w:hideMark/>
          </w:tcPr>
          <w:p w14:paraId="7E300FF1" w14:textId="77777777" w:rsidR="005D38D3" w:rsidRPr="00925C94" w:rsidRDefault="005D38D3" w:rsidP="00CF0671">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87</w:t>
            </w:r>
          </w:p>
        </w:tc>
        <w:tc>
          <w:tcPr>
            <w:tcW w:w="584" w:type="pct"/>
            <w:tcBorders>
              <w:top w:val="nil"/>
              <w:left w:val="nil"/>
              <w:bottom w:val="nil"/>
              <w:right w:val="nil"/>
            </w:tcBorders>
            <w:shd w:val="clear" w:color="000000" w:fill="F2DCDB"/>
            <w:noWrap/>
            <w:vAlign w:val="center"/>
            <w:hideMark/>
          </w:tcPr>
          <w:p w14:paraId="14E09BC5" w14:textId="77777777" w:rsidR="005D38D3" w:rsidRPr="00925C94" w:rsidRDefault="005D38D3" w:rsidP="00CF0671">
            <w:pPr>
              <w:spacing w:before="0" w:after="0"/>
              <w:jc w:val="center"/>
              <w:rPr>
                <w:rFonts w:ascii="Calibri" w:hAnsi="Calibri" w:cs="Times New Roman"/>
                <w:b/>
                <w:bCs/>
                <w:sz w:val="20"/>
                <w:szCs w:val="20"/>
              </w:rPr>
            </w:pPr>
            <w:r w:rsidRPr="00925C94">
              <w:rPr>
                <w:rFonts w:ascii="Calibri" w:hAnsi="Calibri" w:cs="Times New Roman"/>
                <w:b/>
                <w:bCs/>
                <w:sz w:val="20"/>
                <w:szCs w:val="20"/>
              </w:rPr>
              <w:t>11</w:t>
            </w:r>
            <w:r w:rsidR="00CE2946" w:rsidRPr="00925C94">
              <w:rPr>
                <w:rFonts w:ascii="Calibri" w:hAnsi="Calibri" w:cs="Times New Roman"/>
                <w:b/>
                <w:bCs/>
                <w:sz w:val="20"/>
                <w:szCs w:val="20"/>
              </w:rPr>
              <w:t>,</w:t>
            </w:r>
            <w:r w:rsidRPr="00925C94">
              <w:rPr>
                <w:rFonts w:ascii="Calibri" w:hAnsi="Calibri" w:cs="Times New Roman"/>
                <w:b/>
                <w:bCs/>
                <w:sz w:val="20"/>
                <w:szCs w:val="20"/>
              </w:rPr>
              <w:t>680</w:t>
            </w:r>
          </w:p>
        </w:tc>
        <w:tc>
          <w:tcPr>
            <w:tcW w:w="782" w:type="pct"/>
            <w:tcBorders>
              <w:top w:val="nil"/>
              <w:left w:val="nil"/>
              <w:bottom w:val="nil"/>
              <w:right w:val="single" w:sz="4" w:space="0" w:color="auto"/>
            </w:tcBorders>
            <w:shd w:val="clear" w:color="000000" w:fill="F2DCDB"/>
            <w:noWrap/>
            <w:vAlign w:val="center"/>
            <w:hideMark/>
          </w:tcPr>
          <w:p w14:paraId="07C49AEE" w14:textId="77777777" w:rsidR="005D38D3" w:rsidRPr="00925C94" w:rsidRDefault="005D38D3" w:rsidP="00CF0671">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26</w:t>
            </w:r>
            <w:r w:rsidR="00CE2946" w:rsidRPr="00925C94">
              <w:rPr>
                <w:rFonts w:ascii="Calibri" w:hAnsi="Calibri" w:cs="Times New Roman"/>
                <w:b/>
                <w:bCs/>
                <w:color w:val="000000"/>
                <w:sz w:val="20"/>
                <w:szCs w:val="20"/>
              </w:rPr>
              <w:t>,</w:t>
            </w:r>
            <w:r w:rsidRPr="00925C94">
              <w:rPr>
                <w:rFonts w:ascii="Calibri" w:hAnsi="Calibri" w:cs="Times New Roman"/>
                <w:b/>
                <w:bCs/>
                <w:color w:val="000000"/>
                <w:sz w:val="20"/>
                <w:szCs w:val="20"/>
              </w:rPr>
              <w:t>032</w:t>
            </w:r>
          </w:p>
        </w:tc>
      </w:tr>
      <w:tr w:rsidR="005D38D3" w:rsidRPr="00925C94" w14:paraId="4B506A0C" w14:textId="77777777" w:rsidTr="00A35C25">
        <w:trPr>
          <w:trHeight w:val="300"/>
        </w:trPr>
        <w:tc>
          <w:tcPr>
            <w:tcW w:w="1115" w:type="pct"/>
            <w:vMerge/>
            <w:tcBorders>
              <w:top w:val="nil"/>
              <w:left w:val="single" w:sz="4" w:space="0" w:color="auto"/>
              <w:bottom w:val="single" w:sz="4" w:space="0" w:color="000000"/>
              <w:right w:val="single" w:sz="4" w:space="0" w:color="auto"/>
            </w:tcBorders>
            <w:vAlign w:val="center"/>
            <w:hideMark/>
          </w:tcPr>
          <w:p w14:paraId="4C18B8F5" w14:textId="77777777" w:rsidR="005D38D3" w:rsidRPr="00925C94" w:rsidRDefault="005D38D3" w:rsidP="0065493C">
            <w:pPr>
              <w:spacing w:before="0" w:after="0"/>
              <w:jc w:val="center"/>
              <w:rPr>
                <w:rFonts w:ascii="Calibri" w:hAnsi="Calibri" w:cs="Times New Roman"/>
                <w:b/>
                <w:bCs/>
                <w:color w:val="000000"/>
                <w:sz w:val="20"/>
                <w:szCs w:val="20"/>
              </w:rPr>
            </w:pPr>
          </w:p>
        </w:tc>
        <w:tc>
          <w:tcPr>
            <w:tcW w:w="325" w:type="pct"/>
            <w:tcBorders>
              <w:top w:val="nil"/>
              <w:left w:val="nil"/>
              <w:bottom w:val="single" w:sz="4" w:space="0" w:color="auto"/>
              <w:right w:val="single" w:sz="4" w:space="0" w:color="auto"/>
            </w:tcBorders>
            <w:shd w:val="clear" w:color="000000" w:fill="F2F2F2"/>
            <w:noWrap/>
            <w:vAlign w:val="center"/>
            <w:hideMark/>
          </w:tcPr>
          <w:p w14:paraId="6B7C6EE9" w14:textId="77777777" w:rsidR="005D38D3" w:rsidRPr="00925C94" w:rsidRDefault="005D38D3" w:rsidP="0065493C">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w:t>
            </w:r>
          </w:p>
        </w:tc>
        <w:tc>
          <w:tcPr>
            <w:tcW w:w="430" w:type="pct"/>
            <w:tcBorders>
              <w:top w:val="nil"/>
              <w:left w:val="nil"/>
              <w:bottom w:val="single" w:sz="4" w:space="0" w:color="auto"/>
              <w:right w:val="single" w:sz="4" w:space="0" w:color="auto"/>
            </w:tcBorders>
            <w:shd w:val="clear" w:color="000000" w:fill="F2F2F2"/>
            <w:noWrap/>
            <w:vAlign w:val="center"/>
            <w:hideMark/>
          </w:tcPr>
          <w:p w14:paraId="1FB7CDAB" w14:textId="77777777" w:rsidR="005D38D3" w:rsidRPr="00925C94" w:rsidRDefault="005D38D3" w:rsidP="0065493C">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100%</w:t>
            </w:r>
          </w:p>
        </w:tc>
        <w:tc>
          <w:tcPr>
            <w:tcW w:w="377" w:type="pct"/>
            <w:tcBorders>
              <w:top w:val="nil"/>
              <w:left w:val="nil"/>
              <w:bottom w:val="single" w:sz="4" w:space="0" w:color="auto"/>
              <w:right w:val="nil"/>
            </w:tcBorders>
            <w:shd w:val="clear" w:color="auto" w:fill="auto"/>
            <w:noWrap/>
            <w:vAlign w:val="center"/>
            <w:hideMark/>
          </w:tcPr>
          <w:p w14:paraId="6959D7AF" w14:textId="77777777" w:rsidR="005D38D3" w:rsidRPr="00925C94" w:rsidRDefault="005D38D3" w:rsidP="0065493C">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12%</w:t>
            </w:r>
          </w:p>
        </w:tc>
        <w:tc>
          <w:tcPr>
            <w:tcW w:w="478" w:type="pct"/>
            <w:tcBorders>
              <w:top w:val="nil"/>
              <w:left w:val="nil"/>
              <w:bottom w:val="single" w:sz="4" w:space="0" w:color="auto"/>
              <w:right w:val="nil"/>
            </w:tcBorders>
            <w:shd w:val="clear" w:color="auto" w:fill="auto"/>
            <w:noWrap/>
            <w:vAlign w:val="center"/>
            <w:hideMark/>
          </w:tcPr>
          <w:p w14:paraId="36B4481D" w14:textId="77777777" w:rsidR="005D38D3" w:rsidRPr="00925C94" w:rsidRDefault="005D38D3" w:rsidP="0065493C">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17%</w:t>
            </w:r>
          </w:p>
        </w:tc>
        <w:tc>
          <w:tcPr>
            <w:tcW w:w="377" w:type="pct"/>
            <w:tcBorders>
              <w:top w:val="nil"/>
              <w:left w:val="nil"/>
              <w:bottom w:val="single" w:sz="4" w:space="0" w:color="auto"/>
              <w:right w:val="nil"/>
            </w:tcBorders>
            <w:shd w:val="clear" w:color="auto" w:fill="auto"/>
            <w:noWrap/>
            <w:vAlign w:val="center"/>
            <w:hideMark/>
          </w:tcPr>
          <w:p w14:paraId="3D3F5DD2" w14:textId="77777777" w:rsidR="005D38D3" w:rsidRPr="00925C94" w:rsidRDefault="005D38D3" w:rsidP="0065493C">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2%</w:t>
            </w:r>
          </w:p>
        </w:tc>
        <w:tc>
          <w:tcPr>
            <w:tcW w:w="532" w:type="pct"/>
            <w:tcBorders>
              <w:top w:val="nil"/>
              <w:left w:val="nil"/>
              <w:bottom w:val="single" w:sz="4" w:space="0" w:color="auto"/>
              <w:right w:val="nil"/>
            </w:tcBorders>
            <w:shd w:val="clear" w:color="auto" w:fill="auto"/>
            <w:noWrap/>
            <w:vAlign w:val="center"/>
            <w:hideMark/>
          </w:tcPr>
          <w:p w14:paraId="42FF2099" w14:textId="77777777" w:rsidR="005D38D3" w:rsidRPr="00925C94" w:rsidRDefault="005D38D3" w:rsidP="0065493C">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0%</w:t>
            </w:r>
          </w:p>
        </w:tc>
        <w:tc>
          <w:tcPr>
            <w:tcW w:w="584" w:type="pct"/>
            <w:tcBorders>
              <w:top w:val="nil"/>
              <w:left w:val="nil"/>
              <w:bottom w:val="single" w:sz="4" w:space="0" w:color="auto"/>
              <w:right w:val="nil"/>
            </w:tcBorders>
            <w:shd w:val="clear" w:color="000000" w:fill="F2DCDB"/>
            <w:noWrap/>
            <w:vAlign w:val="center"/>
            <w:hideMark/>
          </w:tcPr>
          <w:p w14:paraId="50926938" w14:textId="77777777" w:rsidR="005D38D3" w:rsidRPr="00925C94" w:rsidRDefault="005D38D3" w:rsidP="0065493C">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31%</w:t>
            </w:r>
          </w:p>
        </w:tc>
        <w:tc>
          <w:tcPr>
            <w:tcW w:w="782" w:type="pct"/>
            <w:tcBorders>
              <w:top w:val="nil"/>
              <w:left w:val="nil"/>
              <w:bottom w:val="single" w:sz="4" w:space="0" w:color="auto"/>
              <w:right w:val="single" w:sz="4" w:space="0" w:color="auto"/>
            </w:tcBorders>
            <w:shd w:val="clear" w:color="000000" w:fill="F2DCDB"/>
            <w:noWrap/>
            <w:vAlign w:val="center"/>
            <w:hideMark/>
          </w:tcPr>
          <w:p w14:paraId="1BDB68CE" w14:textId="77777777" w:rsidR="005D38D3" w:rsidRPr="00925C94" w:rsidRDefault="005D38D3" w:rsidP="0065493C">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69%</w:t>
            </w:r>
          </w:p>
        </w:tc>
      </w:tr>
    </w:tbl>
    <w:p w14:paraId="67012593" w14:textId="77777777" w:rsidR="005D38D3" w:rsidRPr="00724A30" w:rsidRDefault="005D38D3" w:rsidP="005D38D3">
      <w:pPr>
        <w:spacing w:after="120"/>
        <w:rPr>
          <w:b/>
          <w:highlight w:val="yellow"/>
          <w:u w:val="single"/>
        </w:rPr>
      </w:pPr>
    </w:p>
    <w:p w14:paraId="320B62BA" w14:textId="19A0DDD1" w:rsidR="005D38D3" w:rsidRPr="00724A30" w:rsidRDefault="005D38D3" w:rsidP="005D38D3">
      <w:pPr>
        <w:pStyle w:val="Caption"/>
        <w:rPr>
          <w:szCs w:val="22"/>
        </w:rPr>
      </w:pPr>
      <w:bookmarkStart w:id="296" w:name="_Ref392779093"/>
      <w:bookmarkStart w:id="297" w:name="_Toc454304625"/>
      <w:r w:rsidRPr="00724A30">
        <w:rPr>
          <w:szCs w:val="22"/>
        </w:rPr>
        <w:t xml:space="preserve">Table </w:t>
      </w:r>
      <w:r w:rsidR="00445BD2">
        <w:rPr>
          <w:szCs w:val="22"/>
        </w:rPr>
        <w:fldChar w:fldCharType="begin"/>
      </w:r>
      <w:r w:rsidR="00445BD2">
        <w:rPr>
          <w:szCs w:val="22"/>
        </w:rPr>
        <w:instrText xml:space="preserve"> STYLEREF 1 \s </w:instrText>
      </w:r>
      <w:r w:rsidR="00445BD2">
        <w:rPr>
          <w:szCs w:val="22"/>
        </w:rPr>
        <w:fldChar w:fldCharType="separate"/>
      </w:r>
      <w:r w:rsidR="000E22F3">
        <w:rPr>
          <w:noProof/>
          <w:szCs w:val="22"/>
        </w:rPr>
        <w:t>5</w:t>
      </w:r>
      <w:r w:rsidR="00445BD2">
        <w:rPr>
          <w:szCs w:val="22"/>
        </w:rPr>
        <w:fldChar w:fldCharType="end"/>
      </w:r>
      <w:r w:rsidR="00445BD2">
        <w:rPr>
          <w:szCs w:val="22"/>
        </w:rPr>
        <w:noBreakHyphen/>
      </w:r>
      <w:r w:rsidR="00445BD2">
        <w:rPr>
          <w:szCs w:val="22"/>
        </w:rPr>
        <w:fldChar w:fldCharType="begin"/>
      </w:r>
      <w:r w:rsidR="00445BD2">
        <w:rPr>
          <w:szCs w:val="22"/>
        </w:rPr>
        <w:instrText xml:space="preserve"> SEQ Table \* ARABIC \s 1 </w:instrText>
      </w:r>
      <w:r w:rsidR="00445BD2">
        <w:rPr>
          <w:szCs w:val="22"/>
        </w:rPr>
        <w:fldChar w:fldCharType="separate"/>
      </w:r>
      <w:r w:rsidR="000E22F3">
        <w:rPr>
          <w:noProof/>
          <w:szCs w:val="22"/>
        </w:rPr>
        <w:t>6</w:t>
      </w:r>
      <w:r w:rsidR="00445BD2">
        <w:rPr>
          <w:szCs w:val="22"/>
        </w:rPr>
        <w:fldChar w:fldCharType="end"/>
      </w:r>
      <w:bookmarkEnd w:id="296"/>
      <w:r w:rsidRPr="00724A30">
        <w:rPr>
          <w:szCs w:val="22"/>
        </w:rPr>
        <w:t>: Areas (km</w:t>
      </w:r>
      <w:r w:rsidRPr="006F0CEF">
        <w:rPr>
          <w:szCs w:val="22"/>
          <w:vertAlign w:val="superscript"/>
        </w:rPr>
        <w:t>2</w:t>
      </w:r>
      <w:r w:rsidRPr="00724A30">
        <w:rPr>
          <w:szCs w:val="22"/>
        </w:rPr>
        <w:t>) and percentage (%) of the coral reefs exposed to different categories of river plume frequency and river plume-related risk within the GBR and each NRM.</w:t>
      </w:r>
      <w:r w:rsidR="000F1641" w:rsidRPr="000F1641">
        <w:t xml:space="preserve"> </w:t>
      </w:r>
      <w:r w:rsidR="000F1641">
        <w:t>S</w:t>
      </w:r>
      <w:r w:rsidR="000F1641" w:rsidRPr="000F1641">
        <w:rPr>
          <w:rFonts w:eastAsia="Calibri"/>
        </w:rPr>
        <w:t xml:space="preserve">urface areas </w:t>
      </w:r>
      <w:r w:rsidR="000F1641">
        <w:rPr>
          <w:rFonts w:eastAsia="Calibri"/>
        </w:rPr>
        <w:t>south of the GBR marine park boundary (</w:t>
      </w:r>
      <w:r w:rsidR="000F1641" w:rsidRPr="000F1641">
        <w:rPr>
          <w:rFonts w:eastAsia="Calibri"/>
        </w:rPr>
        <w:t>Hervey Bay</w:t>
      </w:r>
      <w:r w:rsidR="000F1641">
        <w:rPr>
          <w:rFonts w:eastAsia="Calibri"/>
        </w:rPr>
        <w:t>)</w:t>
      </w:r>
      <w:r w:rsidR="000F1641" w:rsidRPr="000F1641">
        <w:rPr>
          <w:rFonts w:eastAsia="Calibri"/>
        </w:rPr>
        <w:t xml:space="preserve"> </w:t>
      </w:r>
      <w:r w:rsidR="000F1641">
        <w:rPr>
          <w:rFonts w:eastAsia="Calibri"/>
        </w:rPr>
        <w:t xml:space="preserve">are not </w:t>
      </w:r>
      <w:r w:rsidR="000F1641" w:rsidRPr="000F1641">
        <w:rPr>
          <w:rFonts w:eastAsia="Calibri"/>
        </w:rPr>
        <w:t>included</w:t>
      </w:r>
      <w:r w:rsidR="000F1641">
        <w:rPr>
          <w:rFonts w:eastAsia="Calibri"/>
        </w:rPr>
        <w:t>.</w:t>
      </w:r>
      <w:bookmarkEnd w:id="297"/>
    </w:p>
    <w:tbl>
      <w:tblPr>
        <w:tblW w:w="5370" w:type="pct"/>
        <w:tblLook w:val="04A0" w:firstRow="1" w:lastRow="0" w:firstColumn="1" w:lastColumn="0" w:noHBand="0" w:noVBand="1"/>
        <w:tblCaption w:val="Figure 5-6"/>
        <w:tblDescription w:val="Areas (km2) and percentage (%) of the coral reefs exposed to different categories of river plume frequency and river plume-related risk within the GBR and each NRM. Surface areas south of the GBR marine park boundary (Hervey Bay) are not included."/>
      </w:tblPr>
      <w:tblGrid>
        <w:gridCol w:w="2060"/>
        <w:gridCol w:w="1311"/>
        <w:gridCol w:w="832"/>
        <w:gridCol w:w="719"/>
        <w:gridCol w:w="911"/>
        <w:gridCol w:w="558"/>
        <w:gridCol w:w="1056"/>
        <w:gridCol w:w="1058"/>
        <w:gridCol w:w="1422"/>
      </w:tblGrid>
      <w:tr w:rsidR="005D38D3" w:rsidRPr="00925C94" w14:paraId="085B60D1" w14:textId="77777777" w:rsidTr="00A35C25">
        <w:trPr>
          <w:trHeight w:val="300"/>
        </w:trPr>
        <w:tc>
          <w:tcPr>
            <w:tcW w:w="1037" w:type="pct"/>
            <w:tcBorders>
              <w:top w:val="single" w:sz="4" w:space="0" w:color="auto"/>
              <w:left w:val="single" w:sz="4" w:space="0" w:color="auto"/>
              <w:bottom w:val="nil"/>
              <w:right w:val="nil"/>
            </w:tcBorders>
            <w:shd w:val="clear" w:color="auto" w:fill="auto"/>
            <w:noWrap/>
            <w:vAlign w:val="bottom"/>
            <w:hideMark/>
          </w:tcPr>
          <w:p w14:paraId="79D749BE" w14:textId="77777777" w:rsidR="005D38D3" w:rsidRPr="00925C94" w:rsidRDefault="005D38D3" w:rsidP="005D38D3">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 </w:t>
            </w:r>
          </w:p>
        </w:tc>
        <w:tc>
          <w:tcPr>
            <w:tcW w:w="660" w:type="pct"/>
            <w:tcBorders>
              <w:top w:val="single" w:sz="4" w:space="0" w:color="auto"/>
              <w:left w:val="nil"/>
              <w:bottom w:val="nil"/>
              <w:right w:val="nil"/>
            </w:tcBorders>
            <w:shd w:val="clear" w:color="auto" w:fill="auto"/>
            <w:noWrap/>
            <w:vAlign w:val="bottom"/>
            <w:hideMark/>
          </w:tcPr>
          <w:p w14:paraId="5334E580" w14:textId="77777777" w:rsidR="005D38D3" w:rsidRPr="00925C94" w:rsidRDefault="005D38D3" w:rsidP="005D38D3">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 </w:t>
            </w:r>
          </w:p>
        </w:tc>
        <w:tc>
          <w:tcPr>
            <w:tcW w:w="419" w:type="pct"/>
            <w:tcBorders>
              <w:top w:val="single" w:sz="4" w:space="0" w:color="auto"/>
              <w:left w:val="nil"/>
              <w:bottom w:val="nil"/>
              <w:right w:val="nil"/>
            </w:tcBorders>
            <w:shd w:val="clear" w:color="auto" w:fill="auto"/>
            <w:noWrap/>
            <w:vAlign w:val="bottom"/>
            <w:hideMark/>
          </w:tcPr>
          <w:p w14:paraId="2F55337F" w14:textId="77777777" w:rsidR="005D38D3" w:rsidRPr="00925C94" w:rsidRDefault="005D38D3" w:rsidP="005D38D3">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 </w:t>
            </w:r>
          </w:p>
        </w:tc>
        <w:tc>
          <w:tcPr>
            <w:tcW w:w="1634" w:type="pct"/>
            <w:gridSpan w:val="4"/>
            <w:tcBorders>
              <w:top w:val="single" w:sz="4" w:space="0" w:color="auto"/>
              <w:left w:val="single" w:sz="4" w:space="0" w:color="auto"/>
              <w:bottom w:val="single" w:sz="4" w:space="0" w:color="auto"/>
              <w:right w:val="nil"/>
            </w:tcBorders>
            <w:shd w:val="clear" w:color="000000" w:fill="F2F2F2"/>
            <w:noWrap/>
            <w:vAlign w:val="bottom"/>
            <w:hideMark/>
          </w:tcPr>
          <w:p w14:paraId="72A55A5D" w14:textId="77777777" w:rsidR="005D38D3" w:rsidRPr="00925C94" w:rsidRDefault="005D38D3" w:rsidP="005D38D3">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Risk category</w:t>
            </w:r>
          </w:p>
        </w:tc>
        <w:tc>
          <w:tcPr>
            <w:tcW w:w="533" w:type="pct"/>
            <w:vMerge w:val="restart"/>
            <w:tcBorders>
              <w:top w:val="single" w:sz="4" w:space="0" w:color="auto"/>
              <w:left w:val="nil"/>
              <w:bottom w:val="single" w:sz="4" w:space="0" w:color="000000"/>
              <w:right w:val="nil"/>
            </w:tcBorders>
            <w:shd w:val="clear" w:color="000000" w:fill="F2DCDB"/>
            <w:hideMark/>
          </w:tcPr>
          <w:p w14:paraId="4C8889B6" w14:textId="77777777" w:rsidR="005D38D3" w:rsidRPr="00925C94" w:rsidRDefault="005D38D3" w:rsidP="005D38D3">
            <w:pPr>
              <w:spacing w:before="0" w:after="0"/>
              <w:jc w:val="center"/>
              <w:rPr>
                <w:rFonts w:ascii="Calibri" w:hAnsi="Calibri" w:cs="Times New Roman"/>
                <w:b/>
                <w:bCs/>
                <w:sz w:val="20"/>
                <w:szCs w:val="20"/>
              </w:rPr>
            </w:pPr>
            <w:r w:rsidRPr="00925C94">
              <w:rPr>
                <w:sz w:val="20"/>
                <w:szCs w:val="20"/>
              </w:rPr>
              <w:t>TOT exposed</w:t>
            </w:r>
          </w:p>
        </w:tc>
        <w:tc>
          <w:tcPr>
            <w:tcW w:w="716" w:type="pct"/>
            <w:vMerge w:val="restart"/>
            <w:tcBorders>
              <w:top w:val="single" w:sz="4" w:space="0" w:color="auto"/>
              <w:left w:val="nil"/>
              <w:bottom w:val="single" w:sz="4" w:space="0" w:color="000000"/>
              <w:right w:val="single" w:sz="4" w:space="0" w:color="auto"/>
            </w:tcBorders>
            <w:shd w:val="clear" w:color="000000" w:fill="F2DCDB"/>
            <w:hideMark/>
          </w:tcPr>
          <w:p w14:paraId="2D17E28F" w14:textId="77777777" w:rsidR="005D38D3" w:rsidRPr="00925C94" w:rsidRDefault="005D38D3" w:rsidP="005D38D3">
            <w:pPr>
              <w:spacing w:before="0" w:after="0"/>
              <w:jc w:val="center"/>
              <w:rPr>
                <w:rFonts w:ascii="Calibri" w:hAnsi="Calibri" w:cs="Times New Roman"/>
                <w:b/>
                <w:bCs/>
                <w:sz w:val="20"/>
                <w:szCs w:val="20"/>
              </w:rPr>
            </w:pPr>
            <w:r w:rsidRPr="00925C94">
              <w:rPr>
                <w:sz w:val="20"/>
                <w:szCs w:val="20"/>
              </w:rPr>
              <w:t>TOT non exposed</w:t>
            </w:r>
          </w:p>
        </w:tc>
      </w:tr>
      <w:tr w:rsidR="005D38D3" w:rsidRPr="00925C94" w14:paraId="3B1DF255" w14:textId="77777777" w:rsidTr="00A35C25">
        <w:trPr>
          <w:trHeight w:val="300"/>
        </w:trPr>
        <w:tc>
          <w:tcPr>
            <w:tcW w:w="1697" w:type="pct"/>
            <w:gridSpan w:val="2"/>
            <w:tcBorders>
              <w:top w:val="single" w:sz="4" w:space="0" w:color="auto"/>
              <w:left w:val="single" w:sz="4" w:space="0" w:color="auto"/>
              <w:bottom w:val="single" w:sz="4" w:space="0" w:color="auto"/>
              <w:right w:val="single" w:sz="4" w:space="0" w:color="000000"/>
            </w:tcBorders>
            <w:shd w:val="clear" w:color="000000" w:fill="F2F2F2"/>
            <w:noWrap/>
            <w:vAlign w:val="bottom"/>
            <w:hideMark/>
          </w:tcPr>
          <w:p w14:paraId="349DF5BD" w14:textId="77777777" w:rsidR="005D38D3" w:rsidRPr="00925C94" w:rsidRDefault="005D38D3" w:rsidP="005D38D3">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Coral reefs</w:t>
            </w:r>
          </w:p>
        </w:tc>
        <w:tc>
          <w:tcPr>
            <w:tcW w:w="419" w:type="pct"/>
            <w:tcBorders>
              <w:top w:val="single" w:sz="4" w:space="0" w:color="auto"/>
              <w:left w:val="nil"/>
              <w:bottom w:val="nil"/>
              <w:right w:val="single" w:sz="4" w:space="0" w:color="auto"/>
            </w:tcBorders>
            <w:shd w:val="clear" w:color="000000" w:fill="F2F2F2"/>
            <w:noWrap/>
            <w:vAlign w:val="bottom"/>
            <w:hideMark/>
          </w:tcPr>
          <w:p w14:paraId="2AE915E6" w14:textId="77777777" w:rsidR="005D38D3" w:rsidRPr="00925C94" w:rsidRDefault="005D38D3" w:rsidP="005D38D3">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Tot</w:t>
            </w:r>
          </w:p>
        </w:tc>
        <w:tc>
          <w:tcPr>
            <w:tcW w:w="362" w:type="pct"/>
            <w:tcBorders>
              <w:top w:val="nil"/>
              <w:left w:val="nil"/>
              <w:bottom w:val="nil"/>
              <w:right w:val="nil"/>
            </w:tcBorders>
            <w:shd w:val="clear" w:color="000000" w:fill="0070C0"/>
            <w:noWrap/>
            <w:vAlign w:val="center"/>
            <w:hideMark/>
          </w:tcPr>
          <w:p w14:paraId="4AF9E1E9" w14:textId="77777777" w:rsidR="005D38D3" w:rsidRPr="00925C94" w:rsidRDefault="005D38D3" w:rsidP="005D38D3">
            <w:pPr>
              <w:spacing w:before="0" w:after="0"/>
              <w:jc w:val="center"/>
              <w:rPr>
                <w:rFonts w:ascii="Calibri" w:hAnsi="Calibri" w:cs="Times New Roman"/>
                <w:b/>
                <w:bCs/>
                <w:color w:val="FFFFFF"/>
                <w:sz w:val="20"/>
                <w:szCs w:val="20"/>
              </w:rPr>
            </w:pPr>
            <w:r w:rsidRPr="00925C94">
              <w:rPr>
                <w:rFonts w:ascii="Calibri" w:hAnsi="Calibri" w:cs="Times New Roman"/>
                <w:b/>
                <w:bCs/>
                <w:color w:val="FFFFFF"/>
                <w:sz w:val="20"/>
                <w:szCs w:val="20"/>
              </w:rPr>
              <w:t>I</w:t>
            </w:r>
          </w:p>
        </w:tc>
        <w:tc>
          <w:tcPr>
            <w:tcW w:w="459" w:type="pct"/>
            <w:tcBorders>
              <w:top w:val="nil"/>
              <w:left w:val="nil"/>
              <w:bottom w:val="nil"/>
              <w:right w:val="nil"/>
            </w:tcBorders>
            <w:shd w:val="clear" w:color="000000" w:fill="00B050"/>
            <w:noWrap/>
            <w:vAlign w:val="center"/>
            <w:hideMark/>
          </w:tcPr>
          <w:p w14:paraId="6F5C7AD0" w14:textId="77777777" w:rsidR="005D38D3" w:rsidRPr="00925C94" w:rsidRDefault="005D38D3" w:rsidP="005D38D3">
            <w:pPr>
              <w:spacing w:before="0" w:after="0"/>
              <w:jc w:val="center"/>
              <w:rPr>
                <w:rFonts w:ascii="Calibri" w:hAnsi="Calibri" w:cs="Times New Roman"/>
                <w:b/>
                <w:bCs/>
                <w:color w:val="FFFFFF"/>
                <w:sz w:val="20"/>
                <w:szCs w:val="20"/>
              </w:rPr>
            </w:pPr>
            <w:r w:rsidRPr="00925C94">
              <w:rPr>
                <w:rFonts w:ascii="Calibri" w:hAnsi="Calibri" w:cs="Times New Roman"/>
                <w:b/>
                <w:bCs/>
                <w:color w:val="FFFFFF"/>
                <w:sz w:val="20"/>
                <w:szCs w:val="20"/>
              </w:rPr>
              <w:t>II</w:t>
            </w:r>
          </w:p>
        </w:tc>
        <w:tc>
          <w:tcPr>
            <w:tcW w:w="281" w:type="pct"/>
            <w:tcBorders>
              <w:top w:val="nil"/>
              <w:left w:val="nil"/>
              <w:bottom w:val="nil"/>
              <w:right w:val="nil"/>
            </w:tcBorders>
            <w:shd w:val="clear" w:color="000000" w:fill="FF0000"/>
            <w:noWrap/>
            <w:vAlign w:val="center"/>
            <w:hideMark/>
          </w:tcPr>
          <w:p w14:paraId="49E06F3A" w14:textId="77777777" w:rsidR="005D38D3" w:rsidRPr="00925C94" w:rsidRDefault="005D38D3" w:rsidP="005D38D3">
            <w:pPr>
              <w:spacing w:before="0" w:after="0"/>
              <w:jc w:val="center"/>
              <w:rPr>
                <w:rFonts w:ascii="Calibri" w:hAnsi="Calibri" w:cs="Times New Roman"/>
                <w:b/>
                <w:bCs/>
                <w:color w:val="FFFFFF"/>
                <w:sz w:val="20"/>
                <w:szCs w:val="20"/>
              </w:rPr>
            </w:pPr>
            <w:r w:rsidRPr="00925C94">
              <w:rPr>
                <w:rFonts w:ascii="Calibri" w:hAnsi="Calibri" w:cs="Times New Roman"/>
                <w:b/>
                <w:bCs/>
                <w:color w:val="FFFFFF"/>
                <w:sz w:val="20"/>
                <w:szCs w:val="20"/>
              </w:rPr>
              <w:t>III</w:t>
            </w:r>
          </w:p>
        </w:tc>
        <w:tc>
          <w:tcPr>
            <w:tcW w:w="532" w:type="pct"/>
            <w:tcBorders>
              <w:top w:val="nil"/>
              <w:left w:val="nil"/>
              <w:bottom w:val="nil"/>
              <w:right w:val="nil"/>
            </w:tcBorders>
            <w:shd w:val="clear" w:color="000000" w:fill="C00000"/>
            <w:noWrap/>
            <w:vAlign w:val="center"/>
            <w:hideMark/>
          </w:tcPr>
          <w:p w14:paraId="4217F30A" w14:textId="77777777" w:rsidR="005D38D3" w:rsidRPr="00925C94" w:rsidRDefault="005D38D3" w:rsidP="005D38D3">
            <w:pPr>
              <w:spacing w:before="0" w:after="0"/>
              <w:jc w:val="center"/>
              <w:rPr>
                <w:rFonts w:ascii="Calibri" w:hAnsi="Calibri" w:cs="Times New Roman"/>
                <w:b/>
                <w:bCs/>
                <w:color w:val="FFFFFF"/>
                <w:sz w:val="20"/>
                <w:szCs w:val="20"/>
              </w:rPr>
            </w:pPr>
            <w:r w:rsidRPr="00925C94">
              <w:rPr>
                <w:rFonts w:ascii="Calibri" w:hAnsi="Calibri" w:cs="Times New Roman"/>
                <w:b/>
                <w:bCs/>
                <w:color w:val="FFFFFF"/>
                <w:sz w:val="20"/>
                <w:szCs w:val="20"/>
              </w:rPr>
              <w:t>IV</w:t>
            </w:r>
          </w:p>
        </w:tc>
        <w:tc>
          <w:tcPr>
            <w:tcW w:w="533" w:type="pct"/>
            <w:vMerge/>
            <w:tcBorders>
              <w:top w:val="single" w:sz="4" w:space="0" w:color="auto"/>
              <w:left w:val="nil"/>
              <w:bottom w:val="single" w:sz="4" w:space="0" w:color="000000"/>
              <w:right w:val="nil"/>
            </w:tcBorders>
            <w:vAlign w:val="center"/>
            <w:hideMark/>
          </w:tcPr>
          <w:p w14:paraId="2BD3A0D9" w14:textId="77777777" w:rsidR="005D38D3" w:rsidRPr="00925C94" w:rsidRDefault="005D38D3" w:rsidP="005D38D3">
            <w:pPr>
              <w:spacing w:before="0" w:after="0"/>
              <w:rPr>
                <w:rFonts w:ascii="Calibri" w:hAnsi="Calibri" w:cs="Times New Roman"/>
                <w:b/>
                <w:bCs/>
                <w:sz w:val="20"/>
                <w:szCs w:val="20"/>
              </w:rPr>
            </w:pPr>
          </w:p>
        </w:tc>
        <w:tc>
          <w:tcPr>
            <w:tcW w:w="716" w:type="pct"/>
            <w:vMerge/>
            <w:tcBorders>
              <w:top w:val="single" w:sz="4" w:space="0" w:color="auto"/>
              <w:left w:val="nil"/>
              <w:bottom w:val="single" w:sz="4" w:space="0" w:color="000000"/>
              <w:right w:val="single" w:sz="4" w:space="0" w:color="auto"/>
            </w:tcBorders>
            <w:vAlign w:val="center"/>
            <w:hideMark/>
          </w:tcPr>
          <w:p w14:paraId="70CE72FB" w14:textId="77777777" w:rsidR="005D38D3" w:rsidRPr="00925C94" w:rsidRDefault="005D38D3" w:rsidP="005D38D3">
            <w:pPr>
              <w:spacing w:before="0" w:after="0"/>
              <w:rPr>
                <w:rFonts w:ascii="Calibri" w:hAnsi="Calibri" w:cs="Times New Roman"/>
                <w:b/>
                <w:bCs/>
                <w:sz w:val="20"/>
                <w:szCs w:val="20"/>
              </w:rPr>
            </w:pPr>
          </w:p>
        </w:tc>
      </w:tr>
      <w:tr w:rsidR="005D38D3" w:rsidRPr="00925C94" w14:paraId="051A31AC" w14:textId="77777777" w:rsidTr="00A35C25">
        <w:trPr>
          <w:trHeight w:val="300"/>
        </w:trPr>
        <w:tc>
          <w:tcPr>
            <w:tcW w:w="1037" w:type="pct"/>
            <w:vMerge w:val="restart"/>
            <w:tcBorders>
              <w:top w:val="single" w:sz="4" w:space="0" w:color="auto"/>
              <w:left w:val="single" w:sz="4" w:space="0" w:color="auto"/>
              <w:bottom w:val="double" w:sz="6" w:space="0" w:color="000000"/>
              <w:right w:val="nil"/>
            </w:tcBorders>
            <w:shd w:val="clear" w:color="000000" w:fill="F2F2F2"/>
            <w:noWrap/>
            <w:vAlign w:val="center"/>
            <w:hideMark/>
          </w:tcPr>
          <w:p w14:paraId="06E67722" w14:textId="77777777" w:rsidR="005D38D3" w:rsidRPr="00925C94" w:rsidRDefault="005D38D3" w:rsidP="005D38D3">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GBR</w:t>
            </w:r>
          </w:p>
        </w:tc>
        <w:tc>
          <w:tcPr>
            <w:tcW w:w="660" w:type="pct"/>
            <w:tcBorders>
              <w:top w:val="single" w:sz="4" w:space="0" w:color="auto"/>
              <w:left w:val="single" w:sz="4" w:space="0" w:color="auto"/>
              <w:bottom w:val="nil"/>
              <w:right w:val="single" w:sz="4" w:space="0" w:color="auto"/>
            </w:tcBorders>
            <w:shd w:val="clear" w:color="000000" w:fill="F2F2F2"/>
            <w:noWrap/>
            <w:vAlign w:val="center"/>
            <w:hideMark/>
          </w:tcPr>
          <w:p w14:paraId="5274F512" w14:textId="77777777" w:rsidR="005D38D3" w:rsidRPr="00925C94" w:rsidRDefault="005D38D3" w:rsidP="005D38D3">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 xml:space="preserve">area </w:t>
            </w:r>
          </w:p>
        </w:tc>
        <w:tc>
          <w:tcPr>
            <w:tcW w:w="419" w:type="pct"/>
            <w:tcBorders>
              <w:top w:val="single" w:sz="4" w:space="0" w:color="auto"/>
              <w:left w:val="nil"/>
              <w:bottom w:val="nil"/>
              <w:right w:val="single" w:sz="4" w:space="0" w:color="auto"/>
            </w:tcBorders>
            <w:shd w:val="clear" w:color="000000" w:fill="F2F2F2"/>
            <w:noWrap/>
            <w:vAlign w:val="bottom"/>
            <w:hideMark/>
          </w:tcPr>
          <w:p w14:paraId="6BEA8356" w14:textId="77777777" w:rsidR="005D38D3" w:rsidRPr="00925C94" w:rsidRDefault="005D38D3" w:rsidP="005D38D3">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24</w:t>
            </w:r>
            <w:r w:rsidR="00CE2946" w:rsidRPr="00925C94">
              <w:rPr>
                <w:rFonts w:ascii="Calibri" w:hAnsi="Calibri" w:cs="Times New Roman"/>
                <w:b/>
                <w:bCs/>
                <w:color w:val="000000"/>
                <w:sz w:val="20"/>
                <w:szCs w:val="20"/>
              </w:rPr>
              <w:t>,</w:t>
            </w:r>
            <w:r w:rsidRPr="00925C94">
              <w:rPr>
                <w:rFonts w:ascii="Calibri" w:hAnsi="Calibri" w:cs="Times New Roman"/>
                <w:b/>
                <w:bCs/>
                <w:color w:val="000000"/>
                <w:sz w:val="20"/>
                <w:szCs w:val="20"/>
              </w:rPr>
              <w:t>075</w:t>
            </w:r>
          </w:p>
        </w:tc>
        <w:tc>
          <w:tcPr>
            <w:tcW w:w="362" w:type="pct"/>
            <w:tcBorders>
              <w:top w:val="single" w:sz="4" w:space="0" w:color="auto"/>
              <w:left w:val="nil"/>
              <w:bottom w:val="nil"/>
              <w:right w:val="nil"/>
            </w:tcBorders>
            <w:shd w:val="clear" w:color="auto" w:fill="auto"/>
            <w:noWrap/>
            <w:vAlign w:val="bottom"/>
            <w:hideMark/>
          </w:tcPr>
          <w:p w14:paraId="1EBD653E" w14:textId="77777777" w:rsidR="005D38D3" w:rsidRPr="00925C94" w:rsidRDefault="005D38D3" w:rsidP="005D38D3">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8</w:t>
            </w:r>
            <w:r w:rsidR="00A35C25" w:rsidRPr="00925C94">
              <w:rPr>
                <w:rFonts w:ascii="Calibri" w:hAnsi="Calibri" w:cs="Times New Roman"/>
                <w:b/>
                <w:bCs/>
                <w:color w:val="000000"/>
                <w:sz w:val="20"/>
                <w:szCs w:val="20"/>
              </w:rPr>
              <w:t>,</w:t>
            </w:r>
            <w:r w:rsidRPr="00925C94">
              <w:rPr>
                <w:rFonts w:ascii="Calibri" w:hAnsi="Calibri" w:cs="Times New Roman"/>
                <w:b/>
                <w:bCs/>
                <w:color w:val="000000"/>
                <w:sz w:val="20"/>
                <w:szCs w:val="20"/>
              </w:rPr>
              <w:t>634</w:t>
            </w:r>
          </w:p>
        </w:tc>
        <w:tc>
          <w:tcPr>
            <w:tcW w:w="459" w:type="pct"/>
            <w:tcBorders>
              <w:top w:val="single" w:sz="4" w:space="0" w:color="auto"/>
              <w:left w:val="nil"/>
              <w:bottom w:val="nil"/>
              <w:right w:val="nil"/>
            </w:tcBorders>
            <w:shd w:val="clear" w:color="auto" w:fill="auto"/>
            <w:noWrap/>
            <w:vAlign w:val="bottom"/>
            <w:hideMark/>
          </w:tcPr>
          <w:p w14:paraId="62E1BDAF" w14:textId="77777777" w:rsidR="005D38D3" w:rsidRPr="00925C94" w:rsidRDefault="005D38D3" w:rsidP="005D38D3">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6</w:t>
            </w:r>
            <w:r w:rsidR="00A35C25" w:rsidRPr="00925C94">
              <w:rPr>
                <w:rFonts w:ascii="Calibri" w:hAnsi="Calibri" w:cs="Times New Roman"/>
                <w:b/>
                <w:bCs/>
                <w:color w:val="000000"/>
                <w:sz w:val="20"/>
                <w:szCs w:val="20"/>
              </w:rPr>
              <w:t>,</w:t>
            </w:r>
            <w:r w:rsidRPr="00925C94">
              <w:rPr>
                <w:rFonts w:ascii="Calibri" w:hAnsi="Calibri" w:cs="Times New Roman"/>
                <w:b/>
                <w:bCs/>
                <w:color w:val="000000"/>
                <w:sz w:val="20"/>
                <w:szCs w:val="20"/>
              </w:rPr>
              <w:t>921</w:t>
            </w:r>
          </w:p>
        </w:tc>
        <w:tc>
          <w:tcPr>
            <w:tcW w:w="281" w:type="pct"/>
            <w:tcBorders>
              <w:top w:val="single" w:sz="4" w:space="0" w:color="auto"/>
              <w:left w:val="nil"/>
              <w:bottom w:val="nil"/>
              <w:right w:val="nil"/>
            </w:tcBorders>
            <w:shd w:val="clear" w:color="auto" w:fill="auto"/>
            <w:noWrap/>
            <w:vAlign w:val="bottom"/>
            <w:hideMark/>
          </w:tcPr>
          <w:p w14:paraId="0936CB54" w14:textId="77777777" w:rsidR="005D38D3" w:rsidRPr="00925C94" w:rsidRDefault="005D38D3" w:rsidP="005D38D3">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467</w:t>
            </w:r>
          </w:p>
        </w:tc>
        <w:tc>
          <w:tcPr>
            <w:tcW w:w="532" w:type="pct"/>
            <w:tcBorders>
              <w:top w:val="single" w:sz="4" w:space="0" w:color="auto"/>
              <w:left w:val="nil"/>
              <w:bottom w:val="nil"/>
              <w:right w:val="nil"/>
            </w:tcBorders>
            <w:shd w:val="clear" w:color="auto" w:fill="auto"/>
            <w:noWrap/>
            <w:vAlign w:val="bottom"/>
            <w:hideMark/>
          </w:tcPr>
          <w:p w14:paraId="16230672" w14:textId="77777777" w:rsidR="005D38D3" w:rsidRPr="00925C94" w:rsidRDefault="005D38D3" w:rsidP="005D38D3">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34</w:t>
            </w:r>
          </w:p>
        </w:tc>
        <w:tc>
          <w:tcPr>
            <w:tcW w:w="533" w:type="pct"/>
            <w:tcBorders>
              <w:top w:val="nil"/>
              <w:left w:val="nil"/>
              <w:bottom w:val="nil"/>
              <w:right w:val="nil"/>
            </w:tcBorders>
            <w:shd w:val="clear" w:color="000000" w:fill="F2DCDB"/>
            <w:noWrap/>
            <w:vAlign w:val="bottom"/>
            <w:hideMark/>
          </w:tcPr>
          <w:p w14:paraId="58BB0E57" w14:textId="77777777" w:rsidR="005D38D3" w:rsidRPr="00925C94" w:rsidRDefault="005D38D3" w:rsidP="005D38D3">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16</w:t>
            </w:r>
            <w:r w:rsidR="00A35C25" w:rsidRPr="00925C94">
              <w:rPr>
                <w:rFonts w:ascii="Calibri" w:hAnsi="Calibri" w:cs="Times New Roman"/>
                <w:b/>
                <w:bCs/>
                <w:color w:val="000000"/>
                <w:sz w:val="20"/>
                <w:szCs w:val="20"/>
              </w:rPr>
              <w:t>,</w:t>
            </w:r>
            <w:r w:rsidRPr="00925C94">
              <w:rPr>
                <w:rFonts w:ascii="Calibri" w:hAnsi="Calibri" w:cs="Times New Roman"/>
                <w:b/>
                <w:bCs/>
                <w:color w:val="000000"/>
                <w:sz w:val="20"/>
                <w:szCs w:val="20"/>
              </w:rPr>
              <w:t>057</w:t>
            </w:r>
          </w:p>
        </w:tc>
        <w:tc>
          <w:tcPr>
            <w:tcW w:w="716" w:type="pct"/>
            <w:tcBorders>
              <w:top w:val="nil"/>
              <w:left w:val="nil"/>
              <w:bottom w:val="nil"/>
              <w:right w:val="single" w:sz="4" w:space="0" w:color="auto"/>
            </w:tcBorders>
            <w:shd w:val="clear" w:color="000000" w:fill="F2DCDB"/>
            <w:noWrap/>
            <w:vAlign w:val="bottom"/>
            <w:hideMark/>
          </w:tcPr>
          <w:p w14:paraId="1B221206" w14:textId="77777777" w:rsidR="005D38D3" w:rsidRPr="00925C94" w:rsidRDefault="005D38D3" w:rsidP="007754E4">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8</w:t>
            </w:r>
            <w:r w:rsidR="007754E4" w:rsidRPr="00925C94">
              <w:rPr>
                <w:rFonts w:ascii="Calibri" w:hAnsi="Calibri" w:cs="Times New Roman"/>
                <w:b/>
                <w:bCs/>
                <w:color w:val="000000"/>
                <w:sz w:val="20"/>
                <w:szCs w:val="20"/>
              </w:rPr>
              <w:t>,</w:t>
            </w:r>
            <w:r w:rsidRPr="00925C94">
              <w:rPr>
                <w:rFonts w:ascii="Calibri" w:hAnsi="Calibri" w:cs="Times New Roman"/>
                <w:b/>
                <w:bCs/>
                <w:color w:val="000000"/>
                <w:sz w:val="20"/>
                <w:szCs w:val="20"/>
              </w:rPr>
              <w:t>018</w:t>
            </w:r>
          </w:p>
        </w:tc>
      </w:tr>
      <w:tr w:rsidR="005D38D3" w:rsidRPr="00925C94" w14:paraId="2A7666E5" w14:textId="77777777" w:rsidTr="00A35C25">
        <w:trPr>
          <w:trHeight w:val="315"/>
        </w:trPr>
        <w:tc>
          <w:tcPr>
            <w:tcW w:w="1037" w:type="pct"/>
            <w:vMerge/>
            <w:tcBorders>
              <w:top w:val="single" w:sz="4" w:space="0" w:color="auto"/>
              <w:left w:val="single" w:sz="4" w:space="0" w:color="auto"/>
              <w:bottom w:val="double" w:sz="6" w:space="0" w:color="000000"/>
              <w:right w:val="nil"/>
            </w:tcBorders>
            <w:vAlign w:val="center"/>
            <w:hideMark/>
          </w:tcPr>
          <w:p w14:paraId="58F03D85" w14:textId="77777777" w:rsidR="005D38D3" w:rsidRPr="00925C94" w:rsidRDefault="005D38D3" w:rsidP="0065493C">
            <w:pPr>
              <w:spacing w:before="0" w:after="0"/>
              <w:rPr>
                <w:rFonts w:ascii="Calibri" w:hAnsi="Calibri" w:cs="Times New Roman"/>
                <w:b/>
                <w:bCs/>
                <w:color w:val="000000"/>
                <w:sz w:val="20"/>
                <w:szCs w:val="20"/>
              </w:rPr>
            </w:pPr>
          </w:p>
        </w:tc>
        <w:tc>
          <w:tcPr>
            <w:tcW w:w="660" w:type="pct"/>
            <w:tcBorders>
              <w:top w:val="nil"/>
              <w:left w:val="single" w:sz="4" w:space="0" w:color="auto"/>
              <w:bottom w:val="double" w:sz="6" w:space="0" w:color="auto"/>
              <w:right w:val="single" w:sz="4" w:space="0" w:color="auto"/>
            </w:tcBorders>
            <w:shd w:val="clear" w:color="000000" w:fill="F2F2F2"/>
            <w:noWrap/>
            <w:vAlign w:val="center"/>
            <w:hideMark/>
          </w:tcPr>
          <w:p w14:paraId="1374ED56" w14:textId="77777777" w:rsidR="005D38D3" w:rsidRPr="00925C94" w:rsidRDefault="005D38D3" w:rsidP="0065493C">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w:t>
            </w:r>
          </w:p>
        </w:tc>
        <w:tc>
          <w:tcPr>
            <w:tcW w:w="419" w:type="pct"/>
            <w:tcBorders>
              <w:top w:val="nil"/>
              <w:left w:val="nil"/>
              <w:bottom w:val="double" w:sz="6" w:space="0" w:color="auto"/>
              <w:right w:val="single" w:sz="4" w:space="0" w:color="auto"/>
            </w:tcBorders>
            <w:shd w:val="clear" w:color="000000" w:fill="F2F2F2"/>
            <w:noWrap/>
            <w:vAlign w:val="bottom"/>
            <w:hideMark/>
          </w:tcPr>
          <w:p w14:paraId="07C1C3CD" w14:textId="77777777" w:rsidR="005D38D3" w:rsidRPr="00925C94" w:rsidRDefault="005D38D3" w:rsidP="0065493C">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100%</w:t>
            </w:r>
          </w:p>
        </w:tc>
        <w:tc>
          <w:tcPr>
            <w:tcW w:w="362" w:type="pct"/>
            <w:tcBorders>
              <w:top w:val="nil"/>
              <w:left w:val="nil"/>
              <w:bottom w:val="double" w:sz="6" w:space="0" w:color="auto"/>
              <w:right w:val="nil"/>
            </w:tcBorders>
            <w:shd w:val="clear" w:color="auto" w:fill="auto"/>
            <w:noWrap/>
            <w:vAlign w:val="bottom"/>
            <w:hideMark/>
          </w:tcPr>
          <w:p w14:paraId="2F8154DC" w14:textId="77777777" w:rsidR="005D38D3" w:rsidRPr="00925C94" w:rsidRDefault="005D38D3" w:rsidP="0065493C">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36%</w:t>
            </w:r>
          </w:p>
        </w:tc>
        <w:tc>
          <w:tcPr>
            <w:tcW w:w="459" w:type="pct"/>
            <w:tcBorders>
              <w:top w:val="nil"/>
              <w:left w:val="nil"/>
              <w:bottom w:val="double" w:sz="6" w:space="0" w:color="auto"/>
              <w:right w:val="nil"/>
            </w:tcBorders>
            <w:shd w:val="clear" w:color="auto" w:fill="auto"/>
            <w:noWrap/>
            <w:vAlign w:val="bottom"/>
            <w:hideMark/>
          </w:tcPr>
          <w:p w14:paraId="0FA1370B" w14:textId="77777777" w:rsidR="005D38D3" w:rsidRPr="00925C94" w:rsidRDefault="005D38D3" w:rsidP="0065493C">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29%</w:t>
            </w:r>
          </w:p>
        </w:tc>
        <w:tc>
          <w:tcPr>
            <w:tcW w:w="281" w:type="pct"/>
            <w:tcBorders>
              <w:top w:val="nil"/>
              <w:left w:val="nil"/>
              <w:bottom w:val="double" w:sz="6" w:space="0" w:color="auto"/>
              <w:right w:val="nil"/>
            </w:tcBorders>
            <w:shd w:val="clear" w:color="auto" w:fill="auto"/>
            <w:noWrap/>
            <w:vAlign w:val="bottom"/>
            <w:hideMark/>
          </w:tcPr>
          <w:p w14:paraId="36C96089" w14:textId="77777777" w:rsidR="005D38D3" w:rsidRPr="00925C94" w:rsidRDefault="005D38D3" w:rsidP="0065493C">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2%</w:t>
            </w:r>
          </w:p>
        </w:tc>
        <w:tc>
          <w:tcPr>
            <w:tcW w:w="532" w:type="pct"/>
            <w:tcBorders>
              <w:top w:val="nil"/>
              <w:left w:val="nil"/>
              <w:bottom w:val="double" w:sz="6" w:space="0" w:color="auto"/>
              <w:right w:val="nil"/>
            </w:tcBorders>
            <w:shd w:val="clear" w:color="auto" w:fill="auto"/>
            <w:noWrap/>
            <w:vAlign w:val="bottom"/>
            <w:hideMark/>
          </w:tcPr>
          <w:p w14:paraId="668942CE" w14:textId="77777777" w:rsidR="005D38D3" w:rsidRPr="00925C94" w:rsidRDefault="005D38D3" w:rsidP="0065493C">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0%</w:t>
            </w:r>
          </w:p>
        </w:tc>
        <w:tc>
          <w:tcPr>
            <w:tcW w:w="533" w:type="pct"/>
            <w:tcBorders>
              <w:top w:val="nil"/>
              <w:left w:val="nil"/>
              <w:bottom w:val="double" w:sz="6" w:space="0" w:color="auto"/>
              <w:right w:val="nil"/>
            </w:tcBorders>
            <w:shd w:val="clear" w:color="000000" w:fill="F2DCDB"/>
            <w:noWrap/>
            <w:vAlign w:val="bottom"/>
            <w:hideMark/>
          </w:tcPr>
          <w:p w14:paraId="3AD4CD46" w14:textId="77777777" w:rsidR="005D38D3" w:rsidRPr="00925C94" w:rsidRDefault="005D38D3" w:rsidP="0065493C">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67%</w:t>
            </w:r>
          </w:p>
        </w:tc>
        <w:tc>
          <w:tcPr>
            <w:tcW w:w="716" w:type="pct"/>
            <w:tcBorders>
              <w:top w:val="nil"/>
              <w:left w:val="nil"/>
              <w:bottom w:val="double" w:sz="6" w:space="0" w:color="auto"/>
              <w:right w:val="single" w:sz="4" w:space="0" w:color="auto"/>
            </w:tcBorders>
            <w:shd w:val="clear" w:color="000000" w:fill="F2DCDB"/>
            <w:noWrap/>
            <w:vAlign w:val="bottom"/>
            <w:hideMark/>
          </w:tcPr>
          <w:p w14:paraId="10D3DA9D" w14:textId="77777777" w:rsidR="005D38D3" w:rsidRPr="00925C94" w:rsidRDefault="005D38D3" w:rsidP="0065493C">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33%</w:t>
            </w:r>
          </w:p>
        </w:tc>
      </w:tr>
      <w:tr w:rsidR="00A35C25" w:rsidRPr="00925C94" w14:paraId="4D8BB283" w14:textId="77777777" w:rsidTr="00A35C25">
        <w:trPr>
          <w:trHeight w:val="315"/>
        </w:trPr>
        <w:tc>
          <w:tcPr>
            <w:tcW w:w="1037" w:type="pct"/>
            <w:vMerge w:val="restart"/>
            <w:tcBorders>
              <w:top w:val="nil"/>
              <w:left w:val="single" w:sz="4" w:space="0" w:color="auto"/>
              <w:right w:val="nil"/>
            </w:tcBorders>
            <w:shd w:val="clear" w:color="auto" w:fill="F2F2F2" w:themeFill="background1" w:themeFillShade="F2"/>
            <w:noWrap/>
            <w:vAlign w:val="center"/>
            <w:hideMark/>
          </w:tcPr>
          <w:p w14:paraId="1B5618F7" w14:textId="77777777" w:rsidR="00A35C25" w:rsidRPr="00925C94" w:rsidRDefault="00A35C25" w:rsidP="005D38D3">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Cape York</w:t>
            </w:r>
          </w:p>
        </w:tc>
        <w:tc>
          <w:tcPr>
            <w:tcW w:w="660" w:type="pct"/>
            <w:tcBorders>
              <w:top w:val="nil"/>
              <w:left w:val="single" w:sz="4" w:space="0" w:color="auto"/>
              <w:bottom w:val="nil"/>
              <w:right w:val="single" w:sz="4" w:space="0" w:color="auto"/>
            </w:tcBorders>
            <w:shd w:val="clear" w:color="000000" w:fill="F2F2F2"/>
            <w:noWrap/>
            <w:vAlign w:val="center"/>
            <w:hideMark/>
          </w:tcPr>
          <w:p w14:paraId="510870EE" w14:textId="77777777" w:rsidR="00A35C25" w:rsidRPr="00925C94" w:rsidRDefault="00A35C25" w:rsidP="005D38D3">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 xml:space="preserve">area </w:t>
            </w:r>
          </w:p>
        </w:tc>
        <w:tc>
          <w:tcPr>
            <w:tcW w:w="419" w:type="pct"/>
            <w:tcBorders>
              <w:top w:val="nil"/>
              <w:left w:val="nil"/>
              <w:bottom w:val="nil"/>
              <w:right w:val="single" w:sz="4" w:space="0" w:color="auto"/>
            </w:tcBorders>
            <w:shd w:val="clear" w:color="000000" w:fill="F2F2F2"/>
            <w:noWrap/>
            <w:vAlign w:val="bottom"/>
            <w:hideMark/>
          </w:tcPr>
          <w:p w14:paraId="4BE132F3" w14:textId="77777777" w:rsidR="00A35C25" w:rsidRPr="00925C94" w:rsidRDefault="00A35C25" w:rsidP="005D38D3">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10,332</w:t>
            </w:r>
          </w:p>
        </w:tc>
        <w:tc>
          <w:tcPr>
            <w:tcW w:w="362" w:type="pct"/>
            <w:tcBorders>
              <w:top w:val="nil"/>
              <w:left w:val="nil"/>
              <w:bottom w:val="nil"/>
              <w:right w:val="nil"/>
            </w:tcBorders>
            <w:shd w:val="clear" w:color="auto" w:fill="auto"/>
            <w:noWrap/>
            <w:vAlign w:val="bottom"/>
            <w:hideMark/>
          </w:tcPr>
          <w:p w14:paraId="196C81FA" w14:textId="77777777" w:rsidR="00A35C25" w:rsidRPr="00925C94" w:rsidRDefault="00A35C25" w:rsidP="005D38D3">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3,722</w:t>
            </w:r>
          </w:p>
        </w:tc>
        <w:tc>
          <w:tcPr>
            <w:tcW w:w="459" w:type="pct"/>
            <w:tcBorders>
              <w:top w:val="nil"/>
              <w:left w:val="nil"/>
              <w:bottom w:val="nil"/>
              <w:right w:val="nil"/>
            </w:tcBorders>
            <w:shd w:val="clear" w:color="auto" w:fill="auto"/>
            <w:noWrap/>
            <w:vAlign w:val="bottom"/>
            <w:hideMark/>
          </w:tcPr>
          <w:p w14:paraId="72C3044C" w14:textId="77777777" w:rsidR="00A35C25" w:rsidRPr="00925C94" w:rsidRDefault="00A35C25" w:rsidP="005D38D3">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5,666</w:t>
            </w:r>
          </w:p>
        </w:tc>
        <w:tc>
          <w:tcPr>
            <w:tcW w:w="281" w:type="pct"/>
            <w:tcBorders>
              <w:top w:val="nil"/>
              <w:left w:val="nil"/>
              <w:bottom w:val="nil"/>
              <w:right w:val="nil"/>
            </w:tcBorders>
            <w:shd w:val="clear" w:color="auto" w:fill="auto"/>
            <w:noWrap/>
            <w:vAlign w:val="bottom"/>
            <w:hideMark/>
          </w:tcPr>
          <w:p w14:paraId="3E88C574" w14:textId="77777777" w:rsidR="00A35C25" w:rsidRPr="00925C94" w:rsidRDefault="00A35C25" w:rsidP="005D38D3">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90</w:t>
            </w:r>
          </w:p>
        </w:tc>
        <w:tc>
          <w:tcPr>
            <w:tcW w:w="532" w:type="pct"/>
            <w:tcBorders>
              <w:top w:val="nil"/>
              <w:left w:val="nil"/>
              <w:bottom w:val="nil"/>
              <w:right w:val="nil"/>
            </w:tcBorders>
            <w:shd w:val="clear" w:color="auto" w:fill="auto"/>
            <w:noWrap/>
            <w:vAlign w:val="bottom"/>
            <w:hideMark/>
          </w:tcPr>
          <w:p w14:paraId="200BD812" w14:textId="77777777" w:rsidR="00A35C25" w:rsidRPr="00925C94" w:rsidRDefault="00A35C25" w:rsidP="005D38D3">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3</w:t>
            </w:r>
          </w:p>
        </w:tc>
        <w:tc>
          <w:tcPr>
            <w:tcW w:w="533" w:type="pct"/>
            <w:tcBorders>
              <w:top w:val="nil"/>
              <w:left w:val="nil"/>
              <w:bottom w:val="nil"/>
              <w:right w:val="nil"/>
            </w:tcBorders>
            <w:shd w:val="clear" w:color="000000" w:fill="F2DCDB"/>
            <w:noWrap/>
            <w:vAlign w:val="bottom"/>
            <w:hideMark/>
          </w:tcPr>
          <w:p w14:paraId="016CF7B8" w14:textId="77777777" w:rsidR="00A35C25" w:rsidRPr="00925C94" w:rsidRDefault="00A35C25" w:rsidP="005D38D3">
            <w:pPr>
              <w:spacing w:before="0" w:after="0"/>
              <w:jc w:val="center"/>
              <w:rPr>
                <w:rFonts w:ascii="Calibri" w:hAnsi="Calibri" w:cs="Times New Roman"/>
                <w:b/>
                <w:bCs/>
                <w:sz w:val="20"/>
                <w:szCs w:val="20"/>
              </w:rPr>
            </w:pPr>
            <w:r w:rsidRPr="00925C94">
              <w:rPr>
                <w:rFonts w:ascii="Calibri" w:hAnsi="Calibri" w:cs="Times New Roman"/>
                <w:b/>
                <w:bCs/>
                <w:sz w:val="20"/>
                <w:szCs w:val="20"/>
              </w:rPr>
              <w:t>9,482</w:t>
            </w:r>
          </w:p>
        </w:tc>
        <w:tc>
          <w:tcPr>
            <w:tcW w:w="716" w:type="pct"/>
            <w:tcBorders>
              <w:top w:val="nil"/>
              <w:left w:val="nil"/>
              <w:bottom w:val="nil"/>
              <w:right w:val="single" w:sz="4" w:space="0" w:color="auto"/>
            </w:tcBorders>
            <w:shd w:val="clear" w:color="000000" w:fill="F2DCDB"/>
            <w:noWrap/>
            <w:vAlign w:val="bottom"/>
            <w:hideMark/>
          </w:tcPr>
          <w:p w14:paraId="4C6804C4" w14:textId="77777777" w:rsidR="00A35C25" w:rsidRPr="00925C94" w:rsidRDefault="00A35C25" w:rsidP="005D38D3">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851</w:t>
            </w:r>
          </w:p>
        </w:tc>
      </w:tr>
      <w:tr w:rsidR="00A35C25" w:rsidRPr="00925C94" w14:paraId="150CD73E" w14:textId="77777777" w:rsidTr="00A35C25">
        <w:trPr>
          <w:trHeight w:val="300"/>
        </w:trPr>
        <w:tc>
          <w:tcPr>
            <w:tcW w:w="1037" w:type="pct"/>
            <w:vMerge/>
            <w:tcBorders>
              <w:left w:val="single" w:sz="4" w:space="0" w:color="auto"/>
              <w:bottom w:val="nil"/>
              <w:right w:val="nil"/>
            </w:tcBorders>
            <w:shd w:val="clear" w:color="auto" w:fill="F2F2F2" w:themeFill="background1" w:themeFillShade="F2"/>
            <w:vAlign w:val="center"/>
            <w:hideMark/>
          </w:tcPr>
          <w:p w14:paraId="034C32B2" w14:textId="77777777" w:rsidR="00A35C25" w:rsidRPr="00925C94" w:rsidRDefault="00A35C25" w:rsidP="005D38D3">
            <w:pPr>
              <w:spacing w:before="0" w:after="0"/>
              <w:rPr>
                <w:rFonts w:ascii="Calibri" w:hAnsi="Calibri" w:cs="Times New Roman"/>
                <w:b/>
                <w:bCs/>
                <w:color w:val="000000"/>
                <w:sz w:val="20"/>
                <w:szCs w:val="20"/>
              </w:rPr>
            </w:pPr>
          </w:p>
        </w:tc>
        <w:tc>
          <w:tcPr>
            <w:tcW w:w="660" w:type="pct"/>
            <w:tcBorders>
              <w:top w:val="nil"/>
              <w:left w:val="single" w:sz="4" w:space="0" w:color="auto"/>
              <w:bottom w:val="nil"/>
              <w:right w:val="single" w:sz="4" w:space="0" w:color="auto"/>
            </w:tcBorders>
            <w:shd w:val="clear" w:color="000000" w:fill="F2F2F2"/>
            <w:noWrap/>
            <w:vAlign w:val="center"/>
            <w:hideMark/>
          </w:tcPr>
          <w:p w14:paraId="1D4187BF" w14:textId="77777777" w:rsidR="00A35C25" w:rsidRPr="00925C94" w:rsidRDefault="00A35C25" w:rsidP="005D38D3">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w:t>
            </w:r>
          </w:p>
        </w:tc>
        <w:tc>
          <w:tcPr>
            <w:tcW w:w="419" w:type="pct"/>
            <w:tcBorders>
              <w:top w:val="nil"/>
              <w:left w:val="nil"/>
              <w:bottom w:val="nil"/>
              <w:right w:val="single" w:sz="4" w:space="0" w:color="auto"/>
            </w:tcBorders>
            <w:shd w:val="clear" w:color="000000" w:fill="F2F2F2"/>
            <w:noWrap/>
            <w:vAlign w:val="bottom"/>
            <w:hideMark/>
          </w:tcPr>
          <w:p w14:paraId="76015CE3" w14:textId="77777777" w:rsidR="00A35C25" w:rsidRPr="00925C94" w:rsidRDefault="00A35C25" w:rsidP="005D38D3">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100%</w:t>
            </w:r>
          </w:p>
        </w:tc>
        <w:tc>
          <w:tcPr>
            <w:tcW w:w="362" w:type="pct"/>
            <w:tcBorders>
              <w:top w:val="nil"/>
              <w:left w:val="nil"/>
              <w:bottom w:val="nil"/>
              <w:right w:val="nil"/>
            </w:tcBorders>
            <w:shd w:val="clear" w:color="auto" w:fill="auto"/>
            <w:noWrap/>
            <w:vAlign w:val="bottom"/>
            <w:hideMark/>
          </w:tcPr>
          <w:p w14:paraId="2D5571A5" w14:textId="77777777" w:rsidR="00A35C25" w:rsidRPr="00925C94" w:rsidRDefault="00A35C25" w:rsidP="005D38D3">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36%</w:t>
            </w:r>
          </w:p>
        </w:tc>
        <w:tc>
          <w:tcPr>
            <w:tcW w:w="459" w:type="pct"/>
            <w:tcBorders>
              <w:top w:val="nil"/>
              <w:left w:val="nil"/>
              <w:bottom w:val="nil"/>
              <w:right w:val="nil"/>
            </w:tcBorders>
            <w:shd w:val="clear" w:color="auto" w:fill="auto"/>
            <w:noWrap/>
            <w:vAlign w:val="bottom"/>
            <w:hideMark/>
          </w:tcPr>
          <w:p w14:paraId="41F5801D" w14:textId="77777777" w:rsidR="00A35C25" w:rsidRPr="00925C94" w:rsidRDefault="00A35C25" w:rsidP="005D38D3">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55%</w:t>
            </w:r>
          </w:p>
        </w:tc>
        <w:tc>
          <w:tcPr>
            <w:tcW w:w="281" w:type="pct"/>
            <w:tcBorders>
              <w:top w:val="nil"/>
              <w:left w:val="nil"/>
              <w:bottom w:val="nil"/>
              <w:right w:val="nil"/>
            </w:tcBorders>
            <w:shd w:val="clear" w:color="auto" w:fill="auto"/>
            <w:noWrap/>
            <w:vAlign w:val="bottom"/>
            <w:hideMark/>
          </w:tcPr>
          <w:p w14:paraId="0240A2B8" w14:textId="77777777" w:rsidR="00A35C25" w:rsidRPr="00925C94" w:rsidRDefault="00A35C25" w:rsidP="005D38D3">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w:t>
            </w:r>
          </w:p>
        </w:tc>
        <w:tc>
          <w:tcPr>
            <w:tcW w:w="532" w:type="pct"/>
            <w:tcBorders>
              <w:top w:val="nil"/>
              <w:left w:val="nil"/>
              <w:bottom w:val="nil"/>
              <w:right w:val="nil"/>
            </w:tcBorders>
            <w:shd w:val="clear" w:color="auto" w:fill="auto"/>
            <w:noWrap/>
            <w:vAlign w:val="bottom"/>
            <w:hideMark/>
          </w:tcPr>
          <w:p w14:paraId="04AF1994" w14:textId="77777777" w:rsidR="00A35C25" w:rsidRPr="00925C94" w:rsidRDefault="00A35C25" w:rsidP="005D38D3">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0%</w:t>
            </w:r>
          </w:p>
        </w:tc>
        <w:tc>
          <w:tcPr>
            <w:tcW w:w="533" w:type="pct"/>
            <w:tcBorders>
              <w:top w:val="nil"/>
              <w:left w:val="nil"/>
              <w:bottom w:val="nil"/>
              <w:right w:val="nil"/>
            </w:tcBorders>
            <w:shd w:val="clear" w:color="000000" w:fill="F2DCDB"/>
            <w:noWrap/>
            <w:vAlign w:val="bottom"/>
            <w:hideMark/>
          </w:tcPr>
          <w:p w14:paraId="4C75071A" w14:textId="77777777" w:rsidR="00A35C25" w:rsidRPr="00925C94" w:rsidRDefault="00A35C25" w:rsidP="005D38D3">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92%</w:t>
            </w:r>
          </w:p>
        </w:tc>
        <w:tc>
          <w:tcPr>
            <w:tcW w:w="716" w:type="pct"/>
            <w:tcBorders>
              <w:top w:val="nil"/>
              <w:left w:val="nil"/>
              <w:bottom w:val="nil"/>
              <w:right w:val="single" w:sz="4" w:space="0" w:color="auto"/>
            </w:tcBorders>
            <w:shd w:val="clear" w:color="000000" w:fill="F2DCDB"/>
            <w:noWrap/>
            <w:vAlign w:val="bottom"/>
            <w:hideMark/>
          </w:tcPr>
          <w:p w14:paraId="409E5417" w14:textId="77777777" w:rsidR="00A35C25" w:rsidRPr="00925C94" w:rsidRDefault="00A35C25" w:rsidP="005D38D3">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8%</w:t>
            </w:r>
          </w:p>
        </w:tc>
      </w:tr>
      <w:tr w:rsidR="00A35C25" w:rsidRPr="00925C94" w14:paraId="690ED3EB" w14:textId="77777777" w:rsidTr="00A35C25">
        <w:trPr>
          <w:trHeight w:val="300"/>
        </w:trPr>
        <w:tc>
          <w:tcPr>
            <w:tcW w:w="1037" w:type="pct"/>
            <w:vMerge w:val="restart"/>
            <w:tcBorders>
              <w:top w:val="nil"/>
              <w:left w:val="single" w:sz="4" w:space="0" w:color="auto"/>
              <w:right w:val="nil"/>
            </w:tcBorders>
            <w:shd w:val="clear" w:color="auto" w:fill="F2F2F2" w:themeFill="background1" w:themeFillShade="F2"/>
            <w:noWrap/>
            <w:vAlign w:val="center"/>
            <w:hideMark/>
          </w:tcPr>
          <w:p w14:paraId="28AA13AE" w14:textId="77777777" w:rsidR="00A35C25" w:rsidRPr="00925C94" w:rsidRDefault="00A35C25" w:rsidP="005D38D3">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Wet Tropics</w:t>
            </w:r>
          </w:p>
        </w:tc>
        <w:tc>
          <w:tcPr>
            <w:tcW w:w="660" w:type="pct"/>
            <w:tcBorders>
              <w:top w:val="nil"/>
              <w:left w:val="single" w:sz="4" w:space="0" w:color="auto"/>
              <w:bottom w:val="nil"/>
              <w:right w:val="single" w:sz="4" w:space="0" w:color="auto"/>
            </w:tcBorders>
            <w:shd w:val="clear" w:color="000000" w:fill="F2F2F2"/>
            <w:noWrap/>
            <w:vAlign w:val="center"/>
            <w:hideMark/>
          </w:tcPr>
          <w:p w14:paraId="1FC1CFDB" w14:textId="77777777" w:rsidR="00A35C25" w:rsidRPr="00925C94" w:rsidRDefault="00A35C25" w:rsidP="005D38D3">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 xml:space="preserve">area </w:t>
            </w:r>
          </w:p>
        </w:tc>
        <w:tc>
          <w:tcPr>
            <w:tcW w:w="419" w:type="pct"/>
            <w:tcBorders>
              <w:top w:val="nil"/>
              <w:left w:val="nil"/>
              <w:bottom w:val="nil"/>
              <w:right w:val="single" w:sz="4" w:space="0" w:color="auto"/>
            </w:tcBorders>
            <w:shd w:val="clear" w:color="000000" w:fill="F2F2F2"/>
            <w:noWrap/>
            <w:vAlign w:val="bottom"/>
            <w:hideMark/>
          </w:tcPr>
          <w:p w14:paraId="694FCFA2" w14:textId="77777777" w:rsidR="00A35C25" w:rsidRPr="00925C94" w:rsidRDefault="00A35C25" w:rsidP="005D38D3">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2,418</w:t>
            </w:r>
          </w:p>
        </w:tc>
        <w:tc>
          <w:tcPr>
            <w:tcW w:w="362" w:type="pct"/>
            <w:tcBorders>
              <w:top w:val="nil"/>
              <w:left w:val="nil"/>
              <w:bottom w:val="nil"/>
              <w:right w:val="nil"/>
            </w:tcBorders>
            <w:shd w:val="clear" w:color="auto" w:fill="auto"/>
            <w:noWrap/>
            <w:vAlign w:val="bottom"/>
            <w:hideMark/>
          </w:tcPr>
          <w:p w14:paraId="35DD7A34" w14:textId="77777777" w:rsidR="00A35C25" w:rsidRPr="00925C94" w:rsidRDefault="00A35C25" w:rsidP="005D38D3">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1,165</w:t>
            </w:r>
          </w:p>
        </w:tc>
        <w:tc>
          <w:tcPr>
            <w:tcW w:w="459" w:type="pct"/>
            <w:tcBorders>
              <w:top w:val="nil"/>
              <w:left w:val="nil"/>
              <w:bottom w:val="nil"/>
              <w:right w:val="nil"/>
            </w:tcBorders>
            <w:shd w:val="clear" w:color="auto" w:fill="auto"/>
            <w:noWrap/>
            <w:vAlign w:val="bottom"/>
            <w:hideMark/>
          </w:tcPr>
          <w:p w14:paraId="0CA5FC81" w14:textId="77777777" w:rsidR="00A35C25" w:rsidRPr="00925C94" w:rsidRDefault="00A35C25" w:rsidP="005D38D3">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919</w:t>
            </w:r>
          </w:p>
        </w:tc>
        <w:tc>
          <w:tcPr>
            <w:tcW w:w="281" w:type="pct"/>
            <w:tcBorders>
              <w:top w:val="nil"/>
              <w:left w:val="nil"/>
              <w:bottom w:val="nil"/>
              <w:right w:val="nil"/>
            </w:tcBorders>
            <w:shd w:val="clear" w:color="auto" w:fill="auto"/>
            <w:noWrap/>
            <w:vAlign w:val="bottom"/>
            <w:hideMark/>
          </w:tcPr>
          <w:p w14:paraId="56D48BA5" w14:textId="77777777" w:rsidR="00A35C25" w:rsidRPr="00925C94" w:rsidRDefault="00A35C25" w:rsidP="005D38D3">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29</w:t>
            </w:r>
          </w:p>
        </w:tc>
        <w:tc>
          <w:tcPr>
            <w:tcW w:w="532" w:type="pct"/>
            <w:tcBorders>
              <w:top w:val="nil"/>
              <w:left w:val="nil"/>
              <w:bottom w:val="nil"/>
              <w:right w:val="nil"/>
            </w:tcBorders>
            <w:shd w:val="clear" w:color="auto" w:fill="auto"/>
            <w:noWrap/>
            <w:vAlign w:val="bottom"/>
            <w:hideMark/>
          </w:tcPr>
          <w:p w14:paraId="32FE2E48" w14:textId="77777777" w:rsidR="00A35C25" w:rsidRPr="00925C94" w:rsidRDefault="00A35C25" w:rsidP="005D38D3">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0</w:t>
            </w:r>
          </w:p>
        </w:tc>
        <w:tc>
          <w:tcPr>
            <w:tcW w:w="533" w:type="pct"/>
            <w:tcBorders>
              <w:top w:val="nil"/>
              <w:left w:val="nil"/>
              <w:bottom w:val="nil"/>
              <w:right w:val="nil"/>
            </w:tcBorders>
            <w:shd w:val="clear" w:color="000000" w:fill="F2DCDB"/>
            <w:noWrap/>
            <w:vAlign w:val="bottom"/>
            <w:hideMark/>
          </w:tcPr>
          <w:p w14:paraId="5C4244DD" w14:textId="77777777" w:rsidR="00A35C25" w:rsidRPr="00925C94" w:rsidRDefault="00A35C25" w:rsidP="005D38D3">
            <w:pPr>
              <w:spacing w:before="0" w:after="0"/>
              <w:jc w:val="center"/>
              <w:rPr>
                <w:rFonts w:ascii="Calibri" w:hAnsi="Calibri" w:cs="Times New Roman"/>
                <w:b/>
                <w:bCs/>
                <w:sz w:val="20"/>
                <w:szCs w:val="20"/>
              </w:rPr>
            </w:pPr>
            <w:r w:rsidRPr="00925C94">
              <w:rPr>
                <w:rFonts w:ascii="Calibri" w:hAnsi="Calibri" w:cs="Times New Roman"/>
                <w:b/>
                <w:bCs/>
                <w:sz w:val="20"/>
                <w:szCs w:val="20"/>
              </w:rPr>
              <w:t>2,113</w:t>
            </w:r>
          </w:p>
        </w:tc>
        <w:tc>
          <w:tcPr>
            <w:tcW w:w="716" w:type="pct"/>
            <w:tcBorders>
              <w:top w:val="nil"/>
              <w:left w:val="nil"/>
              <w:bottom w:val="nil"/>
              <w:right w:val="single" w:sz="4" w:space="0" w:color="auto"/>
            </w:tcBorders>
            <w:shd w:val="clear" w:color="000000" w:fill="F2DCDB"/>
            <w:noWrap/>
            <w:vAlign w:val="bottom"/>
            <w:hideMark/>
          </w:tcPr>
          <w:p w14:paraId="7558C1C7" w14:textId="77777777" w:rsidR="00A35C25" w:rsidRPr="00925C94" w:rsidRDefault="00A35C25" w:rsidP="005D38D3">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305</w:t>
            </w:r>
          </w:p>
        </w:tc>
      </w:tr>
      <w:tr w:rsidR="00A35C25" w:rsidRPr="00925C94" w14:paraId="0B06D273" w14:textId="77777777" w:rsidTr="00A35C25">
        <w:trPr>
          <w:trHeight w:val="300"/>
        </w:trPr>
        <w:tc>
          <w:tcPr>
            <w:tcW w:w="1037" w:type="pct"/>
            <w:vMerge/>
            <w:tcBorders>
              <w:left w:val="single" w:sz="4" w:space="0" w:color="auto"/>
              <w:bottom w:val="nil"/>
              <w:right w:val="nil"/>
            </w:tcBorders>
            <w:shd w:val="clear" w:color="auto" w:fill="F2F2F2" w:themeFill="background1" w:themeFillShade="F2"/>
            <w:vAlign w:val="center"/>
            <w:hideMark/>
          </w:tcPr>
          <w:p w14:paraId="78E4DC79" w14:textId="77777777" w:rsidR="00A35C25" w:rsidRPr="00925C94" w:rsidRDefault="00A35C25" w:rsidP="005D38D3">
            <w:pPr>
              <w:spacing w:before="0" w:after="0"/>
              <w:rPr>
                <w:rFonts w:ascii="Calibri" w:hAnsi="Calibri" w:cs="Times New Roman"/>
                <w:b/>
                <w:bCs/>
                <w:color w:val="000000"/>
                <w:sz w:val="20"/>
                <w:szCs w:val="20"/>
              </w:rPr>
            </w:pPr>
          </w:p>
        </w:tc>
        <w:tc>
          <w:tcPr>
            <w:tcW w:w="660" w:type="pct"/>
            <w:tcBorders>
              <w:top w:val="nil"/>
              <w:left w:val="single" w:sz="4" w:space="0" w:color="auto"/>
              <w:bottom w:val="nil"/>
              <w:right w:val="single" w:sz="4" w:space="0" w:color="auto"/>
            </w:tcBorders>
            <w:shd w:val="clear" w:color="000000" w:fill="F2F2F2"/>
            <w:noWrap/>
            <w:vAlign w:val="center"/>
            <w:hideMark/>
          </w:tcPr>
          <w:p w14:paraId="7EEB02B1" w14:textId="77777777" w:rsidR="00A35C25" w:rsidRPr="00925C94" w:rsidRDefault="00A35C25" w:rsidP="005D38D3">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w:t>
            </w:r>
          </w:p>
        </w:tc>
        <w:tc>
          <w:tcPr>
            <w:tcW w:w="419" w:type="pct"/>
            <w:tcBorders>
              <w:top w:val="nil"/>
              <w:left w:val="nil"/>
              <w:bottom w:val="nil"/>
              <w:right w:val="single" w:sz="4" w:space="0" w:color="auto"/>
            </w:tcBorders>
            <w:shd w:val="clear" w:color="000000" w:fill="F2F2F2"/>
            <w:noWrap/>
            <w:vAlign w:val="bottom"/>
            <w:hideMark/>
          </w:tcPr>
          <w:p w14:paraId="18D34081" w14:textId="77777777" w:rsidR="00A35C25" w:rsidRPr="00925C94" w:rsidRDefault="00A35C25" w:rsidP="005D38D3">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100%</w:t>
            </w:r>
          </w:p>
        </w:tc>
        <w:tc>
          <w:tcPr>
            <w:tcW w:w="362" w:type="pct"/>
            <w:tcBorders>
              <w:top w:val="nil"/>
              <w:left w:val="nil"/>
              <w:bottom w:val="nil"/>
              <w:right w:val="nil"/>
            </w:tcBorders>
            <w:shd w:val="clear" w:color="auto" w:fill="auto"/>
            <w:noWrap/>
            <w:vAlign w:val="bottom"/>
            <w:hideMark/>
          </w:tcPr>
          <w:p w14:paraId="7B5E669B" w14:textId="77777777" w:rsidR="00A35C25" w:rsidRPr="00925C94" w:rsidRDefault="00A35C25" w:rsidP="005D38D3">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48%</w:t>
            </w:r>
          </w:p>
        </w:tc>
        <w:tc>
          <w:tcPr>
            <w:tcW w:w="459" w:type="pct"/>
            <w:tcBorders>
              <w:top w:val="nil"/>
              <w:left w:val="nil"/>
              <w:bottom w:val="nil"/>
              <w:right w:val="nil"/>
            </w:tcBorders>
            <w:shd w:val="clear" w:color="auto" w:fill="auto"/>
            <w:noWrap/>
            <w:vAlign w:val="bottom"/>
            <w:hideMark/>
          </w:tcPr>
          <w:p w14:paraId="6F934F07" w14:textId="77777777" w:rsidR="00A35C25" w:rsidRPr="00925C94" w:rsidRDefault="00A35C25" w:rsidP="005D38D3">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38%</w:t>
            </w:r>
          </w:p>
        </w:tc>
        <w:tc>
          <w:tcPr>
            <w:tcW w:w="281" w:type="pct"/>
            <w:tcBorders>
              <w:top w:val="nil"/>
              <w:left w:val="nil"/>
              <w:bottom w:val="nil"/>
              <w:right w:val="nil"/>
            </w:tcBorders>
            <w:shd w:val="clear" w:color="auto" w:fill="auto"/>
            <w:noWrap/>
            <w:vAlign w:val="bottom"/>
            <w:hideMark/>
          </w:tcPr>
          <w:p w14:paraId="014BB02A" w14:textId="77777777" w:rsidR="00A35C25" w:rsidRPr="00925C94" w:rsidRDefault="00A35C25" w:rsidP="005D38D3">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w:t>
            </w:r>
          </w:p>
        </w:tc>
        <w:tc>
          <w:tcPr>
            <w:tcW w:w="532" w:type="pct"/>
            <w:tcBorders>
              <w:top w:val="nil"/>
              <w:left w:val="nil"/>
              <w:bottom w:val="nil"/>
              <w:right w:val="nil"/>
            </w:tcBorders>
            <w:shd w:val="clear" w:color="auto" w:fill="auto"/>
            <w:noWrap/>
            <w:vAlign w:val="bottom"/>
            <w:hideMark/>
          </w:tcPr>
          <w:p w14:paraId="4FB1EF08" w14:textId="77777777" w:rsidR="00A35C25" w:rsidRPr="00925C94" w:rsidRDefault="00A35C25" w:rsidP="005D38D3">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0%</w:t>
            </w:r>
          </w:p>
        </w:tc>
        <w:tc>
          <w:tcPr>
            <w:tcW w:w="533" w:type="pct"/>
            <w:tcBorders>
              <w:top w:val="nil"/>
              <w:left w:val="nil"/>
              <w:bottom w:val="nil"/>
              <w:right w:val="nil"/>
            </w:tcBorders>
            <w:shd w:val="clear" w:color="000000" w:fill="F2DCDB"/>
            <w:noWrap/>
            <w:vAlign w:val="bottom"/>
            <w:hideMark/>
          </w:tcPr>
          <w:p w14:paraId="782BF373" w14:textId="77777777" w:rsidR="00A35C25" w:rsidRPr="00925C94" w:rsidRDefault="00A35C25" w:rsidP="005D38D3">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87%</w:t>
            </w:r>
          </w:p>
        </w:tc>
        <w:tc>
          <w:tcPr>
            <w:tcW w:w="716" w:type="pct"/>
            <w:tcBorders>
              <w:top w:val="nil"/>
              <w:left w:val="nil"/>
              <w:bottom w:val="nil"/>
              <w:right w:val="single" w:sz="4" w:space="0" w:color="auto"/>
            </w:tcBorders>
            <w:shd w:val="clear" w:color="000000" w:fill="F2DCDB"/>
            <w:noWrap/>
            <w:vAlign w:val="bottom"/>
            <w:hideMark/>
          </w:tcPr>
          <w:p w14:paraId="49277D82" w14:textId="77777777" w:rsidR="00A35C25" w:rsidRPr="00925C94" w:rsidRDefault="00A35C25" w:rsidP="005D38D3">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13%</w:t>
            </w:r>
          </w:p>
        </w:tc>
      </w:tr>
      <w:tr w:rsidR="00A35C25" w:rsidRPr="00925C94" w14:paraId="73C444AE" w14:textId="77777777" w:rsidTr="00A35C25">
        <w:trPr>
          <w:trHeight w:val="300"/>
        </w:trPr>
        <w:tc>
          <w:tcPr>
            <w:tcW w:w="1037" w:type="pct"/>
            <w:vMerge w:val="restart"/>
            <w:tcBorders>
              <w:top w:val="nil"/>
              <w:left w:val="single" w:sz="4" w:space="0" w:color="auto"/>
              <w:right w:val="nil"/>
            </w:tcBorders>
            <w:shd w:val="clear" w:color="auto" w:fill="F2F2F2" w:themeFill="background1" w:themeFillShade="F2"/>
            <w:noWrap/>
            <w:vAlign w:val="center"/>
            <w:hideMark/>
          </w:tcPr>
          <w:p w14:paraId="1FC440AC" w14:textId="77777777" w:rsidR="00A35C25" w:rsidRPr="00925C94" w:rsidRDefault="00A35C25" w:rsidP="005D38D3">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Burdekin</w:t>
            </w:r>
          </w:p>
        </w:tc>
        <w:tc>
          <w:tcPr>
            <w:tcW w:w="660" w:type="pct"/>
            <w:tcBorders>
              <w:top w:val="nil"/>
              <w:left w:val="single" w:sz="4" w:space="0" w:color="auto"/>
              <w:bottom w:val="nil"/>
              <w:right w:val="single" w:sz="4" w:space="0" w:color="auto"/>
            </w:tcBorders>
            <w:shd w:val="clear" w:color="000000" w:fill="F2F2F2"/>
            <w:noWrap/>
            <w:vAlign w:val="center"/>
            <w:hideMark/>
          </w:tcPr>
          <w:p w14:paraId="46F1D77B" w14:textId="77777777" w:rsidR="00A35C25" w:rsidRPr="00925C94" w:rsidRDefault="00A35C25" w:rsidP="005D38D3">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 xml:space="preserve">area </w:t>
            </w:r>
          </w:p>
        </w:tc>
        <w:tc>
          <w:tcPr>
            <w:tcW w:w="419" w:type="pct"/>
            <w:tcBorders>
              <w:top w:val="nil"/>
              <w:left w:val="nil"/>
              <w:bottom w:val="nil"/>
              <w:right w:val="single" w:sz="4" w:space="0" w:color="auto"/>
            </w:tcBorders>
            <w:shd w:val="clear" w:color="000000" w:fill="F2F2F2"/>
            <w:noWrap/>
            <w:vAlign w:val="bottom"/>
            <w:hideMark/>
          </w:tcPr>
          <w:p w14:paraId="46E47116" w14:textId="77777777" w:rsidR="00A35C25" w:rsidRPr="00925C94" w:rsidRDefault="00A35C25" w:rsidP="005D38D3">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2,966</w:t>
            </w:r>
          </w:p>
        </w:tc>
        <w:tc>
          <w:tcPr>
            <w:tcW w:w="362" w:type="pct"/>
            <w:tcBorders>
              <w:top w:val="nil"/>
              <w:left w:val="nil"/>
              <w:bottom w:val="nil"/>
              <w:right w:val="nil"/>
            </w:tcBorders>
            <w:shd w:val="clear" w:color="auto" w:fill="auto"/>
            <w:noWrap/>
            <w:vAlign w:val="bottom"/>
            <w:hideMark/>
          </w:tcPr>
          <w:p w14:paraId="44D325F2" w14:textId="77777777" w:rsidR="00A35C25" w:rsidRPr="00925C94" w:rsidRDefault="00A35C25" w:rsidP="005D38D3">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2,557</w:t>
            </w:r>
          </w:p>
        </w:tc>
        <w:tc>
          <w:tcPr>
            <w:tcW w:w="459" w:type="pct"/>
            <w:tcBorders>
              <w:top w:val="nil"/>
              <w:left w:val="nil"/>
              <w:bottom w:val="nil"/>
              <w:right w:val="nil"/>
            </w:tcBorders>
            <w:shd w:val="clear" w:color="auto" w:fill="auto"/>
            <w:noWrap/>
            <w:vAlign w:val="bottom"/>
            <w:hideMark/>
          </w:tcPr>
          <w:p w14:paraId="73637D4B" w14:textId="77777777" w:rsidR="00A35C25" w:rsidRPr="00925C94" w:rsidRDefault="00A35C25" w:rsidP="005D38D3">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47</w:t>
            </w:r>
          </w:p>
        </w:tc>
        <w:tc>
          <w:tcPr>
            <w:tcW w:w="281" w:type="pct"/>
            <w:tcBorders>
              <w:top w:val="nil"/>
              <w:left w:val="nil"/>
              <w:bottom w:val="nil"/>
              <w:right w:val="nil"/>
            </w:tcBorders>
            <w:shd w:val="clear" w:color="auto" w:fill="auto"/>
            <w:noWrap/>
            <w:vAlign w:val="bottom"/>
            <w:hideMark/>
          </w:tcPr>
          <w:p w14:paraId="4ACA91EB" w14:textId="77777777" w:rsidR="00A35C25" w:rsidRPr="00925C94" w:rsidRDefault="00A35C25" w:rsidP="005D38D3">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18</w:t>
            </w:r>
          </w:p>
        </w:tc>
        <w:tc>
          <w:tcPr>
            <w:tcW w:w="532" w:type="pct"/>
            <w:tcBorders>
              <w:top w:val="nil"/>
              <w:left w:val="nil"/>
              <w:bottom w:val="nil"/>
              <w:right w:val="nil"/>
            </w:tcBorders>
            <w:shd w:val="clear" w:color="auto" w:fill="auto"/>
            <w:noWrap/>
            <w:vAlign w:val="bottom"/>
            <w:hideMark/>
          </w:tcPr>
          <w:p w14:paraId="584CBEF5" w14:textId="77777777" w:rsidR="00A35C25" w:rsidRPr="00925C94" w:rsidRDefault="00A35C25" w:rsidP="005D38D3">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0</w:t>
            </w:r>
          </w:p>
        </w:tc>
        <w:tc>
          <w:tcPr>
            <w:tcW w:w="533" w:type="pct"/>
            <w:tcBorders>
              <w:top w:val="nil"/>
              <w:left w:val="nil"/>
              <w:bottom w:val="nil"/>
              <w:right w:val="nil"/>
            </w:tcBorders>
            <w:shd w:val="clear" w:color="000000" w:fill="F2DCDB"/>
            <w:noWrap/>
            <w:vAlign w:val="bottom"/>
            <w:hideMark/>
          </w:tcPr>
          <w:p w14:paraId="1346AE00" w14:textId="77777777" w:rsidR="00A35C25" w:rsidRPr="00925C94" w:rsidRDefault="00A35C25" w:rsidP="005D38D3">
            <w:pPr>
              <w:spacing w:before="0" w:after="0"/>
              <w:jc w:val="center"/>
              <w:rPr>
                <w:rFonts w:ascii="Calibri" w:hAnsi="Calibri" w:cs="Times New Roman"/>
                <w:b/>
                <w:bCs/>
                <w:sz w:val="20"/>
                <w:szCs w:val="20"/>
              </w:rPr>
            </w:pPr>
            <w:r w:rsidRPr="00925C94">
              <w:rPr>
                <w:rFonts w:ascii="Calibri" w:hAnsi="Calibri" w:cs="Times New Roman"/>
                <w:b/>
                <w:bCs/>
                <w:sz w:val="20"/>
                <w:szCs w:val="20"/>
              </w:rPr>
              <w:t>2,623</w:t>
            </w:r>
          </w:p>
        </w:tc>
        <w:tc>
          <w:tcPr>
            <w:tcW w:w="716" w:type="pct"/>
            <w:tcBorders>
              <w:top w:val="nil"/>
              <w:left w:val="nil"/>
              <w:bottom w:val="nil"/>
              <w:right w:val="single" w:sz="4" w:space="0" w:color="auto"/>
            </w:tcBorders>
            <w:shd w:val="clear" w:color="000000" w:fill="F2DCDB"/>
            <w:noWrap/>
            <w:vAlign w:val="bottom"/>
            <w:hideMark/>
          </w:tcPr>
          <w:p w14:paraId="198DE62E" w14:textId="77777777" w:rsidR="00A35C25" w:rsidRPr="00925C94" w:rsidRDefault="00A35C25" w:rsidP="005D38D3">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343</w:t>
            </w:r>
          </w:p>
        </w:tc>
      </w:tr>
      <w:tr w:rsidR="00A35C25" w:rsidRPr="00925C94" w14:paraId="6FD5EBD2" w14:textId="77777777" w:rsidTr="00A35C25">
        <w:trPr>
          <w:trHeight w:val="300"/>
        </w:trPr>
        <w:tc>
          <w:tcPr>
            <w:tcW w:w="1037" w:type="pct"/>
            <w:vMerge/>
            <w:tcBorders>
              <w:left w:val="single" w:sz="4" w:space="0" w:color="auto"/>
              <w:bottom w:val="nil"/>
              <w:right w:val="nil"/>
            </w:tcBorders>
            <w:shd w:val="clear" w:color="auto" w:fill="F2F2F2" w:themeFill="background1" w:themeFillShade="F2"/>
            <w:vAlign w:val="center"/>
            <w:hideMark/>
          </w:tcPr>
          <w:p w14:paraId="4B8BBC79" w14:textId="77777777" w:rsidR="00A35C25" w:rsidRPr="00925C94" w:rsidRDefault="00A35C25" w:rsidP="005D38D3">
            <w:pPr>
              <w:spacing w:before="0" w:after="0"/>
              <w:rPr>
                <w:rFonts w:ascii="Calibri" w:hAnsi="Calibri" w:cs="Times New Roman"/>
                <w:b/>
                <w:bCs/>
                <w:color w:val="000000"/>
                <w:sz w:val="20"/>
                <w:szCs w:val="20"/>
              </w:rPr>
            </w:pPr>
          </w:p>
        </w:tc>
        <w:tc>
          <w:tcPr>
            <w:tcW w:w="660" w:type="pct"/>
            <w:tcBorders>
              <w:top w:val="nil"/>
              <w:left w:val="single" w:sz="4" w:space="0" w:color="auto"/>
              <w:bottom w:val="nil"/>
              <w:right w:val="single" w:sz="4" w:space="0" w:color="auto"/>
            </w:tcBorders>
            <w:shd w:val="clear" w:color="000000" w:fill="F2F2F2"/>
            <w:noWrap/>
            <w:vAlign w:val="center"/>
            <w:hideMark/>
          </w:tcPr>
          <w:p w14:paraId="4ACA5223" w14:textId="77777777" w:rsidR="00A35C25" w:rsidRPr="00925C94" w:rsidRDefault="00A35C25" w:rsidP="005D38D3">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w:t>
            </w:r>
          </w:p>
        </w:tc>
        <w:tc>
          <w:tcPr>
            <w:tcW w:w="419" w:type="pct"/>
            <w:tcBorders>
              <w:top w:val="nil"/>
              <w:left w:val="nil"/>
              <w:bottom w:val="nil"/>
              <w:right w:val="single" w:sz="4" w:space="0" w:color="auto"/>
            </w:tcBorders>
            <w:shd w:val="clear" w:color="000000" w:fill="F2F2F2"/>
            <w:noWrap/>
            <w:vAlign w:val="bottom"/>
            <w:hideMark/>
          </w:tcPr>
          <w:p w14:paraId="4EBDDCEF" w14:textId="77777777" w:rsidR="00A35C25" w:rsidRPr="00925C94" w:rsidRDefault="00A35C25" w:rsidP="00CE2946">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100%</w:t>
            </w:r>
          </w:p>
        </w:tc>
        <w:tc>
          <w:tcPr>
            <w:tcW w:w="362" w:type="pct"/>
            <w:tcBorders>
              <w:top w:val="nil"/>
              <w:left w:val="nil"/>
              <w:bottom w:val="nil"/>
              <w:right w:val="nil"/>
            </w:tcBorders>
            <w:shd w:val="clear" w:color="auto" w:fill="auto"/>
            <w:noWrap/>
            <w:vAlign w:val="bottom"/>
            <w:hideMark/>
          </w:tcPr>
          <w:p w14:paraId="64D19CF5" w14:textId="77777777" w:rsidR="00A35C25" w:rsidRPr="00925C94" w:rsidRDefault="00A35C25" w:rsidP="00CE2946">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86%</w:t>
            </w:r>
          </w:p>
        </w:tc>
        <w:tc>
          <w:tcPr>
            <w:tcW w:w="459" w:type="pct"/>
            <w:tcBorders>
              <w:top w:val="nil"/>
              <w:left w:val="nil"/>
              <w:bottom w:val="nil"/>
              <w:right w:val="nil"/>
            </w:tcBorders>
            <w:shd w:val="clear" w:color="auto" w:fill="auto"/>
            <w:noWrap/>
            <w:vAlign w:val="bottom"/>
            <w:hideMark/>
          </w:tcPr>
          <w:p w14:paraId="587F3E91" w14:textId="77777777" w:rsidR="00A35C25" w:rsidRPr="00925C94" w:rsidRDefault="00A35C25" w:rsidP="006B0C6A">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2%</w:t>
            </w:r>
          </w:p>
        </w:tc>
        <w:tc>
          <w:tcPr>
            <w:tcW w:w="281" w:type="pct"/>
            <w:tcBorders>
              <w:top w:val="nil"/>
              <w:left w:val="nil"/>
              <w:bottom w:val="nil"/>
              <w:right w:val="nil"/>
            </w:tcBorders>
            <w:shd w:val="clear" w:color="auto" w:fill="auto"/>
            <w:noWrap/>
            <w:vAlign w:val="bottom"/>
            <w:hideMark/>
          </w:tcPr>
          <w:p w14:paraId="2490192B" w14:textId="77777777" w:rsidR="00A35C25" w:rsidRPr="00925C94" w:rsidRDefault="00A35C25" w:rsidP="008E4EAC">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w:t>
            </w:r>
          </w:p>
        </w:tc>
        <w:tc>
          <w:tcPr>
            <w:tcW w:w="532" w:type="pct"/>
            <w:tcBorders>
              <w:top w:val="nil"/>
              <w:left w:val="nil"/>
              <w:bottom w:val="nil"/>
              <w:right w:val="nil"/>
            </w:tcBorders>
            <w:shd w:val="clear" w:color="auto" w:fill="auto"/>
            <w:noWrap/>
            <w:vAlign w:val="bottom"/>
            <w:hideMark/>
          </w:tcPr>
          <w:p w14:paraId="47224DF4" w14:textId="77777777" w:rsidR="00A35C25" w:rsidRPr="00925C94" w:rsidRDefault="00A35C25" w:rsidP="008E4EAC">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0%</w:t>
            </w:r>
          </w:p>
        </w:tc>
        <w:tc>
          <w:tcPr>
            <w:tcW w:w="533" w:type="pct"/>
            <w:tcBorders>
              <w:top w:val="nil"/>
              <w:left w:val="nil"/>
              <w:bottom w:val="nil"/>
              <w:right w:val="nil"/>
            </w:tcBorders>
            <w:shd w:val="clear" w:color="000000" w:fill="F2DCDB"/>
            <w:noWrap/>
            <w:vAlign w:val="bottom"/>
            <w:hideMark/>
          </w:tcPr>
          <w:p w14:paraId="0A15607C" w14:textId="77777777" w:rsidR="00A35C25" w:rsidRPr="00925C94" w:rsidRDefault="00A35C25" w:rsidP="008E4EAC">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88%</w:t>
            </w:r>
          </w:p>
        </w:tc>
        <w:tc>
          <w:tcPr>
            <w:tcW w:w="716" w:type="pct"/>
            <w:tcBorders>
              <w:top w:val="nil"/>
              <w:left w:val="nil"/>
              <w:bottom w:val="nil"/>
              <w:right w:val="single" w:sz="4" w:space="0" w:color="auto"/>
            </w:tcBorders>
            <w:shd w:val="clear" w:color="000000" w:fill="F2DCDB"/>
            <w:noWrap/>
            <w:vAlign w:val="bottom"/>
            <w:hideMark/>
          </w:tcPr>
          <w:p w14:paraId="71233C87" w14:textId="77777777" w:rsidR="00A35C25" w:rsidRPr="00925C94" w:rsidRDefault="00A35C25" w:rsidP="00A35C25">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12%</w:t>
            </w:r>
          </w:p>
        </w:tc>
      </w:tr>
      <w:tr w:rsidR="005D38D3" w:rsidRPr="00925C94" w14:paraId="40815732" w14:textId="77777777" w:rsidTr="00A35C25">
        <w:trPr>
          <w:trHeight w:val="300"/>
        </w:trPr>
        <w:tc>
          <w:tcPr>
            <w:tcW w:w="1037" w:type="pct"/>
            <w:tcBorders>
              <w:top w:val="nil"/>
              <w:left w:val="single" w:sz="4" w:space="0" w:color="auto"/>
              <w:bottom w:val="nil"/>
              <w:right w:val="single" w:sz="4" w:space="0" w:color="auto"/>
            </w:tcBorders>
            <w:shd w:val="clear" w:color="auto" w:fill="F2F2F2" w:themeFill="background1" w:themeFillShade="F2"/>
            <w:vAlign w:val="center"/>
            <w:hideMark/>
          </w:tcPr>
          <w:p w14:paraId="7CC4BCF7" w14:textId="77777777" w:rsidR="005D38D3" w:rsidRPr="00925C94" w:rsidRDefault="00CE2946" w:rsidP="00CE2946">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Mackay-</w:t>
            </w:r>
          </w:p>
        </w:tc>
        <w:tc>
          <w:tcPr>
            <w:tcW w:w="660" w:type="pct"/>
            <w:tcBorders>
              <w:top w:val="nil"/>
              <w:left w:val="nil"/>
              <w:bottom w:val="nil"/>
              <w:right w:val="single" w:sz="4" w:space="0" w:color="auto"/>
            </w:tcBorders>
            <w:shd w:val="clear" w:color="000000" w:fill="F2F2F2"/>
            <w:noWrap/>
            <w:vAlign w:val="center"/>
            <w:hideMark/>
          </w:tcPr>
          <w:p w14:paraId="22923C4E" w14:textId="77777777" w:rsidR="005D38D3" w:rsidRPr="00925C94" w:rsidRDefault="005D38D3" w:rsidP="00CE2946">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 xml:space="preserve">area </w:t>
            </w:r>
          </w:p>
        </w:tc>
        <w:tc>
          <w:tcPr>
            <w:tcW w:w="419" w:type="pct"/>
            <w:tcBorders>
              <w:top w:val="nil"/>
              <w:left w:val="nil"/>
              <w:bottom w:val="nil"/>
              <w:right w:val="single" w:sz="4" w:space="0" w:color="auto"/>
            </w:tcBorders>
            <w:shd w:val="clear" w:color="000000" w:fill="F2F2F2"/>
            <w:noWrap/>
            <w:vAlign w:val="bottom"/>
            <w:hideMark/>
          </w:tcPr>
          <w:p w14:paraId="5F203774" w14:textId="77777777" w:rsidR="005D38D3" w:rsidRPr="00925C94" w:rsidRDefault="005D38D3" w:rsidP="00CE2946">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3</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196</w:t>
            </w:r>
          </w:p>
        </w:tc>
        <w:tc>
          <w:tcPr>
            <w:tcW w:w="362" w:type="pct"/>
            <w:tcBorders>
              <w:top w:val="nil"/>
              <w:left w:val="nil"/>
              <w:bottom w:val="nil"/>
              <w:right w:val="nil"/>
            </w:tcBorders>
            <w:shd w:val="clear" w:color="auto" w:fill="auto"/>
            <w:noWrap/>
            <w:vAlign w:val="bottom"/>
            <w:hideMark/>
          </w:tcPr>
          <w:p w14:paraId="71FC430A" w14:textId="77777777" w:rsidR="005D38D3" w:rsidRPr="00925C94" w:rsidRDefault="005D38D3" w:rsidP="006B0C6A">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412</w:t>
            </w:r>
          </w:p>
        </w:tc>
        <w:tc>
          <w:tcPr>
            <w:tcW w:w="459" w:type="pct"/>
            <w:tcBorders>
              <w:top w:val="nil"/>
              <w:left w:val="nil"/>
              <w:bottom w:val="nil"/>
              <w:right w:val="nil"/>
            </w:tcBorders>
            <w:shd w:val="clear" w:color="auto" w:fill="auto"/>
            <w:noWrap/>
            <w:vAlign w:val="bottom"/>
            <w:hideMark/>
          </w:tcPr>
          <w:p w14:paraId="75A4D808" w14:textId="77777777" w:rsidR="005D38D3" w:rsidRPr="00925C94" w:rsidRDefault="005D38D3" w:rsidP="008E4EAC">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65</w:t>
            </w:r>
          </w:p>
        </w:tc>
        <w:tc>
          <w:tcPr>
            <w:tcW w:w="281" w:type="pct"/>
            <w:tcBorders>
              <w:top w:val="nil"/>
              <w:left w:val="nil"/>
              <w:bottom w:val="nil"/>
              <w:right w:val="nil"/>
            </w:tcBorders>
            <w:shd w:val="clear" w:color="auto" w:fill="auto"/>
            <w:noWrap/>
            <w:vAlign w:val="bottom"/>
            <w:hideMark/>
          </w:tcPr>
          <w:p w14:paraId="50009F6B" w14:textId="77777777" w:rsidR="005D38D3" w:rsidRPr="00925C94" w:rsidRDefault="005D38D3" w:rsidP="008E4EAC">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203</w:t>
            </w:r>
          </w:p>
        </w:tc>
        <w:tc>
          <w:tcPr>
            <w:tcW w:w="532" w:type="pct"/>
            <w:tcBorders>
              <w:top w:val="nil"/>
              <w:left w:val="nil"/>
              <w:bottom w:val="nil"/>
              <w:right w:val="nil"/>
            </w:tcBorders>
            <w:shd w:val="clear" w:color="auto" w:fill="auto"/>
            <w:noWrap/>
            <w:vAlign w:val="bottom"/>
            <w:hideMark/>
          </w:tcPr>
          <w:p w14:paraId="42F0B718" w14:textId="77777777" w:rsidR="005D38D3" w:rsidRPr="00925C94" w:rsidRDefault="005D38D3" w:rsidP="008E4EAC">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1</w:t>
            </w:r>
          </w:p>
        </w:tc>
        <w:tc>
          <w:tcPr>
            <w:tcW w:w="533" w:type="pct"/>
            <w:tcBorders>
              <w:top w:val="nil"/>
              <w:left w:val="nil"/>
              <w:bottom w:val="nil"/>
              <w:right w:val="nil"/>
            </w:tcBorders>
            <w:shd w:val="clear" w:color="000000" w:fill="F2DCDB"/>
            <w:noWrap/>
            <w:vAlign w:val="bottom"/>
            <w:hideMark/>
          </w:tcPr>
          <w:p w14:paraId="27ACEACA" w14:textId="77777777" w:rsidR="005D38D3" w:rsidRPr="00925C94" w:rsidRDefault="005D38D3" w:rsidP="00A35C25">
            <w:pPr>
              <w:spacing w:before="0" w:after="0"/>
              <w:jc w:val="center"/>
              <w:rPr>
                <w:rFonts w:ascii="Calibri" w:hAnsi="Calibri" w:cs="Times New Roman"/>
                <w:b/>
                <w:bCs/>
                <w:sz w:val="20"/>
                <w:szCs w:val="20"/>
              </w:rPr>
            </w:pPr>
            <w:r w:rsidRPr="00925C94">
              <w:rPr>
                <w:rFonts w:ascii="Calibri" w:hAnsi="Calibri" w:cs="Times New Roman"/>
                <w:b/>
                <w:bCs/>
                <w:sz w:val="20"/>
                <w:szCs w:val="20"/>
              </w:rPr>
              <w:t>681</w:t>
            </w:r>
          </w:p>
        </w:tc>
        <w:tc>
          <w:tcPr>
            <w:tcW w:w="716" w:type="pct"/>
            <w:tcBorders>
              <w:top w:val="nil"/>
              <w:left w:val="nil"/>
              <w:bottom w:val="nil"/>
              <w:right w:val="single" w:sz="4" w:space="0" w:color="auto"/>
            </w:tcBorders>
            <w:shd w:val="clear" w:color="000000" w:fill="F2DCDB"/>
            <w:noWrap/>
            <w:vAlign w:val="bottom"/>
            <w:hideMark/>
          </w:tcPr>
          <w:p w14:paraId="2FB7FD68" w14:textId="77777777" w:rsidR="005D38D3" w:rsidRPr="00925C94" w:rsidRDefault="005D38D3" w:rsidP="00A35C25">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2</w:t>
            </w:r>
            <w:r w:rsidR="00CE2946" w:rsidRPr="00925C94">
              <w:rPr>
                <w:rFonts w:ascii="Calibri" w:hAnsi="Calibri" w:cs="Times New Roman"/>
                <w:b/>
                <w:bCs/>
                <w:color w:val="000000"/>
                <w:sz w:val="20"/>
                <w:szCs w:val="20"/>
              </w:rPr>
              <w:t>,</w:t>
            </w:r>
            <w:r w:rsidRPr="00925C94">
              <w:rPr>
                <w:rFonts w:ascii="Calibri" w:hAnsi="Calibri" w:cs="Times New Roman"/>
                <w:b/>
                <w:bCs/>
                <w:color w:val="000000"/>
                <w:sz w:val="20"/>
                <w:szCs w:val="20"/>
              </w:rPr>
              <w:t>514</w:t>
            </w:r>
          </w:p>
        </w:tc>
      </w:tr>
      <w:tr w:rsidR="005D38D3" w:rsidRPr="00925C94" w14:paraId="7767F5EF" w14:textId="77777777" w:rsidTr="00A35C25">
        <w:trPr>
          <w:trHeight w:val="300"/>
        </w:trPr>
        <w:tc>
          <w:tcPr>
            <w:tcW w:w="1037" w:type="pct"/>
            <w:tcBorders>
              <w:top w:val="nil"/>
              <w:left w:val="single" w:sz="4" w:space="0" w:color="auto"/>
              <w:bottom w:val="nil"/>
              <w:right w:val="single" w:sz="4" w:space="0" w:color="auto"/>
            </w:tcBorders>
            <w:shd w:val="clear" w:color="auto" w:fill="F2F2F2" w:themeFill="background1" w:themeFillShade="F2"/>
            <w:vAlign w:val="center"/>
            <w:hideMark/>
          </w:tcPr>
          <w:p w14:paraId="3CFAFFE4" w14:textId="77777777" w:rsidR="005D38D3" w:rsidRPr="00925C94" w:rsidRDefault="00CE2946" w:rsidP="00CE2946">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Whitsundays</w:t>
            </w:r>
          </w:p>
        </w:tc>
        <w:tc>
          <w:tcPr>
            <w:tcW w:w="660" w:type="pct"/>
            <w:tcBorders>
              <w:top w:val="nil"/>
              <w:left w:val="nil"/>
              <w:bottom w:val="nil"/>
              <w:right w:val="single" w:sz="4" w:space="0" w:color="auto"/>
            </w:tcBorders>
            <w:shd w:val="clear" w:color="000000" w:fill="F2F2F2"/>
            <w:noWrap/>
            <w:vAlign w:val="center"/>
            <w:hideMark/>
          </w:tcPr>
          <w:p w14:paraId="0437A8CC" w14:textId="77777777" w:rsidR="005D38D3" w:rsidRPr="00925C94" w:rsidRDefault="005D38D3" w:rsidP="005D38D3">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w:t>
            </w:r>
          </w:p>
        </w:tc>
        <w:tc>
          <w:tcPr>
            <w:tcW w:w="419" w:type="pct"/>
            <w:tcBorders>
              <w:top w:val="nil"/>
              <w:left w:val="nil"/>
              <w:bottom w:val="nil"/>
              <w:right w:val="single" w:sz="4" w:space="0" w:color="auto"/>
            </w:tcBorders>
            <w:shd w:val="clear" w:color="000000" w:fill="F2F2F2"/>
            <w:noWrap/>
            <w:vAlign w:val="bottom"/>
            <w:hideMark/>
          </w:tcPr>
          <w:p w14:paraId="66533ADA" w14:textId="77777777" w:rsidR="005D38D3" w:rsidRPr="00925C94" w:rsidRDefault="005D38D3" w:rsidP="005D38D3">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100%</w:t>
            </w:r>
          </w:p>
        </w:tc>
        <w:tc>
          <w:tcPr>
            <w:tcW w:w="362" w:type="pct"/>
            <w:tcBorders>
              <w:top w:val="nil"/>
              <w:left w:val="nil"/>
              <w:bottom w:val="nil"/>
              <w:right w:val="nil"/>
            </w:tcBorders>
            <w:shd w:val="clear" w:color="auto" w:fill="auto"/>
            <w:noWrap/>
            <w:vAlign w:val="bottom"/>
            <w:hideMark/>
          </w:tcPr>
          <w:p w14:paraId="2205A57F" w14:textId="77777777" w:rsidR="005D38D3" w:rsidRPr="00925C94" w:rsidRDefault="005D38D3" w:rsidP="005D38D3">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13%</w:t>
            </w:r>
          </w:p>
        </w:tc>
        <w:tc>
          <w:tcPr>
            <w:tcW w:w="459" w:type="pct"/>
            <w:tcBorders>
              <w:top w:val="nil"/>
              <w:left w:val="nil"/>
              <w:bottom w:val="nil"/>
              <w:right w:val="nil"/>
            </w:tcBorders>
            <w:shd w:val="clear" w:color="auto" w:fill="auto"/>
            <w:noWrap/>
            <w:vAlign w:val="bottom"/>
            <w:hideMark/>
          </w:tcPr>
          <w:p w14:paraId="4DAACCFB" w14:textId="77777777" w:rsidR="005D38D3" w:rsidRPr="00925C94" w:rsidRDefault="005D38D3" w:rsidP="005D38D3">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2%</w:t>
            </w:r>
          </w:p>
        </w:tc>
        <w:tc>
          <w:tcPr>
            <w:tcW w:w="281" w:type="pct"/>
            <w:tcBorders>
              <w:top w:val="nil"/>
              <w:left w:val="nil"/>
              <w:bottom w:val="nil"/>
              <w:right w:val="nil"/>
            </w:tcBorders>
            <w:shd w:val="clear" w:color="auto" w:fill="auto"/>
            <w:noWrap/>
            <w:vAlign w:val="bottom"/>
            <w:hideMark/>
          </w:tcPr>
          <w:p w14:paraId="2C869CD7" w14:textId="77777777" w:rsidR="005D38D3" w:rsidRPr="00925C94" w:rsidRDefault="005D38D3" w:rsidP="005D38D3">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6%</w:t>
            </w:r>
          </w:p>
        </w:tc>
        <w:tc>
          <w:tcPr>
            <w:tcW w:w="532" w:type="pct"/>
            <w:tcBorders>
              <w:top w:val="nil"/>
              <w:left w:val="nil"/>
              <w:bottom w:val="nil"/>
              <w:right w:val="nil"/>
            </w:tcBorders>
            <w:shd w:val="clear" w:color="auto" w:fill="auto"/>
            <w:noWrap/>
            <w:vAlign w:val="bottom"/>
            <w:hideMark/>
          </w:tcPr>
          <w:p w14:paraId="433BADE9" w14:textId="77777777" w:rsidR="005D38D3" w:rsidRPr="00925C94" w:rsidRDefault="005D38D3" w:rsidP="005D38D3">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0%</w:t>
            </w:r>
          </w:p>
        </w:tc>
        <w:tc>
          <w:tcPr>
            <w:tcW w:w="533" w:type="pct"/>
            <w:tcBorders>
              <w:top w:val="nil"/>
              <w:left w:val="nil"/>
              <w:bottom w:val="nil"/>
              <w:right w:val="nil"/>
            </w:tcBorders>
            <w:shd w:val="clear" w:color="000000" w:fill="F2DCDB"/>
            <w:noWrap/>
            <w:vAlign w:val="bottom"/>
            <w:hideMark/>
          </w:tcPr>
          <w:p w14:paraId="638B9A43" w14:textId="77777777" w:rsidR="005D38D3" w:rsidRPr="00925C94" w:rsidRDefault="005D38D3" w:rsidP="005D38D3">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21%</w:t>
            </w:r>
          </w:p>
        </w:tc>
        <w:tc>
          <w:tcPr>
            <w:tcW w:w="716" w:type="pct"/>
            <w:tcBorders>
              <w:top w:val="nil"/>
              <w:left w:val="nil"/>
              <w:bottom w:val="nil"/>
              <w:right w:val="single" w:sz="4" w:space="0" w:color="auto"/>
            </w:tcBorders>
            <w:shd w:val="clear" w:color="000000" w:fill="F2DCDB"/>
            <w:noWrap/>
            <w:vAlign w:val="bottom"/>
            <w:hideMark/>
          </w:tcPr>
          <w:p w14:paraId="7DA9D547" w14:textId="77777777" w:rsidR="005D38D3" w:rsidRPr="00925C94" w:rsidRDefault="005D38D3" w:rsidP="005D38D3">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79%</w:t>
            </w:r>
          </w:p>
        </w:tc>
      </w:tr>
      <w:tr w:rsidR="00A35C25" w:rsidRPr="00925C94" w14:paraId="3ED93D38" w14:textId="77777777" w:rsidTr="00A35C25">
        <w:trPr>
          <w:trHeight w:val="300"/>
        </w:trPr>
        <w:tc>
          <w:tcPr>
            <w:tcW w:w="1037" w:type="pct"/>
            <w:vMerge w:val="restart"/>
            <w:tcBorders>
              <w:top w:val="nil"/>
              <w:left w:val="single" w:sz="4" w:space="0" w:color="auto"/>
              <w:right w:val="nil"/>
            </w:tcBorders>
            <w:shd w:val="clear" w:color="auto" w:fill="F2F2F2" w:themeFill="background1" w:themeFillShade="F2"/>
            <w:noWrap/>
            <w:vAlign w:val="center"/>
            <w:hideMark/>
          </w:tcPr>
          <w:p w14:paraId="6A52B673" w14:textId="77777777" w:rsidR="00A35C25" w:rsidRPr="00925C94" w:rsidRDefault="00A35C25" w:rsidP="005D38D3">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Fitzroy</w:t>
            </w:r>
          </w:p>
        </w:tc>
        <w:tc>
          <w:tcPr>
            <w:tcW w:w="660" w:type="pct"/>
            <w:tcBorders>
              <w:top w:val="nil"/>
              <w:left w:val="single" w:sz="4" w:space="0" w:color="auto"/>
              <w:bottom w:val="nil"/>
              <w:right w:val="single" w:sz="4" w:space="0" w:color="auto"/>
            </w:tcBorders>
            <w:shd w:val="clear" w:color="000000" w:fill="F2F2F2"/>
            <w:noWrap/>
            <w:vAlign w:val="center"/>
            <w:hideMark/>
          </w:tcPr>
          <w:p w14:paraId="022E57E3" w14:textId="77777777" w:rsidR="00A35C25" w:rsidRPr="00925C94" w:rsidRDefault="00A35C25" w:rsidP="005D38D3">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 xml:space="preserve">area </w:t>
            </w:r>
          </w:p>
        </w:tc>
        <w:tc>
          <w:tcPr>
            <w:tcW w:w="419" w:type="pct"/>
            <w:tcBorders>
              <w:top w:val="nil"/>
              <w:left w:val="nil"/>
              <w:bottom w:val="nil"/>
              <w:right w:val="single" w:sz="4" w:space="0" w:color="auto"/>
            </w:tcBorders>
            <w:shd w:val="clear" w:color="000000" w:fill="F2F2F2"/>
            <w:noWrap/>
            <w:vAlign w:val="bottom"/>
            <w:hideMark/>
          </w:tcPr>
          <w:p w14:paraId="46EE477A" w14:textId="77777777" w:rsidR="00A35C25" w:rsidRPr="00925C94" w:rsidRDefault="00A35C25" w:rsidP="005D38D3">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4,880</w:t>
            </w:r>
          </w:p>
        </w:tc>
        <w:tc>
          <w:tcPr>
            <w:tcW w:w="362" w:type="pct"/>
            <w:tcBorders>
              <w:top w:val="nil"/>
              <w:left w:val="nil"/>
              <w:bottom w:val="nil"/>
              <w:right w:val="nil"/>
            </w:tcBorders>
            <w:shd w:val="clear" w:color="auto" w:fill="auto"/>
            <w:noWrap/>
            <w:vAlign w:val="bottom"/>
            <w:hideMark/>
          </w:tcPr>
          <w:p w14:paraId="3E38ED03" w14:textId="77777777" w:rsidR="00A35C25" w:rsidRPr="00925C94" w:rsidRDefault="00A35C25" w:rsidP="005D38D3">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636</w:t>
            </w:r>
          </w:p>
        </w:tc>
        <w:tc>
          <w:tcPr>
            <w:tcW w:w="459" w:type="pct"/>
            <w:tcBorders>
              <w:top w:val="nil"/>
              <w:left w:val="nil"/>
              <w:bottom w:val="nil"/>
              <w:right w:val="nil"/>
            </w:tcBorders>
            <w:shd w:val="clear" w:color="auto" w:fill="auto"/>
            <w:noWrap/>
            <w:vAlign w:val="bottom"/>
            <w:hideMark/>
          </w:tcPr>
          <w:p w14:paraId="28E966D4" w14:textId="77777777" w:rsidR="00A35C25" w:rsidRPr="00925C94" w:rsidRDefault="00A35C25" w:rsidP="005D38D3">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185</w:t>
            </w:r>
          </w:p>
        </w:tc>
        <w:tc>
          <w:tcPr>
            <w:tcW w:w="281" w:type="pct"/>
            <w:tcBorders>
              <w:top w:val="nil"/>
              <w:left w:val="nil"/>
              <w:bottom w:val="nil"/>
              <w:right w:val="nil"/>
            </w:tcBorders>
            <w:shd w:val="clear" w:color="auto" w:fill="auto"/>
            <w:noWrap/>
            <w:vAlign w:val="bottom"/>
            <w:hideMark/>
          </w:tcPr>
          <w:p w14:paraId="1D1AAB95" w14:textId="77777777" w:rsidR="00A35C25" w:rsidRPr="00925C94" w:rsidRDefault="00A35C25" w:rsidP="005D38D3">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124</w:t>
            </w:r>
          </w:p>
        </w:tc>
        <w:tc>
          <w:tcPr>
            <w:tcW w:w="532" w:type="pct"/>
            <w:tcBorders>
              <w:top w:val="nil"/>
              <w:left w:val="nil"/>
              <w:bottom w:val="nil"/>
              <w:right w:val="nil"/>
            </w:tcBorders>
            <w:shd w:val="clear" w:color="auto" w:fill="auto"/>
            <w:noWrap/>
            <w:vAlign w:val="bottom"/>
            <w:hideMark/>
          </w:tcPr>
          <w:p w14:paraId="2335416E" w14:textId="77777777" w:rsidR="00A35C25" w:rsidRPr="00925C94" w:rsidRDefault="00A35C25" w:rsidP="005D38D3">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30</w:t>
            </w:r>
          </w:p>
        </w:tc>
        <w:tc>
          <w:tcPr>
            <w:tcW w:w="533" w:type="pct"/>
            <w:tcBorders>
              <w:top w:val="nil"/>
              <w:left w:val="nil"/>
              <w:bottom w:val="nil"/>
              <w:right w:val="nil"/>
            </w:tcBorders>
            <w:shd w:val="clear" w:color="000000" w:fill="F2DCDB"/>
            <w:noWrap/>
            <w:vAlign w:val="bottom"/>
            <w:hideMark/>
          </w:tcPr>
          <w:p w14:paraId="4D1BEBAE" w14:textId="77777777" w:rsidR="00A35C25" w:rsidRPr="00925C94" w:rsidRDefault="00A35C25" w:rsidP="005D38D3">
            <w:pPr>
              <w:spacing w:before="0" w:after="0"/>
              <w:jc w:val="center"/>
              <w:rPr>
                <w:rFonts w:ascii="Calibri" w:hAnsi="Calibri" w:cs="Times New Roman"/>
                <w:b/>
                <w:bCs/>
                <w:sz w:val="20"/>
                <w:szCs w:val="20"/>
              </w:rPr>
            </w:pPr>
            <w:r w:rsidRPr="00925C94">
              <w:rPr>
                <w:rFonts w:ascii="Calibri" w:hAnsi="Calibri" w:cs="Times New Roman"/>
                <w:b/>
                <w:bCs/>
                <w:sz w:val="20"/>
                <w:szCs w:val="20"/>
              </w:rPr>
              <w:t>975</w:t>
            </w:r>
          </w:p>
        </w:tc>
        <w:tc>
          <w:tcPr>
            <w:tcW w:w="716" w:type="pct"/>
            <w:tcBorders>
              <w:top w:val="nil"/>
              <w:left w:val="nil"/>
              <w:bottom w:val="nil"/>
              <w:right w:val="single" w:sz="4" w:space="0" w:color="auto"/>
            </w:tcBorders>
            <w:shd w:val="clear" w:color="000000" w:fill="F2DCDB"/>
            <w:noWrap/>
            <w:vAlign w:val="bottom"/>
            <w:hideMark/>
          </w:tcPr>
          <w:p w14:paraId="432D606E" w14:textId="77777777" w:rsidR="00A35C25" w:rsidRPr="00925C94" w:rsidRDefault="00A35C25" w:rsidP="005D38D3">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3,905</w:t>
            </w:r>
          </w:p>
        </w:tc>
      </w:tr>
      <w:tr w:rsidR="00A35C25" w:rsidRPr="00925C94" w14:paraId="082BE458" w14:textId="77777777" w:rsidTr="00A35C25">
        <w:trPr>
          <w:trHeight w:val="300"/>
        </w:trPr>
        <w:tc>
          <w:tcPr>
            <w:tcW w:w="1037" w:type="pct"/>
            <w:vMerge/>
            <w:tcBorders>
              <w:left w:val="single" w:sz="4" w:space="0" w:color="auto"/>
              <w:right w:val="nil"/>
            </w:tcBorders>
            <w:shd w:val="clear" w:color="auto" w:fill="F2F2F2" w:themeFill="background1" w:themeFillShade="F2"/>
            <w:vAlign w:val="center"/>
            <w:hideMark/>
          </w:tcPr>
          <w:p w14:paraId="2F0E5E58" w14:textId="77777777" w:rsidR="00A35C25" w:rsidRPr="00925C94" w:rsidRDefault="00A35C25" w:rsidP="005D38D3">
            <w:pPr>
              <w:spacing w:before="0" w:after="0"/>
              <w:rPr>
                <w:rFonts w:ascii="Calibri" w:hAnsi="Calibri" w:cs="Times New Roman"/>
                <w:b/>
                <w:bCs/>
                <w:color w:val="000000"/>
                <w:sz w:val="20"/>
                <w:szCs w:val="20"/>
              </w:rPr>
            </w:pPr>
          </w:p>
        </w:tc>
        <w:tc>
          <w:tcPr>
            <w:tcW w:w="660" w:type="pct"/>
            <w:tcBorders>
              <w:top w:val="nil"/>
              <w:left w:val="single" w:sz="4" w:space="0" w:color="auto"/>
              <w:bottom w:val="nil"/>
              <w:right w:val="single" w:sz="4" w:space="0" w:color="auto"/>
            </w:tcBorders>
            <w:shd w:val="clear" w:color="000000" w:fill="F2F2F2"/>
            <w:noWrap/>
            <w:vAlign w:val="center"/>
            <w:hideMark/>
          </w:tcPr>
          <w:p w14:paraId="55461701" w14:textId="77777777" w:rsidR="00A35C25" w:rsidRPr="00925C94" w:rsidRDefault="00A35C25" w:rsidP="005D38D3">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w:t>
            </w:r>
          </w:p>
        </w:tc>
        <w:tc>
          <w:tcPr>
            <w:tcW w:w="419" w:type="pct"/>
            <w:tcBorders>
              <w:top w:val="nil"/>
              <w:left w:val="nil"/>
              <w:bottom w:val="nil"/>
              <w:right w:val="single" w:sz="4" w:space="0" w:color="auto"/>
            </w:tcBorders>
            <w:shd w:val="clear" w:color="000000" w:fill="F2F2F2"/>
            <w:noWrap/>
            <w:vAlign w:val="bottom"/>
            <w:hideMark/>
          </w:tcPr>
          <w:p w14:paraId="7CED74AD" w14:textId="77777777" w:rsidR="00A35C25" w:rsidRPr="00925C94" w:rsidRDefault="00A35C25" w:rsidP="005D38D3">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100%</w:t>
            </w:r>
          </w:p>
        </w:tc>
        <w:tc>
          <w:tcPr>
            <w:tcW w:w="362" w:type="pct"/>
            <w:tcBorders>
              <w:top w:val="nil"/>
              <w:left w:val="nil"/>
              <w:bottom w:val="nil"/>
              <w:right w:val="nil"/>
            </w:tcBorders>
            <w:shd w:val="clear" w:color="auto" w:fill="auto"/>
            <w:noWrap/>
            <w:vAlign w:val="bottom"/>
            <w:hideMark/>
          </w:tcPr>
          <w:p w14:paraId="3CA1FF98" w14:textId="77777777" w:rsidR="00A35C25" w:rsidRPr="00925C94" w:rsidRDefault="00A35C25" w:rsidP="005D38D3">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13%</w:t>
            </w:r>
          </w:p>
        </w:tc>
        <w:tc>
          <w:tcPr>
            <w:tcW w:w="459" w:type="pct"/>
            <w:tcBorders>
              <w:top w:val="nil"/>
              <w:left w:val="nil"/>
              <w:bottom w:val="nil"/>
              <w:right w:val="nil"/>
            </w:tcBorders>
            <w:shd w:val="clear" w:color="auto" w:fill="auto"/>
            <w:noWrap/>
            <w:vAlign w:val="bottom"/>
            <w:hideMark/>
          </w:tcPr>
          <w:p w14:paraId="2DD72FAE" w14:textId="77777777" w:rsidR="00A35C25" w:rsidRPr="00925C94" w:rsidRDefault="00A35C25" w:rsidP="005D38D3">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4%</w:t>
            </w:r>
          </w:p>
        </w:tc>
        <w:tc>
          <w:tcPr>
            <w:tcW w:w="281" w:type="pct"/>
            <w:tcBorders>
              <w:top w:val="nil"/>
              <w:left w:val="nil"/>
              <w:bottom w:val="nil"/>
              <w:right w:val="nil"/>
            </w:tcBorders>
            <w:shd w:val="clear" w:color="auto" w:fill="auto"/>
            <w:noWrap/>
            <w:vAlign w:val="bottom"/>
            <w:hideMark/>
          </w:tcPr>
          <w:p w14:paraId="334CE84C" w14:textId="77777777" w:rsidR="00A35C25" w:rsidRPr="00925C94" w:rsidRDefault="00A35C25" w:rsidP="005D38D3">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3%</w:t>
            </w:r>
          </w:p>
        </w:tc>
        <w:tc>
          <w:tcPr>
            <w:tcW w:w="532" w:type="pct"/>
            <w:tcBorders>
              <w:top w:val="nil"/>
              <w:left w:val="nil"/>
              <w:bottom w:val="nil"/>
              <w:right w:val="nil"/>
            </w:tcBorders>
            <w:shd w:val="clear" w:color="auto" w:fill="auto"/>
            <w:noWrap/>
            <w:vAlign w:val="bottom"/>
            <w:hideMark/>
          </w:tcPr>
          <w:p w14:paraId="28788D64" w14:textId="77777777" w:rsidR="00A35C25" w:rsidRPr="00925C94" w:rsidRDefault="00A35C25" w:rsidP="005D38D3">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w:t>
            </w:r>
          </w:p>
        </w:tc>
        <w:tc>
          <w:tcPr>
            <w:tcW w:w="533" w:type="pct"/>
            <w:tcBorders>
              <w:top w:val="nil"/>
              <w:left w:val="nil"/>
              <w:bottom w:val="nil"/>
              <w:right w:val="nil"/>
            </w:tcBorders>
            <w:shd w:val="clear" w:color="000000" w:fill="F2DCDB"/>
            <w:noWrap/>
            <w:vAlign w:val="bottom"/>
            <w:hideMark/>
          </w:tcPr>
          <w:p w14:paraId="33D510BE" w14:textId="77777777" w:rsidR="00A35C25" w:rsidRPr="00925C94" w:rsidRDefault="00A35C25" w:rsidP="005D38D3">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20%</w:t>
            </w:r>
          </w:p>
        </w:tc>
        <w:tc>
          <w:tcPr>
            <w:tcW w:w="716" w:type="pct"/>
            <w:tcBorders>
              <w:top w:val="nil"/>
              <w:left w:val="nil"/>
              <w:bottom w:val="nil"/>
              <w:right w:val="single" w:sz="4" w:space="0" w:color="auto"/>
            </w:tcBorders>
            <w:shd w:val="clear" w:color="000000" w:fill="F2DCDB"/>
            <w:noWrap/>
            <w:vAlign w:val="bottom"/>
            <w:hideMark/>
          </w:tcPr>
          <w:p w14:paraId="0FF01395" w14:textId="77777777" w:rsidR="00A35C25" w:rsidRPr="00925C94" w:rsidRDefault="00A35C25" w:rsidP="005D38D3">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80%</w:t>
            </w:r>
          </w:p>
        </w:tc>
      </w:tr>
      <w:tr w:rsidR="00A35C25" w:rsidRPr="00925C94" w14:paraId="0017CDCB" w14:textId="77777777" w:rsidTr="00A35C25">
        <w:trPr>
          <w:trHeight w:val="300"/>
        </w:trPr>
        <w:tc>
          <w:tcPr>
            <w:tcW w:w="1037" w:type="pct"/>
            <w:vMerge w:val="restart"/>
            <w:tcBorders>
              <w:top w:val="nil"/>
              <w:left w:val="single" w:sz="4" w:space="0" w:color="auto"/>
              <w:right w:val="single" w:sz="4" w:space="0" w:color="auto"/>
            </w:tcBorders>
            <w:shd w:val="clear" w:color="auto" w:fill="F2F2F2" w:themeFill="background1" w:themeFillShade="F2"/>
            <w:vAlign w:val="center"/>
            <w:hideMark/>
          </w:tcPr>
          <w:p w14:paraId="16E3B3B3" w14:textId="77777777" w:rsidR="00A35C25" w:rsidRPr="00925C94" w:rsidRDefault="00A35C25" w:rsidP="005D38D3">
            <w:pPr>
              <w:spacing w:before="0" w:after="0"/>
              <w:jc w:val="center"/>
              <w:rPr>
                <w:rFonts w:ascii="Calibri" w:hAnsi="Calibri" w:cs="Times New Roman"/>
                <w:b/>
                <w:bCs/>
                <w:sz w:val="20"/>
                <w:szCs w:val="20"/>
              </w:rPr>
            </w:pPr>
            <w:r w:rsidRPr="00925C94">
              <w:rPr>
                <w:rFonts w:ascii="Calibri" w:hAnsi="Calibri" w:cs="Times New Roman"/>
                <w:b/>
                <w:bCs/>
                <w:sz w:val="20"/>
                <w:szCs w:val="20"/>
              </w:rPr>
              <w:t>Burnett-Mary</w:t>
            </w:r>
          </w:p>
        </w:tc>
        <w:tc>
          <w:tcPr>
            <w:tcW w:w="660" w:type="pct"/>
            <w:tcBorders>
              <w:top w:val="nil"/>
              <w:left w:val="nil"/>
              <w:bottom w:val="nil"/>
              <w:right w:val="single" w:sz="4" w:space="0" w:color="auto"/>
            </w:tcBorders>
            <w:shd w:val="clear" w:color="000000" w:fill="F2F2F2"/>
            <w:noWrap/>
            <w:vAlign w:val="center"/>
            <w:hideMark/>
          </w:tcPr>
          <w:p w14:paraId="3871A88E" w14:textId="77777777" w:rsidR="00A35C25" w:rsidRPr="00925C94" w:rsidRDefault="00A35C25" w:rsidP="005D38D3">
            <w:pPr>
              <w:spacing w:before="0" w:after="0"/>
              <w:jc w:val="center"/>
              <w:rPr>
                <w:rFonts w:ascii="Calibri" w:hAnsi="Calibri" w:cs="Times New Roman"/>
                <w:sz w:val="20"/>
                <w:szCs w:val="20"/>
              </w:rPr>
            </w:pPr>
            <w:r w:rsidRPr="00925C94">
              <w:rPr>
                <w:rFonts w:ascii="Calibri" w:hAnsi="Calibri" w:cs="Times New Roman"/>
                <w:sz w:val="20"/>
                <w:szCs w:val="20"/>
              </w:rPr>
              <w:t xml:space="preserve">area </w:t>
            </w:r>
          </w:p>
        </w:tc>
        <w:tc>
          <w:tcPr>
            <w:tcW w:w="419" w:type="pct"/>
            <w:tcBorders>
              <w:top w:val="nil"/>
              <w:left w:val="nil"/>
              <w:bottom w:val="nil"/>
              <w:right w:val="single" w:sz="4" w:space="0" w:color="auto"/>
            </w:tcBorders>
            <w:shd w:val="clear" w:color="000000" w:fill="F2F2F2"/>
            <w:noWrap/>
            <w:vAlign w:val="bottom"/>
            <w:hideMark/>
          </w:tcPr>
          <w:p w14:paraId="7B5C10D8" w14:textId="77777777" w:rsidR="00A35C25" w:rsidRPr="00925C94" w:rsidRDefault="00A35C25" w:rsidP="005D38D3">
            <w:pPr>
              <w:spacing w:before="0" w:after="0"/>
              <w:jc w:val="center"/>
              <w:rPr>
                <w:rFonts w:ascii="Calibri" w:hAnsi="Calibri" w:cs="Times New Roman"/>
                <w:sz w:val="20"/>
                <w:szCs w:val="20"/>
              </w:rPr>
            </w:pPr>
            <w:r w:rsidRPr="00925C94">
              <w:rPr>
                <w:rFonts w:ascii="Calibri" w:hAnsi="Calibri" w:cs="Times New Roman"/>
                <w:sz w:val="20"/>
                <w:szCs w:val="20"/>
              </w:rPr>
              <w:t>284</w:t>
            </w:r>
          </w:p>
        </w:tc>
        <w:tc>
          <w:tcPr>
            <w:tcW w:w="362" w:type="pct"/>
            <w:tcBorders>
              <w:top w:val="nil"/>
              <w:left w:val="nil"/>
              <w:bottom w:val="nil"/>
              <w:right w:val="nil"/>
            </w:tcBorders>
            <w:shd w:val="clear" w:color="auto" w:fill="auto"/>
            <w:noWrap/>
            <w:vAlign w:val="bottom"/>
            <w:hideMark/>
          </w:tcPr>
          <w:p w14:paraId="15FF36B1" w14:textId="77777777" w:rsidR="00A35C25" w:rsidRPr="00925C94" w:rsidRDefault="00A35C25" w:rsidP="005D38D3">
            <w:pPr>
              <w:spacing w:before="0" w:after="0"/>
              <w:jc w:val="center"/>
              <w:rPr>
                <w:rFonts w:ascii="Calibri" w:hAnsi="Calibri" w:cs="Times New Roman"/>
                <w:sz w:val="20"/>
                <w:szCs w:val="20"/>
              </w:rPr>
            </w:pPr>
            <w:r w:rsidRPr="00925C94">
              <w:rPr>
                <w:rFonts w:ascii="Calibri" w:hAnsi="Calibri" w:cs="Times New Roman"/>
                <w:sz w:val="20"/>
                <w:szCs w:val="20"/>
              </w:rPr>
              <w:t>141</w:t>
            </w:r>
          </w:p>
        </w:tc>
        <w:tc>
          <w:tcPr>
            <w:tcW w:w="459" w:type="pct"/>
            <w:tcBorders>
              <w:top w:val="nil"/>
              <w:left w:val="nil"/>
              <w:bottom w:val="nil"/>
              <w:right w:val="nil"/>
            </w:tcBorders>
            <w:shd w:val="clear" w:color="auto" w:fill="auto"/>
            <w:noWrap/>
            <w:vAlign w:val="bottom"/>
            <w:hideMark/>
          </w:tcPr>
          <w:p w14:paraId="7AE1E077" w14:textId="77777777" w:rsidR="00A35C25" w:rsidRPr="00925C94" w:rsidRDefault="00A35C25" w:rsidP="005D38D3">
            <w:pPr>
              <w:spacing w:before="0" w:after="0"/>
              <w:jc w:val="center"/>
              <w:rPr>
                <w:rFonts w:ascii="Calibri" w:hAnsi="Calibri" w:cs="Times New Roman"/>
                <w:sz w:val="20"/>
                <w:szCs w:val="20"/>
              </w:rPr>
            </w:pPr>
            <w:r w:rsidRPr="00925C94">
              <w:rPr>
                <w:rFonts w:ascii="Calibri" w:hAnsi="Calibri" w:cs="Times New Roman"/>
                <w:sz w:val="20"/>
                <w:szCs w:val="20"/>
              </w:rPr>
              <w:t>39</w:t>
            </w:r>
          </w:p>
        </w:tc>
        <w:tc>
          <w:tcPr>
            <w:tcW w:w="281" w:type="pct"/>
            <w:tcBorders>
              <w:top w:val="nil"/>
              <w:left w:val="nil"/>
              <w:bottom w:val="nil"/>
              <w:right w:val="nil"/>
            </w:tcBorders>
            <w:shd w:val="clear" w:color="auto" w:fill="auto"/>
            <w:noWrap/>
            <w:vAlign w:val="bottom"/>
            <w:hideMark/>
          </w:tcPr>
          <w:p w14:paraId="466D2FF7" w14:textId="77777777" w:rsidR="00A35C25" w:rsidRPr="00925C94" w:rsidRDefault="00A35C25" w:rsidP="005D38D3">
            <w:pPr>
              <w:spacing w:before="0" w:after="0"/>
              <w:jc w:val="center"/>
              <w:rPr>
                <w:rFonts w:ascii="Calibri" w:hAnsi="Calibri" w:cs="Times New Roman"/>
                <w:sz w:val="20"/>
                <w:szCs w:val="20"/>
              </w:rPr>
            </w:pPr>
            <w:r w:rsidRPr="00925C94">
              <w:rPr>
                <w:rFonts w:ascii="Calibri" w:hAnsi="Calibri" w:cs="Times New Roman"/>
                <w:sz w:val="20"/>
                <w:szCs w:val="20"/>
              </w:rPr>
              <w:t>3</w:t>
            </w:r>
          </w:p>
        </w:tc>
        <w:tc>
          <w:tcPr>
            <w:tcW w:w="532" w:type="pct"/>
            <w:tcBorders>
              <w:top w:val="nil"/>
              <w:left w:val="nil"/>
              <w:bottom w:val="nil"/>
              <w:right w:val="nil"/>
            </w:tcBorders>
            <w:shd w:val="clear" w:color="auto" w:fill="auto"/>
            <w:noWrap/>
            <w:vAlign w:val="bottom"/>
            <w:hideMark/>
          </w:tcPr>
          <w:p w14:paraId="65D5DE96" w14:textId="77777777" w:rsidR="00A35C25" w:rsidRPr="00925C94" w:rsidRDefault="00A35C25" w:rsidP="005D38D3">
            <w:pPr>
              <w:spacing w:before="0" w:after="0"/>
              <w:jc w:val="center"/>
              <w:rPr>
                <w:rFonts w:ascii="Calibri" w:hAnsi="Calibri" w:cs="Times New Roman"/>
                <w:sz w:val="20"/>
                <w:szCs w:val="20"/>
              </w:rPr>
            </w:pPr>
            <w:r w:rsidRPr="00925C94">
              <w:rPr>
                <w:rFonts w:ascii="Calibri" w:hAnsi="Calibri" w:cs="Times New Roman"/>
                <w:sz w:val="20"/>
                <w:szCs w:val="20"/>
              </w:rPr>
              <w:t>0</w:t>
            </w:r>
          </w:p>
        </w:tc>
        <w:tc>
          <w:tcPr>
            <w:tcW w:w="533" w:type="pct"/>
            <w:tcBorders>
              <w:top w:val="nil"/>
              <w:left w:val="nil"/>
              <w:bottom w:val="nil"/>
              <w:right w:val="nil"/>
            </w:tcBorders>
            <w:shd w:val="clear" w:color="000000" w:fill="F2DCDB"/>
            <w:noWrap/>
            <w:vAlign w:val="bottom"/>
            <w:hideMark/>
          </w:tcPr>
          <w:p w14:paraId="58C901BF" w14:textId="77777777" w:rsidR="00A35C25" w:rsidRPr="00925C94" w:rsidRDefault="00A35C25" w:rsidP="005D38D3">
            <w:pPr>
              <w:spacing w:before="0" w:after="0"/>
              <w:jc w:val="center"/>
              <w:rPr>
                <w:rFonts w:ascii="Calibri" w:hAnsi="Calibri" w:cs="Times New Roman"/>
                <w:b/>
                <w:bCs/>
                <w:sz w:val="20"/>
                <w:szCs w:val="20"/>
              </w:rPr>
            </w:pPr>
            <w:r w:rsidRPr="00925C94">
              <w:rPr>
                <w:rFonts w:ascii="Calibri" w:hAnsi="Calibri" w:cs="Times New Roman"/>
                <w:b/>
                <w:bCs/>
                <w:sz w:val="20"/>
                <w:szCs w:val="20"/>
              </w:rPr>
              <w:t>183</w:t>
            </w:r>
          </w:p>
        </w:tc>
        <w:tc>
          <w:tcPr>
            <w:tcW w:w="716" w:type="pct"/>
            <w:tcBorders>
              <w:top w:val="nil"/>
              <w:left w:val="nil"/>
              <w:bottom w:val="nil"/>
              <w:right w:val="single" w:sz="4" w:space="0" w:color="auto"/>
            </w:tcBorders>
            <w:shd w:val="clear" w:color="000000" w:fill="F2DCDB"/>
            <w:noWrap/>
            <w:vAlign w:val="bottom"/>
            <w:hideMark/>
          </w:tcPr>
          <w:p w14:paraId="3254F3C0" w14:textId="77777777" w:rsidR="00A35C25" w:rsidRPr="00925C94" w:rsidRDefault="00A35C25" w:rsidP="005D38D3">
            <w:pPr>
              <w:spacing w:before="0" w:after="0"/>
              <w:jc w:val="center"/>
              <w:rPr>
                <w:rFonts w:ascii="Calibri" w:hAnsi="Calibri" w:cs="Times New Roman"/>
                <w:b/>
                <w:bCs/>
                <w:sz w:val="20"/>
                <w:szCs w:val="20"/>
              </w:rPr>
            </w:pPr>
            <w:r w:rsidRPr="00925C94">
              <w:rPr>
                <w:rFonts w:ascii="Calibri" w:hAnsi="Calibri" w:cs="Times New Roman"/>
                <w:b/>
                <w:bCs/>
                <w:sz w:val="20"/>
                <w:szCs w:val="20"/>
              </w:rPr>
              <w:t>101.0</w:t>
            </w:r>
          </w:p>
        </w:tc>
      </w:tr>
      <w:tr w:rsidR="00A35C25" w:rsidRPr="00925C94" w14:paraId="19CFCEE6" w14:textId="77777777" w:rsidTr="00A35C25">
        <w:trPr>
          <w:trHeight w:val="300"/>
        </w:trPr>
        <w:tc>
          <w:tcPr>
            <w:tcW w:w="1037" w:type="pct"/>
            <w:vMerge/>
            <w:tcBorders>
              <w:left w:val="single" w:sz="4" w:space="0" w:color="auto"/>
              <w:bottom w:val="single" w:sz="4" w:space="0" w:color="000000"/>
              <w:right w:val="single" w:sz="4" w:space="0" w:color="auto"/>
            </w:tcBorders>
            <w:shd w:val="clear" w:color="auto" w:fill="F2F2F2" w:themeFill="background1" w:themeFillShade="F2"/>
            <w:vAlign w:val="center"/>
            <w:hideMark/>
          </w:tcPr>
          <w:p w14:paraId="2C3E8B56" w14:textId="77777777" w:rsidR="00A35C25" w:rsidRPr="00925C94" w:rsidRDefault="00A35C25" w:rsidP="005D38D3">
            <w:pPr>
              <w:spacing w:before="0" w:after="0"/>
              <w:rPr>
                <w:rFonts w:ascii="Calibri" w:hAnsi="Calibri" w:cs="Times New Roman"/>
                <w:b/>
                <w:bCs/>
                <w:sz w:val="20"/>
                <w:szCs w:val="20"/>
              </w:rPr>
            </w:pPr>
          </w:p>
        </w:tc>
        <w:tc>
          <w:tcPr>
            <w:tcW w:w="660" w:type="pct"/>
            <w:tcBorders>
              <w:top w:val="nil"/>
              <w:left w:val="nil"/>
              <w:bottom w:val="single" w:sz="4" w:space="0" w:color="auto"/>
              <w:right w:val="single" w:sz="4" w:space="0" w:color="auto"/>
            </w:tcBorders>
            <w:shd w:val="clear" w:color="000000" w:fill="F2F2F2"/>
            <w:noWrap/>
            <w:vAlign w:val="center"/>
            <w:hideMark/>
          </w:tcPr>
          <w:p w14:paraId="76742A9F" w14:textId="77777777" w:rsidR="00A35C25" w:rsidRPr="00925C94" w:rsidRDefault="00A35C25" w:rsidP="005D38D3">
            <w:pPr>
              <w:spacing w:before="0" w:after="0"/>
              <w:jc w:val="center"/>
              <w:rPr>
                <w:rFonts w:ascii="Calibri" w:hAnsi="Calibri" w:cs="Times New Roman"/>
                <w:i/>
                <w:iCs/>
                <w:sz w:val="20"/>
                <w:szCs w:val="20"/>
              </w:rPr>
            </w:pPr>
            <w:r w:rsidRPr="00925C94">
              <w:rPr>
                <w:rFonts w:ascii="Calibri" w:hAnsi="Calibri" w:cs="Times New Roman"/>
                <w:i/>
                <w:iCs/>
                <w:sz w:val="20"/>
                <w:szCs w:val="20"/>
              </w:rPr>
              <w:t>%</w:t>
            </w:r>
          </w:p>
        </w:tc>
        <w:tc>
          <w:tcPr>
            <w:tcW w:w="419" w:type="pct"/>
            <w:tcBorders>
              <w:top w:val="nil"/>
              <w:left w:val="nil"/>
              <w:bottom w:val="single" w:sz="4" w:space="0" w:color="auto"/>
              <w:right w:val="single" w:sz="4" w:space="0" w:color="auto"/>
            </w:tcBorders>
            <w:shd w:val="clear" w:color="000000" w:fill="F2F2F2"/>
            <w:noWrap/>
            <w:vAlign w:val="bottom"/>
            <w:hideMark/>
          </w:tcPr>
          <w:p w14:paraId="61940F12" w14:textId="77777777" w:rsidR="00A35C25" w:rsidRPr="00925C94" w:rsidRDefault="00A35C25" w:rsidP="005D38D3">
            <w:pPr>
              <w:spacing w:before="0" w:after="0"/>
              <w:jc w:val="center"/>
              <w:rPr>
                <w:rFonts w:ascii="Calibri" w:hAnsi="Calibri" w:cs="Times New Roman"/>
                <w:i/>
                <w:iCs/>
                <w:sz w:val="20"/>
                <w:szCs w:val="20"/>
              </w:rPr>
            </w:pPr>
            <w:r w:rsidRPr="00925C94">
              <w:rPr>
                <w:rFonts w:ascii="Calibri" w:hAnsi="Calibri" w:cs="Times New Roman"/>
                <w:i/>
                <w:iCs/>
                <w:sz w:val="20"/>
                <w:szCs w:val="20"/>
              </w:rPr>
              <w:t>100%</w:t>
            </w:r>
          </w:p>
        </w:tc>
        <w:tc>
          <w:tcPr>
            <w:tcW w:w="362" w:type="pct"/>
            <w:tcBorders>
              <w:top w:val="nil"/>
              <w:left w:val="nil"/>
              <w:bottom w:val="single" w:sz="4" w:space="0" w:color="auto"/>
              <w:right w:val="nil"/>
            </w:tcBorders>
            <w:shd w:val="clear" w:color="auto" w:fill="auto"/>
            <w:noWrap/>
            <w:vAlign w:val="bottom"/>
            <w:hideMark/>
          </w:tcPr>
          <w:p w14:paraId="08130261" w14:textId="77777777" w:rsidR="00A35C25" w:rsidRPr="00925C94" w:rsidRDefault="00A35C25" w:rsidP="005D38D3">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50%</w:t>
            </w:r>
          </w:p>
        </w:tc>
        <w:tc>
          <w:tcPr>
            <w:tcW w:w="459" w:type="pct"/>
            <w:tcBorders>
              <w:top w:val="nil"/>
              <w:left w:val="nil"/>
              <w:bottom w:val="single" w:sz="4" w:space="0" w:color="auto"/>
              <w:right w:val="nil"/>
            </w:tcBorders>
            <w:shd w:val="clear" w:color="auto" w:fill="auto"/>
            <w:noWrap/>
            <w:vAlign w:val="bottom"/>
            <w:hideMark/>
          </w:tcPr>
          <w:p w14:paraId="5C4EF8BC" w14:textId="77777777" w:rsidR="00A35C25" w:rsidRPr="00925C94" w:rsidRDefault="00A35C25" w:rsidP="005D38D3">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14%</w:t>
            </w:r>
          </w:p>
        </w:tc>
        <w:tc>
          <w:tcPr>
            <w:tcW w:w="281" w:type="pct"/>
            <w:tcBorders>
              <w:top w:val="nil"/>
              <w:left w:val="nil"/>
              <w:bottom w:val="single" w:sz="4" w:space="0" w:color="auto"/>
              <w:right w:val="nil"/>
            </w:tcBorders>
            <w:shd w:val="clear" w:color="auto" w:fill="auto"/>
            <w:noWrap/>
            <w:vAlign w:val="bottom"/>
            <w:hideMark/>
          </w:tcPr>
          <w:p w14:paraId="5CA938A9" w14:textId="77777777" w:rsidR="00A35C25" w:rsidRPr="00925C94" w:rsidRDefault="00A35C25" w:rsidP="005D38D3">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w:t>
            </w:r>
          </w:p>
        </w:tc>
        <w:tc>
          <w:tcPr>
            <w:tcW w:w="532" w:type="pct"/>
            <w:tcBorders>
              <w:top w:val="nil"/>
              <w:left w:val="nil"/>
              <w:bottom w:val="single" w:sz="4" w:space="0" w:color="auto"/>
              <w:right w:val="nil"/>
            </w:tcBorders>
            <w:shd w:val="clear" w:color="auto" w:fill="auto"/>
            <w:noWrap/>
            <w:vAlign w:val="bottom"/>
            <w:hideMark/>
          </w:tcPr>
          <w:p w14:paraId="62EF889B" w14:textId="77777777" w:rsidR="00A35C25" w:rsidRPr="00925C94" w:rsidRDefault="00A35C25" w:rsidP="005D38D3">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0%</w:t>
            </w:r>
          </w:p>
        </w:tc>
        <w:tc>
          <w:tcPr>
            <w:tcW w:w="533" w:type="pct"/>
            <w:tcBorders>
              <w:top w:val="nil"/>
              <w:left w:val="nil"/>
              <w:bottom w:val="single" w:sz="4" w:space="0" w:color="auto"/>
              <w:right w:val="nil"/>
            </w:tcBorders>
            <w:shd w:val="clear" w:color="000000" w:fill="F2DCDB"/>
            <w:noWrap/>
            <w:vAlign w:val="bottom"/>
            <w:hideMark/>
          </w:tcPr>
          <w:p w14:paraId="1A587AA7" w14:textId="77777777" w:rsidR="00A35C25" w:rsidRPr="00925C94" w:rsidRDefault="00A35C25" w:rsidP="005D38D3">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64%</w:t>
            </w:r>
          </w:p>
        </w:tc>
        <w:tc>
          <w:tcPr>
            <w:tcW w:w="716" w:type="pct"/>
            <w:tcBorders>
              <w:top w:val="nil"/>
              <w:left w:val="nil"/>
              <w:bottom w:val="single" w:sz="4" w:space="0" w:color="auto"/>
              <w:right w:val="single" w:sz="4" w:space="0" w:color="auto"/>
            </w:tcBorders>
            <w:shd w:val="clear" w:color="000000" w:fill="F2DCDB"/>
            <w:noWrap/>
            <w:vAlign w:val="bottom"/>
            <w:hideMark/>
          </w:tcPr>
          <w:p w14:paraId="4F661210" w14:textId="77777777" w:rsidR="00A35C25" w:rsidRPr="00925C94" w:rsidRDefault="00A35C25" w:rsidP="005D38D3">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36%</w:t>
            </w:r>
          </w:p>
        </w:tc>
      </w:tr>
    </w:tbl>
    <w:p w14:paraId="54411449" w14:textId="72E31243" w:rsidR="003A69C4" w:rsidRDefault="003A69C4" w:rsidP="003A69C4">
      <w:bookmarkStart w:id="298" w:name="_Toc428286765"/>
      <w:bookmarkStart w:id="299" w:name="_Toc428287325"/>
    </w:p>
    <w:p w14:paraId="0C4087E2" w14:textId="143A4A13" w:rsidR="008C3B95" w:rsidRDefault="008C3B95" w:rsidP="003A69C4"/>
    <w:p w14:paraId="1B386B3C" w14:textId="77777777" w:rsidR="008C3B95" w:rsidRDefault="008C3B95" w:rsidP="003A69C4"/>
    <w:p w14:paraId="5FB42057" w14:textId="77777777" w:rsidR="005D38D3" w:rsidRPr="00724A30" w:rsidRDefault="005D38D3" w:rsidP="00D11994">
      <w:pPr>
        <w:pStyle w:val="Heading2"/>
        <w:numPr>
          <w:ilvl w:val="3"/>
          <w:numId w:val="3"/>
        </w:numPr>
      </w:pPr>
      <w:bookmarkStart w:id="300" w:name="_Toc428286766"/>
      <w:bookmarkStart w:id="301" w:name="_Toc428287326"/>
      <w:bookmarkStart w:id="302" w:name="_Toc443299500"/>
      <w:bookmarkStart w:id="303" w:name="_Toc443299713"/>
      <w:bookmarkStart w:id="304" w:name="_Toc454304729"/>
      <w:bookmarkEnd w:id="298"/>
      <w:bookmarkEnd w:id="299"/>
      <w:r w:rsidRPr="00724A30">
        <w:t>Offshore seagrasses</w:t>
      </w:r>
      <w:bookmarkEnd w:id="300"/>
      <w:bookmarkEnd w:id="301"/>
      <w:bookmarkEnd w:id="302"/>
      <w:bookmarkEnd w:id="303"/>
      <w:bookmarkEnd w:id="304"/>
    </w:p>
    <w:p w14:paraId="1C49920F" w14:textId="7E3A53E2" w:rsidR="005D38D3" w:rsidRPr="003A69C4" w:rsidRDefault="000A6B4D" w:rsidP="003A69C4">
      <w:pPr>
        <w:pStyle w:val="ListParagraph"/>
        <w:spacing w:after="120"/>
        <w:ind w:left="0"/>
      </w:pPr>
      <w:r>
        <w:t xml:space="preserve">It is estimated that </w:t>
      </w:r>
      <w:r w:rsidR="005D38D3" w:rsidRPr="00724A30">
        <w:t>30</w:t>
      </w:r>
      <w:r w:rsidR="007754E4">
        <w:t>,</w:t>
      </w:r>
      <w:r w:rsidR="005D38D3" w:rsidRPr="00724A30">
        <w:t>100 km</w:t>
      </w:r>
      <w:r w:rsidR="005D38D3" w:rsidRPr="00724A30">
        <w:rPr>
          <w:vertAlign w:val="superscript"/>
        </w:rPr>
        <w:t>2</w:t>
      </w:r>
      <w:r w:rsidR="005D38D3" w:rsidRPr="00724A30">
        <w:t xml:space="preserve"> (i.e., 95%) of the GBR </w:t>
      </w:r>
      <w:r w:rsidR="005D38D3">
        <w:t xml:space="preserve">offshore </w:t>
      </w:r>
      <w:r w:rsidR="005D38D3" w:rsidRPr="00724A30">
        <w:t>seagrasses were exposed to river plume</w:t>
      </w:r>
      <w:r w:rsidR="00B755E6">
        <w:t>s</w:t>
      </w:r>
      <w:r w:rsidR="005D38D3" w:rsidRPr="00724A30">
        <w:t xml:space="preserve">, with </w:t>
      </w:r>
      <w:r w:rsidR="005D38D3">
        <w:t xml:space="preserve">most of them under the lowest potential risk categories </w:t>
      </w:r>
      <w:r w:rsidR="005D38D3" w:rsidRPr="001E0090">
        <w:t>(I and II)</w:t>
      </w:r>
      <w:r w:rsidR="00B755E6">
        <w:t xml:space="preserve"> from the river plume exposure</w:t>
      </w:r>
      <w:r w:rsidR="005D38D3">
        <w:t xml:space="preserve"> </w:t>
      </w:r>
      <w:r w:rsidR="00B755E6">
        <w:t>(I</w:t>
      </w:r>
      <w:r w:rsidR="00B755E6" w:rsidRPr="000A6B4D">
        <w:t xml:space="preserve">: </w:t>
      </w:r>
      <w:r w:rsidR="005D38D3" w:rsidRPr="000A6B4D">
        <w:t>15</w:t>
      </w:r>
      <w:r w:rsidR="007754E4" w:rsidRPr="000A6B4D">
        <w:t>,</w:t>
      </w:r>
      <w:r w:rsidR="005D38D3" w:rsidRPr="000A6B4D">
        <w:t>013 km</w:t>
      </w:r>
      <w:r w:rsidR="005D38D3" w:rsidRPr="000A6B4D">
        <w:rPr>
          <w:vertAlign w:val="superscript"/>
        </w:rPr>
        <w:t>2</w:t>
      </w:r>
      <w:r w:rsidR="005D38D3" w:rsidRPr="000A6B4D">
        <w:t xml:space="preserve"> (47</w:t>
      </w:r>
      <w:r w:rsidR="005D38D3" w:rsidRPr="000A6B4D">
        <w:rPr>
          <w:rFonts w:ascii="Calibri" w:hAnsi="Calibri" w:cs="Times New Roman"/>
          <w:iCs/>
          <w:color w:val="000000"/>
        </w:rPr>
        <w:t>%)</w:t>
      </w:r>
      <w:r w:rsidR="005D38D3" w:rsidRPr="000A6B4D">
        <w:t xml:space="preserve"> and </w:t>
      </w:r>
      <w:r w:rsidR="00B755E6" w:rsidRPr="000A6B4D">
        <w:t xml:space="preserve">II: </w:t>
      </w:r>
      <w:r w:rsidR="005D38D3" w:rsidRPr="000A6B4D">
        <w:t>14</w:t>
      </w:r>
      <w:r w:rsidR="007754E4" w:rsidRPr="000A6B4D">
        <w:t>,</w:t>
      </w:r>
      <w:r w:rsidR="005D38D3" w:rsidRPr="000A6B4D">
        <w:t>477 km</w:t>
      </w:r>
      <w:r w:rsidR="005D38D3" w:rsidRPr="000A6B4D">
        <w:rPr>
          <w:vertAlign w:val="superscript"/>
        </w:rPr>
        <w:t>2</w:t>
      </w:r>
      <w:r w:rsidR="005D38D3" w:rsidRPr="000A6B4D">
        <w:t xml:space="preserve"> (</w:t>
      </w:r>
      <w:r w:rsidR="005D38D3" w:rsidRPr="000A6B4D">
        <w:rPr>
          <w:rFonts w:ascii="Calibri" w:hAnsi="Calibri" w:cs="Times New Roman"/>
          <w:iCs/>
          <w:color w:val="000000"/>
        </w:rPr>
        <w:t>46%</w:t>
      </w:r>
      <w:r w:rsidR="00B755E6" w:rsidRPr="000A6B4D">
        <w:rPr>
          <w:rFonts w:ascii="Calibri" w:hAnsi="Calibri" w:cs="Times New Roman"/>
          <w:iCs/>
          <w:color w:val="000000"/>
        </w:rPr>
        <w:t>)</w:t>
      </w:r>
      <w:r>
        <w:rPr>
          <w:rFonts w:ascii="Calibri" w:hAnsi="Calibri" w:cs="Times New Roman"/>
          <w:iCs/>
          <w:color w:val="000000"/>
        </w:rPr>
        <w:t>)</w:t>
      </w:r>
      <w:r w:rsidR="005D38D3" w:rsidRPr="000A6B4D">
        <w:t>. In</w:t>
      </w:r>
      <w:r w:rsidR="005D38D3" w:rsidRPr="00724A30">
        <w:t xml:space="preserve"> all </w:t>
      </w:r>
      <w:r w:rsidR="005D38D3">
        <w:t>NRM regions</w:t>
      </w:r>
      <w:r w:rsidR="005D38D3" w:rsidRPr="00724A30">
        <w:t>, nearly 100% of offshores seagrasses</w:t>
      </w:r>
      <w:r w:rsidR="005D38D3">
        <w:t xml:space="preserve"> areas</w:t>
      </w:r>
      <w:r w:rsidR="005D38D3" w:rsidRPr="00724A30">
        <w:t xml:space="preserve"> were exposed to river plume</w:t>
      </w:r>
      <w:r w:rsidR="005D38D3">
        <w:t>s</w:t>
      </w:r>
      <w:r w:rsidR="005D38D3" w:rsidRPr="00724A30">
        <w:t xml:space="preserve">, except in the Burnett-Mary were meadows exposed were </w:t>
      </w:r>
      <w:r w:rsidR="005D38D3">
        <w:t>about</w:t>
      </w:r>
      <w:r w:rsidR="005D38D3" w:rsidRPr="00724A30">
        <w:t xml:space="preserve"> 79% (4</w:t>
      </w:r>
      <w:r w:rsidR="007754E4">
        <w:t>,</w:t>
      </w:r>
      <w:r w:rsidR="005D38D3" w:rsidRPr="00724A30">
        <w:t>979 km</w:t>
      </w:r>
      <w:r w:rsidR="005D38D3" w:rsidRPr="00724A30">
        <w:rPr>
          <w:vertAlign w:val="superscript"/>
        </w:rPr>
        <w:t>2</w:t>
      </w:r>
      <w:r w:rsidR="005D38D3" w:rsidRPr="00724A30">
        <w:t xml:space="preserve">) out of the total local meadows. </w:t>
      </w:r>
      <w:r w:rsidR="00B755E6" w:rsidRPr="00B755E6">
        <w:t>Note that seagrass meadows in Hervey Bay (outside of the GBR southern boundary) were not included in the risk analysis.</w:t>
      </w:r>
      <w:r w:rsidR="00B755E6">
        <w:t xml:space="preserve"> </w:t>
      </w:r>
      <w:r w:rsidR="005D38D3">
        <w:t>Offshore seagrasses of the</w:t>
      </w:r>
      <w:r w:rsidR="005D38D3" w:rsidRPr="00724A30">
        <w:t xml:space="preserve"> </w:t>
      </w:r>
      <w:r w:rsidR="005D38D3">
        <w:t xml:space="preserve">Fitzroy and </w:t>
      </w:r>
      <w:r w:rsidR="005D38D3" w:rsidRPr="00724A30">
        <w:t xml:space="preserve">Mackay-Whitsundays NRM </w:t>
      </w:r>
      <w:r w:rsidR="005D38D3">
        <w:t>experienced the</w:t>
      </w:r>
      <w:r w:rsidR="005D38D3" w:rsidRPr="001E0090">
        <w:t xml:space="preserve"> highest potential risk from river plume exposure (2</w:t>
      </w:r>
      <w:r w:rsidR="005D38D3">
        <w:t>82</w:t>
      </w:r>
      <w:r w:rsidR="005D38D3" w:rsidRPr="001E0090">
        <w:t xml:space="preserve"> km</w:t>
      </w:r>
      <w:r w:rsidR="005D38D3" w:rsidRPr="001E0090">
        <w:rPr>
          <w:vertAlign w:val="superscript"/>
        </w:rPr>
        <w:t xml:space="preserve">2 </w:t>
      </w:r>
      <w:r w:rsidR="005D38D3" w:rsidRPr="001E0090">
        <w:t>or 7%</w:t>
      </w:r>
      <w:r w:rsidR="005D38D3">
        <w:t xml:space="preserve"> and </w:t>
      </w:r>
      <w:r w:rsidR="005D38D3" w:rsidRPr="001E0090">
        <w:t>122</w:t>
      </w:r>
      <w:r w:rsidR="005D38D3">
        <w:t xml:space="preserve"> </w:t>
      </w:r>
      <w:r w:rsidRPr="001E0090">
        <w:t>km</w:t>
      </w:r>
      <w:r w:rsidRPr="001E0090">
        <w:rPr>
          <w:vertAlign w:val="superscript"/>
        </w:rPr>
        <w:t xml:space="preserve">2 </w:t>
      </w:r>
      <w:r w:rsidR="005D38D3">
        <w:t xml:space="preserve">or 55 %, respectively, </w:t>
      </w:r>
      <w:r w:rsidR="005D38D3" w:rsidRPr="001E0090">
        <w:t xml:space="preserve">under </w:t>
      </w:r>
      <w:r w:rsidR="00B755E6">
        <w:t xml:space="preserve">the potential </w:t>
      </w:r>
      <w:r w:rsidR="005D38D3" w:rsidRPr="001E0090">
        <w:t xml:space="preserve">risk </w:t>
      </w:r>
      <w:r w:rsidR="00B755E6" w:rsidRPr="001E0090">
        <w:t>category</w:t>
      </w:r>
      <w:r w:rsidR="005D38D3" w:rsidRPr="001E0090">
        <w:t xml:space="preserve"> III).  </w:t>
      </w:r>
    </w:p>
    <w:p w14:paraId="4D7504DE" w14:textId="77777777" w:rsidR="005D38D3" w:rsidRPr="00724A30" w:rsidRDefault="005D38D3" w:rsidP="00D11994">
      <w:pPr>
        <w:pStyle w:val="Heading2"/>
        <w:numPr>
          <w:ilvl w:val="3"/>
          <w:numId w:val="3"/>
        </w:numPr>
      </w:pPr>
      <w:bookmarkStart w:id="305" w:name="_Toc428286767"/>
      <w:bookmarkStart w:id="306" w:name="_Toc428287327"/>
      <w:bookmarkStart w:id="307" w:name="_Toc443299501"/>
      <w:bookmarkStart w:id="308" w:name="_Toc443299714"/>
      <w:bookmarkStart w:id="309" w:name="_Toc454304730"/>
      <w:r w:rsidRPr="00724A30">
        <w:t>Total seagrasses</w:t>
      </w:r>
      <w:bookmarkEnd w:id="305"/>
      <w:bookmarkEnd w:id="306"/>
      <w:bookmarkEnd w:id="307"/>
      <w:bookmarkEnd w:id="308"/>
      <w:bookmarkEnd w:id="309"/>
    </w:p>
    <w:p w14:paraId="1D489410" w14:textId="71ABF963" w:rsidR="005D38D3" w:rsidRPr="00724A30" w:rsidRDefault="005D38D3" w:rsidP="005D38D3">
      <w:pPr>
        <w:spacing w:after="120"/>
      </w:pPr>
      <w:r w:rsidRPr="00724A30">
        <w:t>Finally it is the Cape York (1</w:t>
      </w:r>
      <w:r w:rsidR="007754E4">
        <w:t>,</w:t>
      </w:r>
      <w:r w:rsidRPr="00724A30">
        <w:t>40</w:t>
      </w:r>
      <w:r w:rsidR="00B755E6">
        <w:t>4</w:t>
      </w:r>
      <w:r w:rsidRPr="00724A30">
        <w:t xml:space="preserve"> km</w:t>
      </w:r>
      <w:r w:rsidRPr="00724A30">
        <w:rPr>
          <w:vertAlign w:val="superscript"/>
        </w:rPr>
        <w:t xml:space="preserve">2 </w:t>
      </w:r>
      <w:r w:rsidRPr="00724A30">
        <w:t>or 12%), Burdekin (530 km</w:t>
      </w:r>
      <w:r w:rsidRPr="00724A30">
        <w:rPr>
          <w:vertAlign w:val="superscript"/>
        </w:rPr>
        <w:t>2</w:t>
      </w:r>
      <w:r w:rsidRPr="00724A30">
        <w:t xml:space="preserve"> </w:t>
      </w:r>
      <w:r w:rsidR="00F532DE">
        <w:t xml:space="preserve">or </w:t>
      </w:r>
      <w:r w:rsidRPr="00724A30">
        <w:t>9%) and Fitzroy (51</w:t>
      </w:r>
      <w:r w:rsidR="00B755E6">
        <w:t>9</w:t>
      </w:r>
      <w:r w:rsidRPr="00724A30">
        <w:t xml:space="preserve"> km</w:t>
      </w:r>
      <w:r w:rsidRPr="00724A30">
        <w:rPr>
          <w:vertAlign w:val="superscript"/>
        </w:rPr>
        <w:t xml:space="preserve">2 </w:t>
      </w:r>
      <w:r w:rsidRPr="00724A30">
        <w:t xml:space="preserve">or 9%) </w:t>
      </w:r>
      <w:r>
        <w:t>NRM regions</w:t>
      </w:r>
      <w:r w:rsidRPr="00724A30">
        <w:t xml:space="preserve"> that had the largest total seagrass </w:t>
      </w:r>
      <w:r>
        <w:t>were estimated under</w:t>
      </w:r>
      <w:r w:rsidRPr="00724A30">
        <w:t xml:space="preserve"> </w:t>
      </w:r>
      <w:r>
        <w:t>the highest potential risk categories (III and IV) from river plume exposure</w:t>
      </w:r>
      <w:r w:rsidRPr="00724A30">
        <w:t>. However it is in the Mackay-Whitsundays that the highest percentage (73% corresponding to 328 km</w:t>
      </w:r>
      <w:r w:rsidRPr="00724A30">
        <w:rPr>
          <w:vertAlign w:val="superscript"/>
        </w:rPr>
        <w:t>2</w:t>
      </w:r>
      <w:r w:rsidRPr="00724A30">
        <w:t>) was recorded.</w:t>
      </w:r>
    </w:p>
    <w:p w14:paraId="0464F45F" w14:textId="77777777" w:rsidR="005D38D3" w:rsidRPr="00724A30" w:rsidRDefault="005D38D3" w:rsidP="005D38D3">
      <w:pPr>
        <w:spacing w:after="120"/>
        <w:rPr>
          <w:b/>
          <w:highlight w:val="yellow"/>
          <w:u w:val="single"/>
        </w:rPr>
      </w:pPr>
    </w:p>
    <w:p w14:paraId="2FFF89B9" w14:textId="2C072D5C" w:rsidR="005D38D3" w:rsidRPr="00724A30" w:rsidRDefault="005D38D3" w:rsidP="005D38D3">
      <w:pPr>
        <w:pStyle w:val="Caption"/>
        <w:rPr>
          <w:szCs w:val="22"/>
        </w:rPr>
      </w:pPr>
      <w:bookmarkStart w:id="310" w:name="_Ref392779098"/>
      <w:bookmarkStart w:id="311" w:name="_Toc454304626"/>
      <w:r w:rsidRPr="00724A30">
        <w:rPr>
          <w:szCs w:val="22"/>
        </w:rPr>
        <w:t xml:space="preserve">Table </w:t>
      </w:r>
      <w:r w:rsidR="00445BD2">
        <w:rPr>
          <w:szCs w:val="22"/>
        </w:rPr>
        <w:fldChar w:fldCharType="begin"/>
      </w:r>
      <w:r w:rsidR="00445BD2">
        <w:rPr>
          <w:szCs w:val="22"/>
        </w:rPr>
        <w:instrText xml:space="preserve"> STYLEREF 1 \s </w:instrText>
      </w:r>
      <w:r w:rsidR="00445BD2">
        <w:rPr>
          <w:szCs w:val="22"/>
        </w:rPr>
        <w:fldChar w:fldCharType="separate"/>
      </w:r>
      <w:r w:rsidR="000E22F3">
        <w:rPr>
          <w:noProof/>
          <w:szCs w:val="22"/>
        </w:rPr>
        <w:t>5</w:t>
      </w:r>
      <w:r w:rsidR="00445BD2">
        <w:rPr>
          <w:szCs w:val="22"/>
        </w:rPr>
        <w:fldChar w:fldCharType="end"/>
      </w:r>
      <w:r w:rsidR="00445BD2">
        <w:rPr>
          <w:szCs w:val="22"/>
        </w:rPr>
        <w:noBreakHyphen/>
      </w:r>
      <w:r w:rsidR="00445BD2">
        <w:rPr>
          <w:szCs w:val="22"/>
        </w:rPr>
        <w:fldChar w:fldCharType="begin"/>
      </w:r>
      <w:r w:rsidR="00445BD2">
        <w:rPr>
          <w:szCs w:val="22"/>
        </w:rPr>
        <w:instrText xml:space="preserve"> SEQ Table \* ARABIC \s 1 </w:instrText>
      </w:r>
      <w:r w:rsidR="00445BD2">
        <w:rPr>
          <w:szCs w:val="22"/>
        </w:rPr>
        <w:fldChar w:fldCharType="separate"/>
      </w:r>
      <w:r w:rsidR="000E22F3">
        <w:rPr>
          <w:noProof/>
          <w:szCs w:val="22"/>
        </w:rPr>
        <w:t>7</w:t>
      </w:r>
      <w:r w:rsidR="00445BD2">
        <w:rPr>
          <w:szCs w:val="22"/>
        </w:rPr>
        <w:fldChar w:fldCharType="end"/>
      </w:r>
      <w:bookmarkEnd w:id="310"/>
      <w:r w:rsidRPr="00724A30">
        <w:rPr>
          <w:szCs w:val="22"/>
        </w:rPr>
        <w:t>: Areas (km</w:t>
      </w:r>
      <w:r w:rsidRPr="00B6097A">
        <w:rPr>
          <w:szCs w:val="22"/>
          <w:vertAlign w:val="superscript"/>
        </w:rPr>
        <w:t>2</w:t>
      </w:r>
      <w:r w:rsidRPr="00724A30">
        <w:rPr>
          <w:szCs w:val="22"/>
        </w:rPr>
        <w:t>) and percentage (%) of co</w:t>
      </w:r>
      <w:r w:rsidR="003A69C4">
        <w:rPr>
          <w:szCs w:val="22"/>
        </w:rPr>
        <w:t>a</w:t>
      </w:r>
      <w:r w:rsidRPr="00724A30">
        <w:rPr>
          <w:szCs w:val="22"/>
        </w:rPr>
        <w:t>stal, deep</w:t>
      </w:r>
      <w:r w:rsidR="007D36C8">
        <w:rPr>
          <w:szCs w:val="22"/>
        </w:rPr>
        <w:t>water</w:t>
      </w:r>
      <w:r w:rsidRPr="00724A30">
        <w:rPr>
          <w:szCs w:val="22"/>
        </w:rPr>
        <w:t xml:space="preserve"> and total (</w:t>
      </w:r>
      <w:r w:rsidR="007D36C8">
        <w:rPr>
          <w:szCs w:val="22"/>
        </w:rPr>
        <w:t>surveyed</w:t>
      </w:r>
      <w:r w:rsidRPr="00724A30">
        <w:rPr>
          <w:szCs w:val="22"/>
        </w:rPr>
        <w:t xml:space="preserve"> + </w:t>
      </w:r>
      <w:r w:rsidR="007D36C8" w:rsidRPr="00724A30">
        <w:rPr>
          <w:szCs w:val="22"/>
        </w:rPr>
        <w:t>deep</w:t>
      </w:r>
      <w:r w:rsidR="007D36C8">
        <w:rPr>
          <w:szCs w:val="22"/>
        </w:rPr>
        <w:t>water modelled</w:t>
      </w:r>
      <w:r w:rsidRPr="00724A30">
        <w:rPr>
          <w:szCs w:val="22"/>
        </w:rPr>
        <w:t xml:space="preserve">) </w:t>
      </w:r>
      <w:r w:rsidR="003A69C4">
        <w:rPr>
          <w:szCs w:val="22"/>
        </w:rPr>
        <w:t xml:space="preserve">seagrass </w:t>
      </w:r>
      <w:r w:rsidRPr="00724A30">
        <w:rPr>
          <w:szCs w:val="22"/>
        </w:rPr>
        <w:t>exposed to different categories of river plume frequency and river plume-related risk within the GBR and each NRM.</w:t>
      </w:r>
      <w:r w:rsidR="000F1641" w:rsidRPr="000F1641">
        <w:t xml:space="preserve"> </w:t>
      </w:r>
      <w:r w:rsidR="000F1641">
        <w:t>S</w:t>
      </w:r>
      <w:r w:rsidR="000F1641" w:rsidRPr="000F1641">
        <w:rPr>
          <w:rFonts w:eastAsia="Calibri"/>
        </w:rPr>
        <w:t xml:space="preserve">urface areas </w:t>
      </w:r>
      <w:r w:rsidR="000F1641">
        <w:rPr>
          <w:rFonts w:eastAsia="Calibri"/>
        </w:rPr>
        <w:t>south of the GBR marine park boundary (</w:t>
      </w:r>
      <w:r w:rsidR="000F1641" w:rsidRPr="000F1641">
        <w:rPr>
          <w:rFonts w:eastAsia="Calibri"/>
        </w:rPr>
        <w:t>Hervey Bay</w:t>
      </w:r>
      <w:r w:rsidR="000F1641">
        <w:rPr>
          <w:rFonts w:eastAsia="Calibri"/>
        </w:rPr>
        <w:t>)</w:t>
      </w:r>
      <w:r w:rsidR="000F1641" w:rsidRPr="000F1641">
        <w:rPr>
          <w:rFonts w:eastAsia="Calibri"/>
        </w:rPr>
        <w:t xml:space="preserve"> </w:t>
      </w:r>
      <w:r w:rsidR="000F1641">
        <w:rPr>
          <w:rFonts w:eastAsia="Calibri"/>
        </w:rPr>
        <w:t xml:space="preserve">are not </w:t>
      </w:r>
      <w:r w:rsidR="000F1641" w:rsidRPr="000F1641">
        <w:rPr>
          <w:rFonts w:eastAsia="Calibri"/>
        </w:rPr>
        <w:t>included</w:t>
      </w:r>
      <w:r w:rsidR="000F1641">
        <w:rPr>
          <w:rFonts w:eastAsia="Calibri"/>
        </w:rPr>
        <w:t>.</w:t>
      </w:r>
      <w:bookmarkEnd w:id="311"/>
    </w:p>
    <w:tbl>
      <w:tblPr>
        <w:tblW w:w="5000" w:type="pct"/>
        <w:tblLook w:val="04A0" w:firstRow="1" w:lastRow="0" w:firstColumn="1" w:lastColumn="0" w:noHBand="0" w:noVBand="1"/>
        <w:tblCaption w:val="Table 5-7"/>
        <w:tblDescription w:val="Areas (km2) and percentage (%) of coastal, deep and total (costal + deep) seagrass exposed to different categories of river plume frequency and river plume-related risk within the GBR and each NRM. Surface areas south of the GBR marine park boundary (Hervey Bay) are not included."/>
      </w:tblPr>
      <w:tblGrid>
        <w:gridCol w:w="2051"/>
        <w:gridCol w:w="663"/>
        <w:gridCol w:w="773"/>
        <w:gridCol w:w="775"/>
        <w:gridCol w:w="955"/>
        <w:gridCol w:w="718"/>
        <w:gridCol w:w="1160"/>
        <w:gridCol w:w="929"/>
        <w:gridCol w:w="1219"/>
      </w:tblGrid>
      <w:tr w:rsidR="005D38D3" w:rsidRPr="00925C94" w14:paraId="00AED9B3" w14:textId="77777777" w:rsidTr="00A35C25">
        <w:trPr>
          <w:trHeight w:val="300"/>
        </w:trPr>
        <w:tc>
          <w:tcPr>
            <w:tcW w:w="1042" w:type="pct"/>
            <w:tcBorders>
              <w:top w:val="nil"/>
              <w:left w:val="nil"/>
              <w:bottom w:val="nil"/>
              <w:right w:val="nil"/>
            </w:tcBorders>
            <w:shd w:val="clear" w:color="auto" w:fill="auto"/>
            <w:noWrap/>
            <w:vAlign w:val="center"/>
            <w:hideMark/>
          </w:tcPr>
          <w:p w14:paraId="7953544C" w14:textId="77777777" w:rsidR="005D38D3" w:rsidRPr="00925C94" w:rsidRDefault="005D38D3" w:rsidP="00A35C25">
            <w:pPr>
              <w:spacing w:before="0" w:after="0"/>
              <w:jc w:val="center"/>
              <w:rPr>
                <w:rFonts w:ascii="Calibri" w:hAnsi="Calibri" w:cs="Times New Roman"/>
                <w:color w:val="000000"/>
                <w:sz w:val="20"/>
                <w:szCs w:val="20"/>
              </w:rPr>
            </w:pPr>
          </w:p>
        </w:tc>
        <w:tc>
          <w:tcPr>
            <w:tcW w:w="337" w:type="pct"/>
            <w:tcBorders>
              <w:top w:val="nil"/>
              <w:left w:val="nil"/>
              <w:bottom w:val="nil"/>
              <w:right w:val="nil"/>
            </w:tcBorders>
            <w:shd w:val="clear" w:color="auto" w:fill="auto"/>
            <w:noWrap/>
            <w:vAlign w:val="center"/>
            <w:hideMark/>
          </w:tcPr>
          <w:p w14:paraId="0CD5DC80" w14:textId="77777777" w:rsidR="005D38D3" w:rsidRPr="00925C94" w:rsidRDefault="005D38D3" w:rsidP="00A35C25">
            <w:pPr>
              <w:spacing w:before="0" w:after="0"/>
              <w:jc w:val="center"/>
              <w:rPr>
                <w:rFonts w:ascii="Calibri" w:hAnsi="Calibri" w:cs="Times New Roman"/>
                <w:color w:val="000000"/>
                <w:sz w:val="20"/>
                <w:szCs w:val="20"/>
              </w:rPr>
            </w:pPr>
          </w:p>
        </w:tc>
        <w:tc>
          <w:tcPr>
            <w:tcW w:w="419" w:type="pct"/>
            <w:tcBorders>
              <w:top w:val="nil"/>
              <w:left w:val="nil"/>
              <w:bottom w:val="nil"/>
              <w:right w:val="nil"/>
            </w:tcBorders>
            <w:shd w:val="clear" w:color="auto" w:fill="auto"/>
            <w:noWrap/>
            <w:vAlign w:val="center"/>
            <w:hideMark/>
          </w:tcPr>
          <w:p w14:paraId="0378DBC4" w14:textId="77777777" w:rsidR="005D38D3" w:rsidRPr="00925C94" w:rsidRDefault="005D38D3" w:rsidP="007754E4">
            <w:pPr>
              <w:spacing w:before="0" w:after="0"/>
              <w:jc w:val="center"/>
              <w:rPr>
                <w:rFonts w:ascii="Calibri" w:hAnsi="Calibri" w:cs="Times New Roman"/>
                <w:color w:val="000000"/>
                <w:sz w:val="20"/>
                <w:szCs w:val="20"/>
              </w:rPr>
            </w:pPr>
          </w:p>
        </w:tc>
        <w:tc>
          <w:tcPr>
            <w:tcW w:w="2001" w:type="pct"/>
            <w:gridSpan w:val="4"/>
            <w:tcBorders>
              <w:top w:val="single" w:sz="4" w:space="0" w:color="auto"/>
              <w:left w:val="single" w:sz="4" w:space="0" w:color="auto"/>
              <w:bottom w:val="single" w:sz="4" w:space="0" w:color="auto"/>
              <w:right w:val="nil"/>
            </w:tcBorders>
            <w:shd w:val="clear" w:color="000000" w:fill="F2F2F2"/>
            <w:noWrap/>
            <w:vAlign w:val="center"/>
            <w:hideMark/>
          </w:tcPr>
          <w:p w14:paraId="4E93A9B2" w14:textId="77777777" w:rsidR="005D38D3" w:rsidRPr="00925C94" w:rsidRDefault="005D38D3" w:rsidP="00B755E6">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Risk category</w:t>
            </w:r>
          </w:p>
        </w:tc>
        <w:tc>
          <w:tcPr>
            <w:tcW w:w="522" w:type="pct"/>
            <w:vMerge w:val="restart"/>
            <w:tcBorders>
              <w:top w:val="single" w:sz="4" w:space="0" w:color="auto"/>
              <w:left w:val="nil"/>
              <w:bottom w:val="single" w:sz="4" w:space="0" w:color="000000"/>
              <w:right w:val="nil"/>
            </w:tcBorders>
            <w:shd w:val="clear" w:color="000000" w:fill="F2DCDB"/>
            <w:vAlign w:val="center"/>
            <w:hideMark/>
          </w:tcPr>
          <w:p w14:paraId="11E1F40C" w14:textId="77777777" w:rsidR="005D38D3" w:rsidRPr="00925C94" w:rsidRDefault="005D38D3" w:rsidP="00B755E6">
            <w:pPr>
              <w:spacing w:before="0" w:after="0"/>
              <w:jc w:val="center"/>
              <w:rPr>
                <w:rFonts w:ascii="Calibri" w:hAnsi="Calibri" w:cs="Times New Roman"/>
                <w:b/>
                <w:bCs/>
                <w:sz w:val="20"/>
                <w:szCs w:val="20"/>
              </w:rPr>
            </w:pPr>
            <w:r w:rsidRPr="00925C94">
              <w:rPr>
                <w:sz w:val="20"/>
                <w:szCs w:val="20"/>
              </w:rPr>
              <w:t>TOT exposed</w:t>
            </w:r>
          </w:p>
        </w:tc>
        <w:tc>
          <w:tcPr>
            <w:tcW w:w="679" w:type="pct"/>
            <w:vMerge w:val="restart"/>
            <w:tcBorders>
              <w:top w:val="single" w:sz="4" w:space="0" w:color="auto"/>
              <w:left w:val="nil"/>
              <w:bottom w:val="single" w:sz="4" w:space="0" w:color="000000"/>
              <w:right w:val="single" w:sz="4" w:space="0" w:color="auto"/>
            </w:tcBorders>
            <w:shd w:val="clear" w:color="000000" w:fill="F2DCDB"/>
            <w:vAlign w:val="center"/>
            <w:hideMark/>
          </w:tcPr>
          <w:p w14:paraId="245C36CB" w14:textId="77777777" w:rsidR="005D38D3" w:rsidRPr="00925C94" w:rsidRDefault="005D38D3" w:rsidP="00F22F6C">
            <w:pPr>
              <w:spacing w:before="0" w:after="0"/>
              <w:jc w:val="center"/>
              <w:rPr>
                <w:rFonts w:ascii="Calibri" w:hAnsi="Calibri" w:cs="Times New Roman"/>
                <w:b/>
                <w:bCs/>
                <w:sz w:val="20"/>
                <w:szCs w:val="20"/>
              </w:rPr>
            </w:pPr>
            <w:r w:rsidRPr="00925C94">
              <w:rPr>
                <w:sz w:val="20"/>
                <w:szCs w:val="20"/>
              </w:rPr>
              <w:t>TOT non exposed</w:t>
            </w:r>
          </w:p>
        </w:tc>
      </w:tr>
      <w:tr w:rsidR="005D38D3" w:rsidRPr="00925C94" w14:paraId="4DF43E13" w14:textId="77777777" w:rsidTr="00A35C25">
        <w:trPr>
          <w:trHeight w:val="300"/>
        </w:trPr>
        <w:tc>
          <w:tcPr>
            <w:tcW w:w="1379" w:type="pct"/>
            <w:gridSpan w:val="2"/>
            <w:tcBorders>
              <w:top w:val="single" w:sz="4" w:space="0" w:color="auto"/>
              <w:left w:val="single" w:sz="4" w:space="0" w:color="auto"/>
              <w:bottom w:val="single" w:sz="4" w:space="0" w:color="auto"/>
              <w:right w:val="single" w:sz="4" w:space="0" w:color="000000"/>
            </w:tcBorders>
            <w:shd w:val="clear" w:color="000000" w:fill="F2F2F2"/>
            <w:noWrap/>
            <w:vAlign w:val="center"/>
            <w:hideMark/>
          </w:tcPr>
          <w:p w14:paraId="4EE2543C" w14:textId="6861462E" w:rsidR="005D38D3" w:rsidRPr="00925C94" w:rsidRDefault="005D38D3" w:rsidP="007D36C8">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 xml:space="preserve">Seagrass </w:t>
            </w:r>
            <w:r w:rsidR="007D36C8">
              <w:rPr>
                <w:rFonts w:ascii="Calibri" w:hAnsi="Calibri" w:cs="Times New Roman"/>
                <w:b/>
                <w:bCs/>
                <w:color w:val="000000"/>
                <w:sz w:val="20"/>
                <w:szCs w:val="20"/>
              </w:rPr>
              <w:t>surveyed</w:t>
            </w:r>
          </w:p>
        </w:tc>
        <w:tc>
          <w:tcPr>
            <w:tcW w:w="419" w:type="pct"/>
            <w:tcBorders>
              <w:top w:val="single" w:sz="4" w:space="0" w:color="auto"/>
              <w:left w:val="nil"/>
              <w:bottom w:val="nil"/>
              <w:right w:val="single" w:sz="4" w:space="0" w:color="auto"/>
            </w:tcBorders>
            <w:shd w:val="clear" w:color="000000" w:fill="F2F2F2"/>
            <w:noWrap/>
            <w:vAlign w:val="center"/>
            <w:hideMark/>
          </w:tcPr>
          <w:p w14:paraId="5BC66214" w14:textId="77777777" w:rsidR="005D38D3" w:rsidRPr="00925C94" w:rsidRDefault="005D38D3" w:rsidP="00A35C25">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Tot</w:t>
            </w:r>
          </w:p>
        </w:tc>
        <w:tc>
          <w:tcPr>
            <w:tcW w:w="391" w:type="pct"/>
            <w:tcBorders>
              <w:top w:val="nil"/>
              <w:left w:val="nil"/>
              <w:bottom w:val="nil"/>
              <w:right w:val="nil"/>
            </w:tcBorders>
            <w:shd w:val="clear" w:color="000000" w:fill="0070C0"/>
            <w:noWrap/>
            <w:vAlign w:val="center"/>
            <w:hideMark/>
          </w:tcPr>
          <w:p w14:paraId="64AD8E3A" w14:textId="77777777" w:rsidR="005D38D3" w:rsidRPr="00925C94" w:rsidRDefault="005D38D3" w:rsidP="007754E4">
            <w:pPr>
              <w:spacing w:before="0" w:after="0"/>
              <w:jc w:val="center"/>
              <w:rPr>
                <w:rFonts w:ascii="Calibri" w:hAnsi="Calibri" w:cs="Times New Roman"/>
                <w:b/>
                <w:bCs/>
                <w:color w:val="FFFFFF"/>
                <w:sz w:val="20"/>
                <w:szCs w:val="20"/>
              </w:rPr>
            </w:pPr>
            <w:r w:rsidRPr="00925C94">
              <w:rPr>
                <w:rFonts w:ascii="Calibri" w:hAnsi="Calibri" w:cs="Times New Roman"/>
                <w:b/>
                <w:bCs/>
                <w:color w:val="FFFFFF"/>
                <w:sz w:val="20"/>
                <w:szCs w:val="20"/>
              </w:rPr>
              <w:t>I</w:t>
            </w:r>
          </w:p>
        </w:tc>
        <w:tc>
          <w:tcPr>
            <w:tcW w:w="555" w:type="pct"/>
            <w:tcBorders>
              <w:top w:val="nil"/>
              <w:left w:val="nil"/>
              <w:bottom w:val="nil"/>
              <w:right w:val="nil"/>
            </w:tcBorders>
            <w:shd w:val="clear" w:color="000000" w:fill="00B050"/>
            <w:noWrap/>
            <w:vAlign w:val="center"/>
            <w:hideMark/>
          </w:tcPr>
          <w:p w14:paraId="713635A9" w14:textId="77777777" w:rsidR="005D38D3" w:rsidRPr="00925C94" w:rsidRDefault="005D38D3" w:rsidP="00B755E6">
            <w:pPr>
              <w:spacing w:before="0" w:after="0"/>
              <w:jc w:val="center"/>
              <w:rPr>
                <w:rFonts w:ascii="Calibri" w:hAnsi="Calibri" w:cs="Times New Roman"/>
                <w:b/>
                <w:bCs/>
                <w:color w:val="FFFFFF"/>
                <w:sz w:val="20"/>
                <w:szCs w:val="20"/>
              </w:rPr>
            </w:pPr>
            <w:r w:rsidRPr="00925C94">
              <w:rPr>
                <w:rFonts w:ascii="Calibri" w:hAnsi="Calibri" w:cs="Times New Roman"/>
                <w:b/>
                <w:bCs/>
                <w:color w:val="FFFFFF"/>
                <w:sz w:val="20"/>
                <w:szCs w:val="20"/>
              </w:rPr>
              <w:t>II</w:t>
            </w:r>
          </w:p>
        </w:tc>
        <w:tc>
          <w:tcPr>
            <w:tcW w:w="408" w:type="pct"/>
            <w:tcBorders>
              <w:top w:val="nil"/>
              <w:left w:val="nil"/>
              <w:bottom w:val="nil"/>
              <w:right w:val="nil"/>
            </w:tcBorders>
            <w:shd w:val="clear" w:color="000000" w:fill="FF0000"/>
            <w:noWrap/>
            <w:vAlign w:val="center"/>
            <w:hideMark/>
          </w:tcPr>
          <w:p w14:paraId="47B5987E" w14:textId="77777777" w:rsidR="005D38D3" w:rsidRPr="00925C94" w:rsidRDefault="005D38D3" w:rsidP="00B755E6">
            <w:pPr>
              <w:spacing w:before="0" w:after="0"/>
              <w:jc w:val="center"/>
              <w:rPr>
                <w:rFonts w:ascii="Calibri" w:hAnsi="Calibri" w:cs="Times New Roman"/>
                <w:b/>
                <w:bCs/>
                <w:color w:val="FFFFFF"/>
                <w:sz w:val="20"/>
                <w:szCs w:val="20"/>
              </w:rPr>
            </w:pPr>
            <w:r w:rsidRPr="00925C94">
              <w:rPr>
                <w:rFonts w:ascii="Calibri" w:hAnsi="Calibri" w:cs="Times New Roman"/>
                <w:b/>
                <w:bCs/>
                <w:color w:val="FFFFFF"/>
                <w:sz w:val="20"/>
                <w:szCs w:val="20"/>
              </w:rPr>
              <w:t>III</w:t>
            </w:r>
          </w:p>
        </w:tc>
        <w:tc>
          <w:tcPr>
            <w:tcW w:w="647" w:type="pct"/>
            <w:tcBorders>
              <w:top w:val="nil"/>
              <w:left w:val="nil"/>
              <w:bottom w:val="nil"/>
              <w:right w:val="nil"/>
            </w:tcBorders>
            <w:shd w:val="clear" w:color="000000" w:fill="C00000"/>
            <w:noWrap/>
            <w:vAlign w:val="center"/>
            <w:hideMark/>
          </w:tcPr>
          <w:p w14:paraId="1CA7FC9B" w14:textId="77777777" w:rsidR="005D38D3" w:rsidRPr="00925C94" w:rsidRDefault="005D38D3" w:rsidP="00F22F6C">
            <w:pPr>
              <w:spacing w:before="0" w:after="0"/>
              <w:jc w:val="center"/>
              <w:rPr>
                <w:rFonts w:ascii="Calibri" w:hAnsi="Calibri" w:cs="Times New Roman"/>
                <w:b/>
                <w:bCs/>
                <w:color w:val="FFFFFF"/>
                <w:sz w:val="20"/>
                <w:szCs w:val="20"/>
              </w:rPr>
            </w:pPr>
            <w:r w:rsidRPr="00925C94">
              <w:rPr>
                <w:rFonts w:ascii="Calibri" w:hAnsi="Calibri" w:cs="Times New Roman"/>
                <w:b/>
                <w:bCs/>
                <w:color w:val="FFFFFF"/>
                <w:sz w:val="20"/>
                <w:szCs w:val="20"/>
              </w:rPr>
              <w:t>IV</w:t>
            </w:r>
          </w:p>
        </w:tc>
        <w:tc>
          <w:tcPr>
            <w:tcW w:w="522" w:type="pct"/>
            <w:vMerge/>
            <w:tcBorders>
              <w:top w:val="single" w:sz="4" w:space="0" w:color="auto"/>
              <w:left w:val="nil"/>
              <w:bottom w:val="single" w:sz="4" w:space="0" w:color="000000"/>
              <w:right w:val="nil"/>
            </w:tcBorders>
            <w:vAlign w:val="center"/>
            <w:hideMark/>
          </w:tcPr>
          <w:p w14:paraId="7392902F" w14:textId="77777777" w:rsidR="005D38D3" w:rsidRPr="00925C94" w:rsidRDefault="005D38D3" w:rsidP="0065493C">
            <w:pPr>
              <w:spacing w:before="0" w:after="0"/>
              <w:jc w:val="center"/>
              <w:rPr>
                <w:rFonts w:ascii="Calibri" w:hAnsi="Calibri" w:cs="Times New Roman"/>
                <w:b/>
                <w:bCs/>
                <w:sz w:val="20"/>
                <w:szCs w:val="20"/>
              </w:rPr>
            </w:pPr>
          </w:p>
        </w:tc>
        <w:tc>
          <w:tcPr>
            <w:tcW w:w="679" w:type="pct"/>
            <w:vMerge/>
            <w:tcBorders>
              <w:top w:val="single" w:sz="4" w:space="0" w:color="auto"/>
              <w:left w:val="nil"/>
              <w:bottom w:val="single" w:sz="4" w:space="0" w:color="000000"/>
              <w:right w:val="single" w:sz="4" w:space="0" w:color="auto"/>
            </w:tcBorders>
            <w:vAlign w:val="center"/>
            <w:hideMark/>
          </w:tcPr>
          <w:p w14:paraId="58B25F06" w14:textId="77777777" w:rsidR="005D38D3" w:rsidRPr="00925C94" w:rsidRDefault="005D38D3" w:rsidP="0065493C">
            <w:pPr>
              <w:spacing w:before="0" w:after="0"/>
              <w:jc w:val="center"/>
              <w:rPr>
                <w:rFonts w:ascii="Calibri" w:hAnsi="Calibri" w:cs="Times New Roman"/>
                <w:b/>
                <w:bCs/>
                <w:sz w:val="20"/>
                <w:szCs w:val="20"/>
              </w:rPr>
            </w:pPr>
          </w:p>
        </w:tc>
      </w:tr>
      <w:tr w:rsidR="005D38D3" w:rsidRPr="00925C94" w14:paraId="742B947B" w14:textId="77777777" w:rsidTr="00A35C25">
        <w:trPr>
          <w:trHeight w:val="300"/>
        </w:trPr>
        <w:tc>
          <w:tcPr>
            <w:tcW w:w="1042" w:type="pct"/>
            <w:vMerge w:val="restart"/>
            <w:tcBorders>
              <w:top w:val="single" w:sz="4" w:space="0" w:color="auto"/>
              <w:left w:val="single" w:sz="4" w:space="0" w:color="auto"/>
              <w:bottom w:val="double" w:sz="6" w:space="0" w:color="000000"/>
              <w:right w:val="nil"/>
            </w:tcBorders>
            <w:shd w:val="clear" w:color="000000" w:fill="F2F2F2"/>
            <w:noWrap/>
            <w:vAlign w:val="center"/>
            <w:hideMark/>
          </w:tcPr>
          <w:p w14:paraId="2DFE3106" w14:textId="77777777" w:rsidR="005D38D3" w:rsidRPr="00925C94" w:rsidRDefault="005D38D3" w:rsidP="00A35C25">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GBR</w:t>
            </w:r>
          </w:p>
        </w:tc>
        <w:tc>
          <w:tcPr>
            <w:tcW w:w="337" w:type="pct"/>
            <w:tcBorders>
              <w:top w:val="single" w:sz="4" w:space="0" w:color="auto"/>
              <w:left w:val="single" w:sz="4" w:space="0" w:color="auto"/>
              <w:bottom w:val="nil"/>
              <w:right w:val="single" w:sz="4" w:space="0" w:color="auto"/>
            </w:tcBorders>
            <w:shd w:val="clear" w:color="000000" w:fill="F2F2F2"/>
            <w:noWrap/>
            <w:vAlign w:val="center"/>
            <w:hideMark/>
          </w:tcPr>
          <w:p w14:paraId="0BAB9005" w14:textId="77777777" w:rsidR="005D38D3" w:rsidRPr="00925C94" w:rsidRDefault="005D38D3" w:rsidP="00A35C25">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area</w:t>
            </w:r>
          </w:p>
        </w:tc>
        <w:tc>
          <w:tcPr>
            <w:tcW w:w="419" w:type="pct"/>
            <w:tcBorders>
              <w:top w:val="single" w:sz="4" w:space="0" w:color="auto"/>
              <w:left w:val="nil"/>
              <w:bottom w:val="nil"/>
              <w:right w:val="single" w:sz="4" w:space="0" w:color="auto"/>
            </w:tcBorders>
            <w:shd w:val="clear" w:color="000000" w:fill="F2F2F2"/>
            <w:noWrap/>
            <w:vAlign w:val="center"/>
            <w:hideMark/>
          </w:tcPr>
          <w:p w14:paraId="4FC0C551" w14:textId="77777777" w:rsidR="005D38D3" w:rsidRPr="00925C94" w:rsidRDefault="005D38D3" w:rsidP="007754E4">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3</w:t>
            </w:r>
            <w:r w:rsidR="00CE2946" w:rsidRPr="00925C94">
              <w:rPr>
                <w:rFonts w:ascii="Calibri" w:hAnsi="Calibri" w:cs="Times New Roman"/>
                <w:b/>
                <w:bCs/>
                <w:color w:val="000000"/>
                <w:sz w:val="20"/>
                <w:szCs w:val="20"/>
              </w:rPr>
              <w:t>,</w:t>
            </w:r>
            <w:r w:rsidRPr="00925C94">
              <w:rPr>
                <w:rFonts w:ascii="Calibri" w:hAnsi="Calibri" w:cs="Times New Roman"/>
                <w:b/>
                <w:bCs/>
                <w:color w:val="000000"/>
                <w:sz w:val="20"/>
                <w:szCs w:val="20"/>
              </w:rPr>
              <w:t>814</w:t>
            </w:r>
          </w:p>
        </w:tc>
        <w:tc>
          <w:tcPr>
            <w:tcW w:w="391" w:type="pct"/>
            <w:tcBorders>
              <w:top w:val="single" w:sz="4" w:space="0" w:color="auto"/>
              <w:left w:val="nil"/>
              <w:bottom w:val="nil"/>
              <w:right w:val="nil"/>
            </w:tcBorders>
            <w:shd w:val="clear" w:color="auto" w:fill="auto"/>
            <w:noWrap/>
            <w:vAlign w:val="center"/>
            <w:hideMark/>
          </w:tcPr>
          <w:p w14:paraId="315E826D" w14:textId="77777777" w:rsidR="005D38D3" w:rsidRPr="00925C94" w:rsidRDefault="005D38D3" w:rsidP="00B755E6">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33</w:t>
            </w:r>
          </w:p>
        </w:tc>
        <w:tc>
          <w:tcPr>
            <w:tcW w:w="555" w:type="pct"/>
            <w:tcBorders>
              <w:top w:val="single" w:sz="4" w:space="0" w:color="auto"/>
              <w:left w:val="nil"/>
              <w:bottom w:val="nil"/>
              <w:right w:val="nil"/>
            </w:tcBorders>
            <w:shd w:val="clear" w:color="auto" w:fill="auto"/>
            <w:noWrap/>
            <w:vAlign w:val="center"/>
            <w:hideMark/>
          </w:tcPr>
          <w:p w14:paraId="11BE6CD0" w14:textId="77777777" w:rsidR="005D38D3" w:rsidRPr="00925C94" w:rsidRDefault="005D38D3" w:rsidP="00B755E6">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1</w:t>
            </w:r>
            <w:r w:rsidR="00CE2946" w:rsidRPr="00925C94">
              <w:rPr>
                <w:rFonts w:ascii="Calibri" w:hAnsi="Calibri" w:cs="Times New Roman"/>
                <w:b/>
                <w:bCs/>
                <w:color w:val="000000"/>
                <w:sz w:val="20"/>
                <w:szCs w:val="20"/>
              </w:rPr>
              <w:t>,</w:t>
            </w:r>
            <w:r w:rsidRPr="00925C94">
              <w:rPr>
                <w:rFonts w:ascii="Calibri" w:hAnsi="Calibri" w:cs="Times New Roman"/>
                <w:b/>
                <w:bCs/>
                <w:color w:val="000000"/>
                <w:sz w:val="20"/>
                <w:szCs w:val="20"/>
              </w:rPr>
              <w:t>261</w:t>
            </w:r>
          </w:p>
        </w:tc>
        <w:tc>
          <w:tcPr>
            <w:tcW w:w="408" w:type="pct"/>
            <w:tcBorders>
              <w:top w:val="single" w:sz="4" w:space="0" w:color="auto"/>
              <w:left w:val="nil"/>
              <w:bottom w:val="nil"/>
              <w:right w:val="nil"/>
            </w:tcBorders>
            <w:shd w:val="clear" w:color="auto" w:fill="auto"/>
            <w:noWrap/>
            <w:vAlign w:val="center"/>
            <w:hideMark/>
          </w:tcPr>
          <w:p w14:paraId="5161198A" w14:textId="77777777" w:rsidR="005D38D3" w:rsidRPr="00925C94" w:rsidRDefault="005D38D3" w:rsidP="00F22F6C">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2</w:t>
            </w:r>
            <w:r w:rsidR="00CE2946" w:rsidRPr="00925C94">
              <w:rPr>
                <w:rFonts w:ascii="Calibri" w:hAnsi="Calibri" w:cs="Times New Roman"/>
                <w:b/>
                <w:bCs/>
                <w:color w:val="000000"/>
                <w:sz w:val="20"/>
                <w:szCs w:val="20"/>
              </w:rPr>
              <w:t>,</w:t>
            </w:r>
            <w:r w:rsidRPr="00925C94">
              <w:rPr>
                <w:rFonts w:ascii="Calibri" w:hAnsi="Calibri" w:cs="Times New Roman"/>
                <w:b/>
                <w:bCs/>
                <w:color w:val="000000"/>
                <w:sz w:val="20"/>
                <w:szCs w:val="20"/>
              </w:rPr>
              <w:t>084</w:t>
            </w:r>
          </w:p>
        </w:tc>
        <w:tc>
          <w:tcPr>
            <w:tcW w:w="647" w:type="pct"/>
            <w:tcBorders>
              <w:top w:val="single" w:sz="4" w:space="0" w:color="auto"/>
              <w:left w:val="nil"/>
              <w:bottom w:val="nil"/>
              <w:right w:val="nil"/>
            </w:tcBorders>
            <w:shd w:val="clear" w:color="auto" w:fill="auto"/>
            <w:noWrap/>
            <w:vAlign w:val="center"/>
            <w:hideMark/>
          </w:tcPr>
          <w:p w14:paraId="151DA2E5" w14:textId="77777777" w:rsidR="005D38D3" w:rsidRPr="00925C94" w:rsidRDefault="005D38D3" w:rsidP="00CF0671">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344</w:t>
            </w:r>
          </w:p>
        </w:tc>
        <w:tc>
          <w:tcPr>
            <w:tcW w:w="522" w:type="pct"/>
            <w:tcBorders>
              <w:top w:val="nil"/>
              <w:left w:val="nil"/>
              <w:bottom w:val="nil"/>
              <w:right w:val="nil"/>
            </w:tcBorders>
            <w:shd w:val="clear" w:color="000000" w:fill="F2DCDB"/>
            <w:noWrap/>
            <w:vAlign w:val="center"/>
            <w:hideMark/>
          </w:tcPr>
          <w:p w14:paraId="2CFEE3EA" w14:textId="77777777" w:rsidR="005D38D3" w:rsidRPr="00925C94" w:rsidRDefault="005D38D3" w:rsidP="00CF0671">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3</w:t>
            </w:r>
            <w:r w:rsidR="00CE2946" w:rsidRPr="00925C94">
              <w:rPr>
                <w:rFonts w:ascii="Calibri" w:hAnsi="Calibri" w:cs="Times New Roman"/>
                <w:b/>
                <w:bCs/>
                <w:color w:val="000000"/>
                <w:sz w:val="20"/>
                <w:szCs w:val="20"/>
              </w:rPr>
              <w:t>,</w:t>
            </w:r>
            <w:r w:rsidRPr="00925C94">
              <w:rPr>
                <w:rFonts w:ascii="Calibri" w:hAnsi="Calibri" w:cs="Times New Roman"/>
                <w:b/>
                <w:bCs/>
                <w:color w:val="000000"/>
                <w:sz w:val="20"/>
                <w:szCs w:val="20"/>
              </w:rPr>
              <w:t>723</w:t>
            </w:r>
          </w:p>
        </w:tc>
        <w:tc>
          <w:tcPr>
            <w:tcW w:w="679" w:type="pct"/>
            <w:tcBorders>
              <w:top w:val="nil"/>
              <w:left w:val="nil"/>
              <w:bottom w:val="nil"/>
              <w:right w:val="single" w:sz="4" w:space="0" w:color="auto"/>
            </w:tcBorders>
            <w:shd w:val="clear" w:color="000000" w:fill="F2DCDB"/>
            <w:noWrap/>
            <w:vAlign w:val="center"/>
            <w:hideMark/>
          </w:tcPr>
          <w:p w14:paraId="497A4EBD" w14:textId="77777777" w:rsidR="005D38D3" w:rsidRPr="00925C94" w:rsidRDefault="005D38D3" w:rsidP="00CF0671">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92</w:t>
            </w:r>
          </w:p>
        </w:tc>
      </w:tr>
      <w:tr w:rsidR="005D38D3" w:rsidRPr="00925C94" w14:paraId="23F4C8D0" w14:textId="77777777" w:rsidTr="00A35C25">
        <w:trPr>
          <w:trHeight w:val="315"/>
        </w:trPr>
        <w:tc>
          <w:tcPr>
            <w:tcW w:w="1042" w:type="pct"/>
            <w:vMerge/>
            <w:tcBorders>
              <w:top w:val="single" w:sz="4" w:space="0" w:color="auto"/>
              <w:left w:val="single" w:sz="4" w:space="0" w:color="auto"/>
              <w:bottom w:val="double" w:sz="6" w:space="0" w:color="000000"/>
              <w:right w:val="nil"/>
            </w:tcBorders>
            <w:vAlign w:val="center"/>
            <w:hideMark/>
          </w:tcPr>
          <w:p w14:paraId="46EC1B22" w14:textId="77777777" w:rsidR="005D38D3" w:rsidRPr="00925C94" w:rsidRDefault="005D38D3" w:rsidP="0065493C">
            <w:pPr>
              <w:spacing w:before="0" w:after="0"/>
              <w:jc w:val="center"/>
              <w:rPr>
                <w:rFonts w:ascii="Calibri" w:hAnsi="Calibri" w:cs="Times New Roman"/>
                <w:b/>
                <w:bCs/>
                <w:color w:val="000000"/>
                <w:sz w:val="20"/>
                <w:szCs w:val="20"/>
              </w:rPr>
            </w:pPr>
          </w:p>
        </w:tc>
        <w:tc>
          <w:tcPr>
            <w:tcW w:w="337" w:type="pct"/>
            <w:tcBorders>
              <w:top w:val="nil"/>
              <w:left w:val="single" w:sz="4" w:space="0" w:color="auto"/>
              <w:bottom w:val="double" w:sz="6" w:space="0" w:color="auto"/>
              <w:right w:val="single" w:sz="4" w:space="0" w:color="auto"/>
            </w:tcBorders>
            <w:shd w:val="clear" w:color="000000" w:fill="F2F2F2"/>
            <w:noWrap/>
            <w:vAlign w:val="center"/>
            <w:hideMark/>
          </w:tcPr>
          <w:p w14:paraId="6AD9C948" w14:textId="77777777" w:rsidR="005D38D3" w:rsidRPr="00925C94" w:rsidRDefault="005D38D3" w:rsidP="00A35C25">
            <w:pPr>
              <w:spacing w:before="0" w:after="0"/>
              <w:jc w:val="center"/>
              <w:rPr>
                <w:rFonts w:ascii="Calibri" w:hAnsi="Calibri" w:cs="Times New Roman"/>
                <w:b/>
                <w:bCs/>
                <w:i/>
                <w:iCs/>
                <w:color w:val="000000"/>
                <w:sz w:val="20"/>
                <w:szCs w:val="20"/>
              </w:rPr>
            </w:pPr>
            <w:r w:rsidRPr="00925C94">
              <w:rPr>
                <w:rFonts w:ascii="Calibri" w:hAnsi="Calibri" w:cs="Times New Roman"/>
                <w:b/>
                <w:bCs/>
                <w:i/>
                <w:iCs/>
                <w:color w:val="000000"/>
                <w:sz w:val="20"/>
                <w:szCs w:val="20"/>
              </w:rPr>
              <w:t>%</w:t>
            </w:r>
          </w:p>
        </w:tc>
        <w:tc>
          <w:tcPr>
            <w:tcW w:w="419" w:type="pct"/>
            <w:tcBorders>
              <w:top w:val="nil"/>
              <w:left w:val="nil"/>
              <w:bottom w:val="double" w:sz="6" w:space="0" w:color="auto"/>
              <w:right w:val="single" w:sz="4" w:space="0" w:color="auto"/>
            </w:tcBorders>
            <w:shd w:val="clear" w:color="000000" w:fill="F2F2F2"/>
            <w:noWrap/>
            <w:vAlign w:val="center"/>
            <w:hideMark/>
          </w:tcPr>
          <w:p w14:paraId="400BB881" w14:textId="77777777" w:rsidR="005D38D3" w:rsidRPr="00925C94" w:rsidRDefault="005D38D3" w:rsidP="00A35C25">
            <w:pPr>
              <w:spacing w:before="0" w:after="0"/>
              <w:jc w:val="center"/>
              <w:rPr>
                <w:rFonts w:ascii="Calibri" w:hAnsi="Calibri" w:cs="Times New Roman"/>
                <w:b/>
                <w:bCs/>
                <w:i/>
                <w:iCs/>
                <w:color w:val="000000"/>
                <w:sz w:val="20"/>
                <w:szCs w:val="20"/>
              </w:rPr>
            </w:pPr>
            <w:r w:rsidRPr="00925C94">
              <w:rPr>
                <w:rFonts w:ascii="Calibri" w:hAnsi="Calibri" w:cs="Times New Roman"/>
                <w:b/>
                <w:bCs/>
                <w:i/>
                <w:iCs/>
                <w:color w:val="000000"/>
                <w:sz w:val="20"/>
                <w:szCs w:val="20"/>
              </w:rPr>
              <w:t>100%</w:t>
            </w:r>
          </w:p>
        </w:tc>
        <w:tc>
          <w:tcPr>
            <w:tcW w:w="391" w:type="pct"/>
            <w:tcBorders>
              <w:top w:val="nil"/>
              <w:left w:val="nil"/>
              <w:bottom w:val="double" w:sz="6" w:space="0" w:color="auto"/>
              <w:right w:val="nil"/>
            </w:tcBorders>
            <w:shd w:val="clear" w:color="auto" w:fill="auto"/>
            <w:noWrap/>
            <w:vAlign w:val="center"/>
            <w:hideMark/>
          </w:tcPr>
          <w:p w14:paraId="1CB215B1"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w:t>
            </w:r>
          </w:p>
        </w:tc>
        <w:tc>
          <w:tcPr>
            <w:tcW w:w="555" w:type="pct"/>
            <w:tcBorders>
              <w:top w:val="nil"/>
              <w:left w:val="nil"/>
              <w:bottom w:val="double" w:sz="6" w:space="0" w:color="auto"/>
              <w:right w:val="nil"/>
            </w:tcBorders>
            <w:shd w:val="clear" w:color="auto" w:fill="auto"/>
            <w:noWrap/>
            <w:vAlign w:val="center"/>
            <w:hideMark/>
          </w:tcPr>
          <w:p w14:paraId="76F6DF32"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33%</w:t>
            </w:r>
          </w:p>
        </w:tc>
        <w:tc>
          <w:tcPr>
            <w:tcW w:w="408" w:type="pct"/>
            <w:tcBorders>
              <w:top w:val="nil"/>
              <w:left w:val="nil"/>
              <w:bottom w:val="double" w:sz="6" w:space="0" w:color="auto"/>
              <w:right w:val="nil"/>
            </w:tcBorders>
            <w:shd w:val="clear" w:color="auto" w:fill="auto"/>
            <w:noWrap/>
            <w:vAlign w:val="center"/>
            <w:hideMark/>
          </w:tcPr>
          <w:p w14:paraId="77DD6E55"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55%</w:t>
            </w:r>
          </w:p>
        </w:tc>
        <w:tc>
          <w:tcPr>
            <w:tcW w:w="647" w:type="pct"/>
            <w:tcBorders>
              <w:top w:val="nil"/>
              <w:left w:val="nil"/>
              <w:bottom w:val="double" w:sz="6" w:space="0" w:color="auto"/>
              <w:right w:val="nil"/>
            </w:tcBorders>
            <w:shd w:val="clear" w:color="auto" w:fill="auto"/>
            <w:noWrap/>
            <w:vAlign w:val="center"/>
            <w:hideMark/>
          </w:tcPr>
          <w:p w14:paraId="04DEA5BF"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9%</w:t>
            </w:r>
          </w:p>
        </w:tc>
        <w:tc>
          <w:tcPr>
            <w:tcW w:w="522" w:type="pct"/>
            <w:tcBorders>
              <w:top w:val="nil"/>
              <w:left w:val="nil"/>
              <w:bottom w:val="double" w:sz="6" w:space="0" w:color="auto"/>
              <w:right w:val="nil"/>
            </w:tcBorders>
            <w:shd w:val="clear" w:color="000000" w:fill="F2DCDB"/>
            <w:noWrap/>
            <w:vAlign w:val="center"/>
            <w:hideMark/>
          </w:tcPr>
          <w:p w14:paraId="6C895565" w14:textId="77777777" w:rsidR="005D38D3" w:rsidRPr="00925C94" w:rsidRDefault="005D38D3" w:rsidP="00A35C25">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98%</w:t>
            </w:r>
          </w:p>
        </w:tc>
        <w:tc>
          <w:tcPr>
            <w:tcW w:w="679" w:type="pct"/>
            <w:tcBorders>
              <w:top w:val="nil"/>
              <w:left w:val="nil"/>
              <w:bottom w:val="double" w:sz="6" w:space="0" w:color="auto"/>
              <w:right w:val="single" w:sz="4" w:space="0" w:color="auto"/>
            </w:tcBorders>
            <w:shd w:val="clear" w:color="000000" w:fill="F2DCDB"/>
            <w:noWrap/>
            <w:vAlign w:val="center"/>
            <w:hideMark/>
          </w:tcPr>
          <w:p w14:paraId="6B9DE8B1" w14:textId="77777777" w:rsidR="005D38D3" w:rsidRPr="00925C94" w:rsidRDefault="005D38D3" w:rsidP="00A35C25">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2%</w:t>
            </w:r>
          </w:p>
        </w:tc>
      </w:tr>
      <w:tr w:rsidR="005D38D3" w:rsidRPr="00925C94" w14:paraId="416A29EB" w14:textId="77777777" w:rsidTr="00A35C25">
        <w:trPr>
          <w:trHeight w:val="315"/>
        </w:trPr>
        <w:tc>
          <w:tcPr>
            <w:tcW w:w="1042" w:type="pct"/>
            <w:vMerge w:val="restart"/>
            <w:tcBorders>
              <w:top w:val="nil"/>
              <w:left w:val="single" w:sz="4" w:space="0" w:color="auto"/>
              <w:bottom w:val="nil"/>
              <w:right w:val="nil"/>
            </w:tcBorders>
            <w:shd w:val="clear" w:color="000000" w:fill="F2F2F2"/>
            <w:noWrap/>
            <w:vAlign w:val="center"/>
            <w:hideMark/>
          </w:tcPr>
          <w:p w14:paraId="00C88671" w14:textId="77777777" w:rsidR="005D38D3" w:rsidRPr="00925C94" w:rsidRDefault="005D38D3" w:rsidP="00A35C25">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Cape York</w:t>
            </w:r>
          </w:p>
        </w:tc>
        <w:tc>
          <w:tcPr>
            <w:tcW w:w="337" w:type="pct"/>
            <w:tcBorders>
              <w:top w:val="nil"/>
              <w:left w:val="single" w:sz="4" w:space="0" w:color="auto"/>
              <w:bottom w:val="nil"/>
              <w:right w:val="single" w:sz="4" w:space="0" w:color="auto"/>
            </w:tcBorders>
            <w:shd w:val="clear" w:color="000000" w:fill="F2F2F2"/>
            <w:noWrap/>
            <w:vAlign w:val="center"/>
            <w:hideMark/>
          </w:tcPr>
          <w:p w14:paraId="27DA5D57" w14:textId="77777777" w:rsidR="005D38D3" w:rsidRPr="00925C94" w:rsidRDefault="005D38D3" w:rsidP="00A35C25">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area</w:t>
            </w:r>
          </w:p>
        </w:tc>
        <w:tc>
          <w:tcPr>
            <w:tcW w:w="419" w:type="pct"/>
            <w:tcBorders>
              <w:top w:val="nil"/>
              <w:left w:val="nil"/>
              <w:bottom w:val="nil"/>
              <w:right w:val="single" w:sz="4" w:space="0" w:color="auto"/>
            </w:tcBorders>
            <w:shd w:val="clear" w:color="000000" w:fill="F2F2F2"/>
            <w:noWrap/>
            <w:vAlign w:val="center"/>
            <w:hideMark/>
          </w:tcPr>
          <w:p w14:paraId="7F3BA699" w14:textId="77777777" w:rsidR="005D38D3" w:rsidRPr="00925C94" w:rsidRDefault="005D38D3" w:rsidP="007754E4">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438</w:t>
            </w:r>
          </w:p>
        </w:tc>
        <w:tc>
          <w:tcPr>
            <w:tcW w:w="391" w:type="pct"/>
            <w:tcBorders>
              <w:top w:val="nil"/>
              <w:left w:val="nil"/>
              <w:bottom w:val="nil"/>
              <w:right w:val="nil"/>
            </w:tcBorders>
            <w:shd w:val="clear" w:color="auto" w:fill="auto"/>
            <w:noWrap/>
            <w:vAlign w:val="center"/>
            <w:hideMark/>
          </w:tcPr>
          <w:p w14:paraId="2E7338AD" w14:textId="77777777" w:rsidR="005D38D3" w:rsidRPr="00925C94" w:rsidRDefault="005D38D3" w:rsidP="00B755E6">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33</w:t>
            </w:r>
          </w:p>
        </w:tc>
        <w:tc>
          <w:tcPr>
            <w:tcW w:w="555" w:type="pct"/>
            <w:tcBorders>
              <w:top w:val="nil"/>
              <w:left w:val="nil"/>
              <w:bottom w:val="nil"/>
              <w:right w:val="nil"/>
            </w:tcBorders>
            <w:shd w:val="clear" w:color="auto" w:fill="auto"/>
            <w:noWrap/>
            <w:vAlign w:val="center"/>
            <w:hideMark/>
          </w:tcPr>
          <w:p w14:paraId="15521519" w14:textId="77777777" w:rsidR="005D38D3" w:rsidRPr="00925C94" w:rsidRDefault="005D38D3" w:rsidP="00B755E6">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1</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172</w:t>
            </w:r>
          </w:p>
        </w:tc>
        <w:tc>
          <w:tcPr>
            <w:tcW w:w="408" w:type="pct"/>
            <w:tcBorders>
              <w:top w:val="nil"/>
              <w:left w:val="nil"/>
              <w:bottom w:val="nil"/>
              <w:right w:val="nil"/>
            </w:tcBorders>
            <w:shd w:val="clear" w:color="auto" w:fill="auto"/>
            <w:noWrap/>
            <w:vAlign w:val="center"/>
            <w:hideMark/>
          </w:tcPr>
          <w:p w14:paraId="0900282B" w14:textId="77777777" w:rsidR="005D38D3" w:rsidRPr="00925C94" w:rsidRDefault="005D38D3" w:rsidP="00F22F6C">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1</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172</w:t>
            </w:r>
          </w:p>
        </w:tc>
        <w:tc>
          <w:tcPr>
            <w:tcW w:w="647" w:type="pct"/>
            <w:tcBorders>
              <w:top w:val="nil"/>
              <w:left w:val="nil"/>
              <w:bottom w:val="nil"/>
              <w:right w:val="nil"/>
            </w:tcBorders>
            <w:shd w:val="clear" w:color="auto" w:fill="auto"/>
            <w:noWrap/>
            <w:vAlign w:val="center"/>
            <w:hideMark/>
          </w:tcPr>
          <w:p w14:paraId="6611A30E" w14:textId="77777777" w:rsidR="005D38D3" w:rsidRPr="00925C94" w:rsidRDefault="005D38D3" w:rsidP="00CF0671">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56</w:t>
            </w:r>
          </w:p>
        </w:tc>
        <w:tc>
          <w:tcPr>
            <w:tcW w:w="522" w:type="pct"/>
            <w:tcBorders>
              <w:top w:val="nil"/>
              <w:left w:val="nil"/>
              <w:bottom w:val="nil"/>
              <w:right w:val="nil"/>
            </w:tcBorders>
            <w:shd w:val="clear" w:color="000000" w:fill="F2DCDB"/>
            <w:noWrap/>
            <w:vAlign w:val="center"/>
            <w:hideMark/>
          </w:tcPr>
          <w:p w14:paraId="4DA93B15" w14:textId="77777777" w:rsidR="005D38D3" w:rsidRPr="00925C94" w:rsidRDefault="005D38D3" w:rsidP="00CF0671">
            <w:pPr>
              <w:spacing w:before="0" w:after="0"/>
              <w:jc w:val="center"/>
              <w:rPr>
                <w:rFonts w:ascii="Calibri" w:hAnsi="Calibri" w:cs="Times New Roman"/>
                <w:b/>
                <w:bCs/>
                <w:sz w:val="20"/>
                <w:szCs w:val="20"/>
              </w:rPr>
            </w:pPr>
            <w:r w:rsidRPr="00925C94">
              <w:rPr>
                <w:rFonts w:ascii="Calibri" w:hAnsi="Calibri" w:cs="Times New Roman"/>
                <w:b/>
                <w:bCs/>
                <w:sz w:val="20"/>
                <w:szCs w:val="20"/>
              </w:rPr>
              <w:t>2</w:t>
            </w:r>
            <w:r w:rsidR="00CE2946" w:rsidRPr="00925C94">
              <w:rPr>
                <w:rFonts w:ascii="Calibri" w:hAnsi="Calibri" w:cs="Times New Roman"/>
                <w:b/>
                <w:bCs/>
                <w:sz w:val="20"/>
                <w:szCs w:val="20"/>
              </w:rPr>
              <w:t>,</w:t>
            </w:r>
            <w:r w:rsidRPr="00925C94">
              <w:rPr>
                <w:rFonts w:ascii="Calibri" w:hAnsi="Calibri" w:cs="Times New Roman"/>
                <w:b/>
                <w:bCs/>
                <w:sz w:val="20"/>
                <w:szCs w:val="20"/>
              </w:rPr>
              <w:t>433</w:t>
            </w:r>
          </w:p>
        </w:tc>
        <w:tc>
          <w:tcPr>
            <w:tcW w:w="679" w:type="pct"/>
            <w:tcBorders>
              <w:top w:val="nil"/>
              <w:left w:val="nil"/>
              <w:bottom w:val="nil"/>
              <w:right w:val="single" w:sz="4" w:space="0" w:color="auto"/>
            </w:tcBorders>
            <w:shd w:val="clear" w:color="000000" w:fill="F2DCDB"/>
            <w:noWrap/>
            <w:vAlign w:val="center"/>
            <w:hideMark/>
          </w:tcPr>
          <w:p w14:paraId="704C7D27" w14:textId="77777777" w:rsidR="005D38D3" w:rsidRPr="00925C94" w:rsidRDefault="005D38D3" w:rsidP="00CF0671">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5</w:t>
            </w:r>
          </w:p>
        </w:tc>
      </w:tr>
      <w:tr w:rsidR="005D38D3" w:rsidRPr="00925C94" w14:paraId="1BB1CDFD" w14:textId="77777777" w:rsidTr="00A35C25">
        <w:trPr>
          <w:trHeight w:val="300"/>
        </w:trPr>
        <w:tc>
          <w:tcPr>
            <w:tcW w:w="1042" w:type="pct"/>
            <w:vMerge/>
            <w:tcBorders>
              <w:top w:val="nil"/>
              <w:left w:val="single" w:sz="4" w:space="0" w:color="auto"/>
              <w:bottom w:val="nil"/>
              <w:right w:val="nil"/>
            </w:tcBorders>
            <w:vAlign w:val="center"/>
            <w:hideMark/>
          </w:tcPr>
          <w:p w14:paraId="20D6F3D1" w14:textId="77777777" w:rsidR="005D38D3" w:rsidRPr="00925C94" w:rsidRDefault="005D38D3" w:rsidP="0065493C">
            <w:pPr>
              <w:spacing w:before="0" w:after="0"/>
              <w:jc w:val="center"/>
              <w:rPr>
                <w:rFonts w:ascii="Calibri" w:hAnsi="Calibri" w:cs="Times New Roman"/>
                <w:b/>
                <w:bCs/>
                <w:color w:val="000000"/>
                <w:sz w:val="20"/>
                <w:szCs w:val="20"/>
              </w:rPr>
            </w:pPr>
          </w:p>
        </w:tc>
        <w:tc>
          <w:tcPr>
            <w:tcW w:w="337" w:type="pct"/>
            <w:tcBorders>
              <w:top w:val="nil"/>
              <w:left w:val="single" w:sz="4" w:space="0" w:color="auto"/>
              <w:bottom w:val="nil"/>
              <w:right w:val="single" w:sz="4" w:space="0" w:color="auto"/>
            </w:tcBorders>
            <w:shd w:val="clear" w:color="000000" w:fill="F2F2F2"/>
            <w:noWrap/>
            <w:vAlign w:val="center"/>
            <w:hideMark/>
          </w:tcPr>
          <w:p w14:paraId="71544B6D"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w:t>
            </w:r>
          </w:p>
        </w:tc>
        <w:tc>
          <w:tcPr>
            <w:tcW w:w="419" w:type="pct"/>
            <w:tcBorders>
              <w:top w:val="nil"/>
              <w:left w:val="nil"/>
              <w:bottom w:val="nil"/>
              <w:right w:val="single" w:sz="4" w:space="0" w:color="auto"/>
            </w:tcBorders>
            <w:shd w:val="clear" w:color="000000" w:fill="F2F2F2"/>
            <w:noWrap/>
            <w:vAlign w:val="center"/>
            <w:hideMark/>
          </w:tcPr>
          <w:p w14:paraId="49DE7EC5"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100%</w:t>
            </w:r>
          </w:p>
        </w:tc>
        <w:tc>
          <w:tcPr>
            <w:tcW w:w="391" w:type="pct"/>
            <w:tcBorders>
              <w:top w:val="nil"/>
              <w:left w:val="nil"/>
              <w:bottom w:val="nil"/>
              <w:right w:val="nil"/>
            </w:tcBorders>
            <w:shd w:val="clear" w:color="auto" w:fill="auto"/>
            <w:noWrap/>
            <w:vAlign w:val="center"/>
            <w:hideMark/>
          </w:tcPr>
          <w:p w14:paraId="77B2343D"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w:t>
            </w:r>
          </w:p>
        </w:tc>
        <w:tc>
          <w:tcPr>
            <w:tcW w:w="555" w:type="pct"/>
            <w:tcBorders>
              <w:top w:val="nil"/>
              <w:left w:val="nil"/>
              <w:bottom w:val="nil"/>
              <w:right w:val="nil"/>
            </w:tcBorders>
            <w:shd w:val="clear" w:color="auto" w:fill="auto"/>
            <w:noWrap/>
            <w:vAlign w:val="center"/>
            <w:hideMark/>
          </w:tcPr>
          <w:p w14:paraId="0A8AFEDA"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48%</w:t>
            </w:r>
          </w:p>
        </w:tc>
        <w:tc>
          <w:tcPr>
            <w:tcW w:w="408" w:type="pct"/>
            <w:tcBorders>
              <w:top w:val="nil"/>
              <w:left w:val="nil"/>
              <w:bottom w:val="nil"/>
              <w:right w:val="nil"/>
            </w:tcBorders>
            <w:shd w:val="clear" w:color="auto" w:fill="auto"/>
            <w:noWrap/>
            <w:vAlign w:val="center"/>
            <w:hideMark/>
          </w:tcPr>
          <w:p w14:paraId="115F99E2"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48%</w:t>
            </w:r>
          </w:p>
        </w:tc>
        <w:tc>
          <w:tcPr>
            <w:tcW w:w="647" w:type="pct"/>
            <w:tcBorders>
              <w:top w:val="nil"/>
              <w:left w:val="nil"/>
              <w:bottom w:val="nil"/>
              <w:right w:val="nil"/>
            </w:tcBorders>
            <w:shd w:val="clear" w:color="auto" w:fill="auto"/>
            <w:noWrap/>
            <w:vAlign w:val="center"/>
            <w:hideMark/>
          </w:tcPr>
          <w:p w14:paraId="1B9F3EC8"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2%</w:t>
            </w:r>
          </w:p>
        </w:tc>
        <w:tc>
          <w:tcPr>
            <w:tcW w:w="522" w:type="pct"/>
            <w:tcBorders>
              <w:top w:val="nil"/>
              <w:left w:val="nil"/>
              <w:bottom w:val="nil"/>
              <w:right w:val="nil"/>
            </w:tcBorders>
            <w:shd w:val="clear" w:color="000000" w:fill="F2DCDB"/>
            <w:noWrap/>
            <w:vAlign w:val="center"/>
            <w:hideMark/>
          </w:tcPr>
          <w:p w14:paraId="473843AA" w14:textId="77777777" w:rsidR="005D38D3" w:rsidRPr="00925C94" w:rsidRDefault="005D38D3" w:rsidP="00A35C25">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100%</w:t>
            </w:r>
          </w:p>
        </w:tc>
        <w:tc>
          <w:tcPr>
            <w:tcW w:w="679" w:type="pct"/>
            <w:tcBorders>
              <w:top w:val="nil"/>
              <w:left w:val="nil"/>
              <w:bottom w:val="nil"/>
              <w:right w:val="single" w:sz="4" w:space="0" w:color="auto"/>
            </w:tcBorders>
            <w:shd w:val="clear" w:color="000000" w:fill="F2DCDB"/>
            <w:noWrap/>
            <w:vAlign w:val="center"/>
            <w:hideMark/>
          </w:tcPr>
          <w:p w14:paraId="5488B5C3" w14:textId="77777777" w:rsidR="005D38D3" w:rsidRPr="00925C94" w:rsidRDefault="005D38D3" w:rsidP="00A35C25">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0%</w:t>
            </w:r>
          </w:p>
        </w:tc>
      </w:tr>
      <w:tr w:rsidR="005D38D3" w:rsidRPr="00925C94" w14:paraId="1E26C8CC" w14:textId="77777777" w:rsidTr="00A35C25">
        <w:trPr>
          <w:trHeight w:val="300"/>
        </w:trPr>
        <w:tc>
          <w:tcPr>
            <w:tcW w:w="1042" w:type="pct"/>
            <w:vMerge w:val="restart"/>
            <w:tcBorders>
              <w:top w:val="nil"/>
              <w:left w:val="single" w:sz="4" w:space="0" w:color="auto"/>
              <w:bottom w:val="nil"/>
              <w:right w:val="nil"/>
            </w:tcBorders>
            <w:shd w:val="clear" w:color="000000" w:fill="F2F2F2"/>
            <w:noWrap/>
            <w:vAlign w:val="center"/>
            <w:hideMark/>
          </w:tcPr>
          <w:p w14:paraId="0F3815B7" w14:textId="77777777" w:rsidR="005D38D3" w:rsidRPr="00925C94" w:rsidRDefault="005D38D3" w:rsidP="00A35C25">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Wet Tropics</w:t>
            </w:r>
          </w:p>
        </w:tc>
        <w:tc>
          <w:tcPr>
            <w:tcW w:w="337" w:type="pct"/>
            <w:tcBorders>
              <w:top w:val="nil"/>
              <w:left w:val="single" w:sz="4" w:space="0" w:color="auto"/>
              <w:bottom w:val="nil"/>
              <w:right w:val="single" w:sz="4" w:space="0" w:color="auto"/>
            </w:tcBorders>
            <w:shd w:val="clear" w:color="000000" w:fill="F2F2F2"/>
            <w:noWrap/>
            <w:vAlign w:val="center"/>
            <w:hideMark/>
          </w:tcPr>
          <w:p w14:paraId="75A5C6CC" w14:textId="77777777" w:rsidR="005D38D3" w:rsidRPr="00925C94" w:rsidRDefault="005D38D3" w:rsidP="00A35C25">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area</w:t>
            </w:r>
          </w:p>
        </w:tc>
        <w:tc>
          <w:tcPr>
            <w:tcW w:w="419" w:type="pct"/>
            <w:tcBorders>
              <w:top w:val="nil"/>
              <w:left w:val="nil"/>
              <w:bottom w:val="nil"/>
              <w:right w:val="single" w:sz="4" w:space="0" w:color="auto"/>
            </w:tcBorders>
            <w:shd w:val="clear" w:color="000000" w:fill="F2F2F2"/>
            <w:noWrap/>
            <w:vAlign w:val="center"/>
            <w:hideMark/>
          </w:tcPr>
          <w:p w14:paraId="73C87E96" w14:textId="77777777" w:rsidR="005D38D3" w:rsidRPr="00925C94" w:rsidRDefault="005D38D3" w:rsidP="007754E4">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204</w:t>
            </w:r>
          </w:p>
        </w:tc>
        <w:tc>
          <w:tcPr>
            <w:tcW w:w="391" w:type="pct"/>
            <w:tcBorders>
              <w:top w:val="nil"/>
              <w:left w:val="nil"/>
              <w:bottom w:val="nil"/>
              <w:right w:val="nil"/>
            </w:tcBorders>
            <w:shd w:val="clear" w:color="auto" w:fill="auto"/>
            <w:noWrap/>
            <w:vAlign w:val="center"/>
            <w:hideMark/>
          </w:tcPr>
          <w:p w14:paraId="6DAD31B5" w14:textId="77777777" w:rsidR="005D38D3" w:rsidRPr="00925C94" w:rsidRDefault="005D38D3" w:rsidP="00B755E6">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0</w:t>
            </w:r>
          </w:p>
        </w:tc>
        <w:tc>
          <w:tcPr>
            <w:tcW w:w="555" w:type="pct"/>
            <w:tcBorders>
              <w:top w:val="nil"/>
              <w:left w:val="nil"/>
              <w:bottom w:val="nil"/>
              <w:right w:val="nil"/>
            </w:tcBorders>
            <w:shd w:val="clear" w:color="auto" w:fill="auto"/>
            <w:noWrap/>
            <w:vAlign w:val="center"/>
            <w:hideMark/>
          </w:tcPr>
          <w:p w14:paraId="2858D847" w14:textId="77777777" w:rsidR="005D38D3" w:rsidRPr="00925C94" w:rsidRDefault="005D38D3" w:rsidP="00B755E6">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6</w:t>
            </w:r>
          </w:p>
        </w:tc>
        <w:tc>
          <w:tcPr>
            <w:tcW w:w="408" w:type="pct"/>
            <w:tcBorders>
              <w:top w:val="nil"/>
              <w:left w:val="nil"/>
              <w:bottom w:val="nil"/>
              <w:right w:val="nil"/>
            </w:tcBorders>
            <w:shd w:val="clear" w:color="auto" w:fill="auto"/>
            <w:noWrap/>
            <w:vAlign w:val="center"/>
            <w:hideMark/>
          </w:tcPr>
          <w:p w14:paraId="736DE871" w14:textId="77777777" w:rsidR="005D38D3" w:rsidRPr="00925C94" w:rsidRDefault="005D38D3" w:rsidP="00F22F6C">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129</w:t>
            </w:r>
          </w:p>
        </w:tc>
        <w:tc>
          <w:tcPr>
            <w:tcW w:w="647" w:type="pct"/>
            <w:tcBorders>
              <w:top w:val="nil"/>
              <w:left w:val="nil"/>
              <w:bottom w:val="nil"/>
              <w:right w:val="nil"/>
            </w:tcBorders>
            <w:shd w:val="clear" w:color="auto" w:fill="auto"/>
            <w:noWrap/>
            <w:vAlign w:val="center"/>
            <w:hideMark/>
          </w:tcPr>
          <w:p w14:paraId="5A7B3049" w14:textId="77777777" w:rsidR="005D38D3" w:rsidRPr="00925C94" w:rsidRDefault="005D38D3" w:rsidP="00CF0671">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35</w:t>
            </w:r>
          </w:p>
        </w:tc>
        <w:tc>
          <w:tcPr>
            <w:tcW w:w="522" w:type="pct"/>
            <w:tcBorders>
              <w:top w:val="nil"/>
              <w:left w:val="nil"/>
              <w:bottom w:val="nil"/>
              <w:right w:val="nil"/>
            </w:tcBorders>
            <w:shd w:val="clear" w:color="000000" w:fill="F2DCDB"/>
            <w:noWrap/>
            <w:vAlign w:val="center"/>
            <w:hideMark/>
          </w:tcPr>
          <w:p w14:paraId="42F83676" w14:textId="77777777" w:rsidR="005D38D3" w:rsidRPr="00925C94" w:rsidRDefault="005D38D3" w:rsidP="00CF0671">
            <w:pPr>
              <w:spacing w:before="0" w:after="0"/>
              <w:jc w:val="center"/>
              <w:rPr>
                <w:rFonts w:ascii="Calibri" w:hAnsi="Calibri" w:cs="Times New Roman"/>
                <w:b/>
                <w:bCs/>
                <w:sz w:val="20"/>
                <w:szCs w:val="20"/>
              </w:rPr>
            </w:pPr>
            <w:r w:rsidRPr="00925C94">
              <w:rPr>
                <w:rFonts w:ascii="Calibri" w:hAnsi="Calibri" w:cs="Times New Roman"/>
                <w:b/>
                <w:bCs/>
                <w:sz w:val="20"/>
                <w:szCs w:val="20"/>
              </w:rPr>
              <w:t>170</w:t>
            </w:r>
          </w:p>
        </w:tc>
        <w:tc>
          <w:tcPr>
            <w:tcW w:w="679" w:type="pct"/>
            <w:tcBorders>
              <w:top w:val="nil"/>
              <w:left w:val="nil"/>
              <w:bottom w:val="nil"/>
              <w:right w:val="single" w:sz="4" w:space="0" w:color="auto"/>
            </w:tcBorders>
            <w:shd w:val="clear" w:color="000000" w:fill="F2DCDB"/>
            <w:noWrap/>
            <w:vAlign w:val="center"/>
            <w:hideMark/>
          </w:tcPr>
          <w:p w14:paraId="474E33D2" w14:textId="77777777" w:rsidR="005D38D3" w:rsidRPr="00925C94" w:rsidRDefault="005D38D3" w:rsidP="00CF0671">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34</w:t>
            </w:r>
          </w:p>
        </w:tc>
      </w:tr>
      <w:tr w:rsidR="005D38D3" w:rsidRPr="00925C94" w14:paraId="7A1AA452" w14:textId="77777777" w:rsidTr="00A35C25">
        <w:trPr>
          <w:trHeight w:val="300"/>
        </w:trPr>
        <w:tc>
          <w:tcPr>
            <w:tcW w:w="1042" w:type="pct"/>
            <w:vMerge/>
            <w:tcBorders>
              <w:top w:val="nil"/>
              <w:left w:val="single" w:sz="4" w:space="0" w:color="auto"/>
              <w:bottom w:val="nil"/>
              <w:right w:val="nil"/>
            </w:tcBorders>
            <w:vAlign w:val="center"/>
            <w:hideMark/>
          </w:tcPr>
          <w:p w14:paraId="50F1F4DA" w14:textId="77777777" w:rsidR="005D38D3" w:rsidRPr="00925C94" w:rsidRDefault="005D38D3" w:rsidP="0065493C">
            <w:pPr>
              <w:spacing w:before="0" w:after="0"/>
              <w:jc w:val="center"/>
              <w:rPr>
                <w:rFonts w:ascii="Calibri" w:hAnsi="Calibri" w:cs="Times New Roman"/>
                <w:b/>
                <w:bCs/>
                <w:color w:val="000000"/>
                <w:sz w:val="20"/>
                <w:szCs w:val="20"/>
              </w:rPr>
            </w:pPr>
          </w:p>
        </w:tc>
        <w:tc>
          <w:tcPr>
            <w:tcW w:w="337" w:type="pct"/>
            <w:tcBorders>
              <w:top w:val="nil"/>
              <w:left w:val="single" w:sz="4" w:space="0" w:color="auto"/>
              <w:bottom w:val="nil"/>
              <w:right w:val="single" w:sz="4" w:space="0" w:color="auto"/>
            </w:tcBorders>
            <w:shd w:val="clear" w:color="000000" w:fill="F2F2F2"/>
            <w:noWrap/>
            <w:vAlign w:val="center"/>
            <w:hideMark/>
          </w:tcPr>
          <w:p w14:paraId="6D4B389E"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w:t>
            </w:r>
          </w:p>
        </w:tc>
        <w:tc>
          <w:tcPr>
            <w:tcW w:w="419" w:type="pct"/>
            <w:tcBorders>
              <w:top w:val="nil"/>
              <w:left w:val="nil"/>
              <w:bottom w:val="nil"/>
              <w:right w:val="single" w:sz="4" w:space="0" w:color="auto"/>
            </w:tcBorders>
            <w:shd w:val="clear" w:color="000000" w:fill="F2F2F2"/>
            <w:noWrap/>
            <w:vAlign w:val="center"/>
            <w:hideMark/>
          </w:tcPr>
          <w:p w14:paraId="79C7F50A"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100%</w:t>
            </w:r>
          </w:p>
        </w:tc>
        <w:tc>
          <w:tcPr>
            <w:tcW w:w="391" w:type="pct"/>
            <w:tcBorders>
              <w:top w:val="nil"/>
              <w:left w:val="nil"/>
              <w:bottom w:val="nil"/>
              <w:right w:val="nil"/>
            </w:tcBorders>
            <w:shd w:val="clear" w:color="auto" w:fill="auto"/>
            <w:noWrap/>
            <w:vAlign w:val="center"/>
            <w:hideMark/>
          </w:tcPr>
          <w:p w14:paraId="0710735A"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0%</w:t>
            </w:r>
          </w:p>
        </w:tc>
        <w:tc>
          <w:tcPr>
            <w:tcW w:w="555" w:type="pct"/>
            <w:tcBorders>
              <w:top w:val="nil"/>
              <w:left w:val="nil"/>
              <w:bottom w:val="nil"/>
              <w:right w:val="nil"/>
            </w:tcBorders>
            <w:shd w:val="clear" w:color="auto" w:fill="auto"/>
            <w:noWrap/>
            <w:vAlign w:val="center"/>
            <w:hideMark/>
          </w:tcPr>
          <w:p w14:paraId="1D25FAC5"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3%</w:t>
            </w:r>
          </w:p>
        </w:tc>
        <w:tc>
          <w:tcPr>
            <w:tcW w:w="408" w:type="pct"/>
            <w:tcBorders>
              <w:top w:val="nil"/>
              <w:left w:val="nil"/>
              <w:bottom w:val="nil"/>
              <w:right w:val="nil"/>
            </w:tcBorders>
            <w:shd w:val="clear" w:color="auto" w:fill="auto"/>
            <w:noWrap/>
            <w:vAlign w:val="center"/>
            <w:hideMark/>
          </w:tcPr>
          <w:p w14:paraId="55121E73"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63%</w:t>
            </w:r>
          </w:p>
        </w:tc>
        <w:tc>
          <w:tcPr>
            <w:tcW w:w="647" w:type="pct"/>
            <w:tcBorders>
              <w:top w:val="nil"/>
              <w:left w:val="nil"/>
              <w:bottom w:val="nil"/>
              <w:right w:val="nil"/>
            </w:tcBorders>
            <w:shd w:val="clear" w:color="auto" w:fill="auto"/>
            <w:noWrap/>
            <w:vAlign w:val="center"/>
            <w:hideMark/>
          </w:tcPr>
          <w:p w14:paraId="3326F52C"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17%</w:t>
            </w:r>
          </w:p>
        </w:tc>
        <w:tc>
          <w:tcPr>
            <w:tcW w:w="522" w:type="pct"/>
            <w:tcBorders>
              <w:top w:val="nil"/>
              <w:left w:val="nil"/>
              <w:bottom w:val="nil"/>
              <w:right w:val="nil"/>
            </w:tcBorders>
            <w:shd w:val="clear" w:color="000000" w:fill="F2DCDB"/>
            <w:noWrap/>
            <w:vAlign w:val="center"/>
            <w:hideMark/>
          </w:tcPr>
          <w:p w14:paraId="78987930" w14:textId="77777777" w:rsidR="005D38D3" w:rsidRPr="00925C94" w:rsidRDefault="005D38D3" w:rsidP="00A35C25">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83%</w:t>
            </w:r>
          </w:p>
        </w:tc>
        <w:tc>
          <w:tcPr>
            <w:tcW w:w="679" w:type="pct"/>
            <w:tcBorders>
              <w:top w:val="nil"/>
              <w:left w:val="nil"/>
              <w:bottom w:val="nil"/>
              <w:right w:val="single" w:sz="4" w:space="0" w:color="auto"/>
            </w:tcBorders>
            <w:shd w:val="clear" w:color="000000" w:fill="F2DCDB"/>
            <w:noWrap/>
            <w:vAlign w:val="center"/>
            <w:hideMark/>
          </w:tcPr>
          <w:p w14:paraId="0C6E2F56" w14:textId="77777777" w:rsidR="005D38D3" w:rsidRPr="00925C94" w:rsidRDefault="005D38D3" w:rsidP="00A35C25">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17%</w:t>
            </w:r>
          </w:p>
        </w:tc>
      </w:tr>
      <w:tr w:rsidR="005D38D3" w:rsidRPr="00925C94" w14:paraId="04FCCB99" w14:textId="77777777" w:rsidTr="00A35C25">
        <w:trPr>
          <w:trHeight w:val="300"/>
        </w:trPr>
        <w:tc>
          <w:tcPr>
            <w:tcW w:w="1042" w:type="pct"/>
            <w:vMerge w:val="restart"/>
            <w:tcBorders>
              <w:top w:val="nil"/>
              <w:left w:val="single" w:sz="4" w:space="0" w:color="auto"/>
              <w:bottom w:val="nil"/>
              <w:right w:val="nil"/>
            </w:tcBorders>
            <w:shd w:val="clear" w:color="000000" w:fill="F2F2F2"/>
            <w:noWrap/>
            <w:vAlign w:val="center"/>
            <w:hideMark/>
          </w:tcPr>
          <w:p w14:paraId="6B1ED2D3" w14:textId="77777777" w:rsidR="005D38D3" w:rsidRPr="00925C94" w:rsidRDefault="005D38D3" w:rsidP="00A35C25">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Burdekin</w:t>
            </w:r>
          </w:p>
        </w:tc>
        <w:tc>
          <w:tcPr>
            <w:tcW w:w="337" w:type="pct"/>
            <w:tcBorders>
              <w:top w:val="nil"/>
              <w:left w:val="single" w:sz="4" w:space="0" w:color="auto"/>
              <w:bottom w:val="nil"/>
              <w:right w:val="single" w:sz="4" w:space="0" w:color="auto"/>
            </w:tcBorders>
            <w:shd w:val="clear" w:color="000000" w:fill="F2F2F2"/>
            <w:noWrap/>
            <w:vAlign w:val="center"/>
            <w:hideMark/>
          </w:tcPr>
          <w:p w14:paraId="188ADE5E" w14:textId="77777777" w:rsidR="005D38D3" w:rsidRPr="00925C94" w:rsidRDefault="005D38D3" w:rsidP="00A35C25">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area</w:t>
            </w:r>
          </w:p>
        </w:tc>
        <w:tc>
          <w:tcPr>
            <w:tcW w:w="419" w:type="pct"/>
            <w:tcBorders>
              <w:top w:val="nil"/>
              <w:left w:val="nil"/>
              <w:bottom w:val="nil"/>
              <w:right w:val="single" w:sz="4" w:space="0" w:color="auto"/>
            </w:tcBorders>
            <w:shd w:val="clear" w:color="000000" w:fill="F2F2F2"/>
            <w:noWrap/>
            <w:vAlign w:val="center"/>
            <w:hideMark/>
          </w:tcPr>
          <w:p w14:paraId="22817D6A" w14:textId="77777777" w:rsidR="005D38D3" w:rsidRPr="00925C94" w:rsidRDefault="005D38D3" w:rsidP="007754E4">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621</w:t>
            </w:r>
          </w:p>
        </w:tc>
        <w:tc>
          <w:tcPr>
            <w:tcW w:w="391" w:type="pct"/>
            <w:tcBorders>
              <w:top w:val="nil"/>
              <w:left w:val="nil"/>
              <w:bottom w:val="nil"/>
              <w:right w:val="nil"/>
            </w:tcBorders>
            <w:shd w:val="clear" w:color="auto" w:fill="auto"/>
            <w:noWrap/>
            <w:vAlign w:val="center"/>
            <w:hideMark/>
          </w:tcPr>
          <w:p w14:paraId="5CB50700" w14:textId="77777777" w:rsidR="005D38D3" w:rsidRPr="00925C94" w:rsidRDefault="005D38D3" w:rsidP="00B755E6">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1</w:t>
            </w:r>
          </w:p>
        </w:tc>
        <w:tc>
          <w:tcPr>
            <w:tcW w:w="555" w:type="pct"/>
            <w:tcBorders>
              <w:top w:val="nil"/>
              <w:left w:val="nil"/>
              <w:bottom w:val="nil"/>
              <w:right w:val="nil"/>
            </w:tcBorders>
            <w:shd w:val="clear" w:color="auto" w:fill="auto"/>
            <w:noWrap/>
            <w:vAlign w:val="center"/>
            <w:hideMark/>
          </w:tcPr>
          <w:p w14:paraId="27DA6D62" w14:textId="77777777" w:rsidR="005D38D3" w:rsidRPr="00925C94" w:rsidRDefault="005D38D3" w:rsidP="00B755E6">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76</w:t>
            </w:r>
          </w:p>
        </w:tc>
        <w:tc>
          <w:tcPr>
            <w:tcW w:w="408" w:type="pct"/>
            <w:tcBorders>
              <w:top w:val="nil"/>
              <w:left w:val="nil"/>
              <w:bottom w:val="nil"/>
              <w:right w:val="nil"/>
            </w:tcBorders>
            <w:shd w:val="clear" w:color="auto" w:fill="auto"/>
            <w:noWrap/>
            <w:vAlign w:val="center"/>
            <w:hideMark/>
          </w:tcPr>
          <w:p w14:paraId="01A30F0A" w14:textId="77777777" w:rsidR="005D38D3" w:rsidRPr="00925C94" w:rsidRDefault="005D38D3" w:rsidP="00F22F6C">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429</w:t>
            </w:r>
          </w:p>
        </w:tc>
        <w:tc>
          <w:tcPr>
            <w:tcW w:w="647" w:type="pct"/>
            <w:tcBorders>
              <w:top w:val="nil"/>
              <w:left w:val="nil"/>
              <w:bottom w:val="nil"/>
              <w:right w:val="nil"/>
            </w:tcBorders>
            <w:shd w:val="clear" w:color="auto" w:fill="auto"/>
            <w:noWrap/>
            <w:vAlign w:val="center"/>
            <w:hideMark/>
          </w:tcPr>
          <w:p w14:paraId="67849C37" w14:textId="77777777" w:rsidR="005D38D3" w:rsidRPr="00925C94" w:rsidRDefault="005D38D3" w:rsidP="00CF0671">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101</w:t>
            </w:r>
          </w:p>
        </w:tc>
        <w:tc>
          <w:tcPr>
            <w:tcW w:w="522" w:type="pct"/>
            <w:tcBorders>
              <w:top w:val="nil"/>
              <w:left w:val="nil"/>
              <w:bottom w:val="nil"/>
              <w:right w:val="nil"/>
            </w:tcBorders>
            <w:shd w:val="clear" w:color="000000" w:fill="F2DCDB"/>
            <w:noWrap/>
            <w:vAlign w:val="center"/>
            <w:hideMark/>
          </w:tcPr>
          <w:p w14:paraId="6569E2EA" w14:textId="77777777" w:rsidR="005D38D3" w:rsidRPr="00925C94" w:rsidRDefault="005D38D3" w:rsidP="00CF0671">
            <w:pPr>
              <w:spacing w:before="0" w:after="0"/>
              <w:jc w:val="center"/>
              <w:rPr>
                <w:rFonts w:ascii="Calibri" w:hAnsi="Calibri" w:cs="Times New Roman"/>
                <w:b/>
                <w:bCs/>
                <w:sz w:val="20"/>
                <w:szCs w:val="20"/>
              </w:rPr>
            </w:pPr>
            <w:r w:rsidRPr="00925C94">
              <w:rPr>
                <w:rFonts w:ascii="Calibri" w:hAnsi="Calibri" w:cs="Times New Roman"/>
                <w:b/>
                <w:bCs/>
                <w:sz w:val="20"/>
                <w:szCs w:val="20"/>
              </w:rPr>
              <w:t>607</w:t>
            </w:r>
          </w:p>
        </w:tc>
        <w:tc>
          <w:tcPr>
            <w:tcW w:w="679" w:type="pct"/>
            <w:tcBorders>
              <w:top w:val="nil"/>
              <w:left w:val="nil"/>
              <w:bottom w:val="nil"/>
              <w:right w:val="single" w:sz="4" w:space="0" w:color="auto"/>
            </w:tcBorders>
            <w:shd w:val="clear" w:color="000000" w:fill="F2DCDB"/>
            <w:noWrap/>
            <w:vAlign w:val="center"/>
            <w:hideMark/>
          </w:tcPr>
          <w:p w14:paraId="2A3316C2" w14:textId="77777777" w:rsidR="005D38D3" w:rsidRPr="00925C94" w:rsidRDefault="005D38D3" w:rsidP="00CF0671">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15</w:t>
            </w:r>
          </w:p>
        </w:tc>
      </w:tr>
      <w:tr w:rsidR="005D38D3" w:rsidRPr="00925C94" w14:paraId="04B5698B" w14:textId="77777777" w:rsidTr="00A35C25">
        <w:trPr>
          <w:trHeight w:val="300"/>
        </w:trPr>
        <w:tc>
          <w:tcPr>
            <w:tcW w:w="1042" w:type="pct"/>
            <w:vMerge/>
            <w:tcBorders>
              <w:top w:val="nil"/>
              <w:left w:val="single" w:sz="4" w:space="0" w:color="auto"/>
              <w:bottom w:val="nil"/>
              <w:right w:val="nil"/>
            </w:tcBorders>
            <w:vAlign w:val="center"/>
            <w:hideMark/>
          </w:tcPr>
          <w:p w14:paraId="711B6C1E" w14:textId="77777777" w:rsidR="005D38D3" w:rsidRPr="00925C94" w:rsidRDefault="005D38D3" w:rsidP="0065493C">
            <w:pPr>
              <w:spacing w:before="0" w:after="0"/>
              <w:jc w:val="center"/>
              <w:rPr>
                <w:rFonts w:ascii="Calibri" w:hAnsi="Calibri" w:cs="Times New Roman"/>
                <w:b/>
                <w:bCs/>
                <w:color w:val="000000"/>
                <w:sz w:val="20"/>
                <w:szCs w:val="20"/>
              </w:rPr>
            </w:pPr>
          </w:p>
        </w:tc>
        <w:tc>
          <w:tcPr>
            <w:tcW w:w="337" w:type="pct"/>
            <w:tcBorders>
              <w:top w:val="nil"/>
              <w:left w:val="single" w:sz="4" w:space="0" w:color="auto"/>
              <w:bottom w:val="nil"/>
              <w:right w:val="single" w:sz="4" w:space="0" w:color="auto"/>
            </w:tcBorders>
            <w:shd w:val="clear" w:color="000000" w:fill="F2F2F2"/>
            <w:noWrap/>
            <w:vAlign w:val="center"/>
            <w:hideMark/>
          </w:tcPr>
          <w:p w14:paraId="440FBC4D"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w:t>
            </w:r>
          </w:p>
        </w:tc>
        <w:tc>
          <w:tcPr>
            <w:tcW w:w="419" w:type="pct"/>
            <w:tcBorders>
              <w:top w:val="nil"/>
              <w:left w:val="nil"/>
              <w:bottom w:val="nil"/>
              <w:right w:val="single" w:sz="4" w:space="0" w:color="auto"/>
            </w:tcBorders>
            <w:shd w:val="clear" w:color="000000" w:fill="F2F2F2"/>
            <w:noWrap/>
            <w:vAlign w:val="center"/>
            <w:hideMark/>
          </w:tcPr>
          <w:p w14:paraId="2AB7A420"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100%</w:t>
            </w:r>
          </w:p>
        </w:tc>
        <w:tc>
          <w:tcPr>
            <w:tcW w:w="391" w:type="pct"/>
            <w:tcBorders>
              <w:top w:val="nil"/>
              <w:left w:val="nil"/>
              <w:bottom w:val="nil"/>
              <w:right w:val="nil"/>
            </w:tcBorders>
            <w:shd w:val="clear" w:color="auto" w:fill="auto"/>
            <w:noWrap/>
            <w:vAlign w:val="center"/>
            <w:hideMark/>
          </w:tcPr>
          <w:p w14:paraId="62202468"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0%</w:t>
            </w:r>
          </w:p>
        </w:tc>
        <w:tc>
          <w:tcPr>
            <w:tcW w:w="555" w:type="pct"/>
            <w:tcBorders>
              <w:top w:val="nil"/>
              <w:left w:val="nil"/>
              <w:bottom w:val="nil"/>
              <w:right w:val="nil"/>
            </w:tcBorders>
            <w:shd w:val="clear" w:color="auto" w:fill="auto"/>
            <w:noWrap/>
            <w:vAlign w:val="center"/>
            <w:hideMark/>
          </w:tcPr>
          <w:p w14:paraId="0621A03F"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12%</w:t>
            </w:r>
          </w:p>
        </w:tc>
        <w:tc>
          <w:tcPr>
            <w:tcW w:w="408" w:type="pct"/>
            <w:tcBorders>
              <w:top w:val="nil"/>
              <w:left w:val="nil"/>
              <w:bottom w:val="nil"/>
              <w:right w:val="nil"/>
            </w:tcBorders>
            <w:shd w:val="clear" w:color="auto" w:fill="auto"/>
            <w:noWrap/>
            <w:vAlign w:val="center"/>
            <w:hideMark/>
          </w:tcPr>
          <w:p w14:paraId="530D4B08"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69%</w:t>
            </w:r>
          </w:p>
        </w:tc>
        <w:tc>
          <w:tcPr>
            <w:tcW w:w="647" w:type="pct"/>
            <w:tcBorders>
              <w:top w:val="nil"/>
              <w:left w:val="nil"/>
              <w:bottom w:val="nil"/>
              <w:right w:val="nil"/>
            </w:tcBorders>
            <w:shd w:val="clear" w:color="auto" w:fill="auto"/>
            <w:noWrap/>
            <w:vAlign w:val="center"/>
            <w:hideMark/>
          </w:tcPr>
          <w:p w14:paraId="400449F3"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16%</w:t>
            </w:r>
          </w:p>
        </w:tc>
        <w:tc>
          <w:tcPr>
            <w:tcW w:w="522" w:type="pct"/>
            <w:tcBorders>
              <w:top w:val="nil"/>
              <w:left w:val="nil"/>
              <w:bottom w:val="nil"/>
              <w:right w:val="nil"/>
            </w:tcBorders>
            <w:shd w:val="clear" w:color="000000" w:fill="F2DCDB"/>
            <w:noWrap/>
            <w:vAlign w:val="center"/>
            <w:hideMark/>
          </w:tcPr>
          <w:p w14:paraId="7F95B329" w14:textId="77777777" w:rsidR="005D38D3" w:rsidRPr="00925C94" w:rsidRDefault="005D38D3" w:rsidP="00A35C25">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98%</w:t>
            </w:r>
          </w:p>
        </w:tc>
        <w:tc>
          <w:tcPr>
            <w:tcW w:w="679" w:type="pct"/>
            <w:tcBorders>
              <w:top w:val="nil"/>
              <w:left w:val="nil"/>
              <w:bottom w:val="nil"/>
              <w:right w:val="single" w:sz="4" w:space="0" w:color="auto"/>
            </w:tcBorders>
            <w:shd w:val="clear" w:color="000000" w:fill="F2DCDB"/>
            <w:noWrap/>
            <w:vAlign w:val="center"/>
            <w:hideMark/>
          </w:tcPr>
          <w:p w14:paraId="2D071B77" w14:textId="77777777" w:rsidR="005D38D3" w:rsidRPr="00925C94" w:rsidRDefault="005D38D3" w:rsidP="00A35C25">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2%</w:t>
            </w:r>
          </w:p>
        </w:tc>
      </w:tr>
      <w:tr w:rsidR="005D38D3" w:rsidRPr="00925C94" w14:paraId="1DE01585" w14:textId="77777777" w:rsidTr="00A35C25">
        <w:trPr>
          <w:trHeight w:val="300"/>
        </w:trPr>
        <w:tc>
          <w:tcPr>
            <w:tcW w:w="1042" w:type="pct"/>
            <w:vMerge w:val="restart"/>
            <w:tcBorders>
              <w:top w:val="nil"/>
              <w:left w:val="single" w:sz="4" w:space="0" w:color="auto"/>
              <w:bottom w:val="nil"/>
              <w:right w:val="single" w:sz="4" w:space="0" w:color="auto"/>
            </w:tcBorders>
            <w:shd w:val="clear" w:color="000000" w:fill="F2F2F2"/>
            <w:vAlign w:val="center"/>
            <w:hideMark/>
          </w:tcPr>
          <w:p w14:paraId="3E9EADA6" w14:textId="77777777" w:rsidR="005D38D3" w:rsidRPr="00925C94" w:rsidRDefault="005D38D3" w:rsidP="00A35C25">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Mackay-Whitsundays</w:t>
            </w:r>
          </w:p>
        </w:tc>
        <w:tc>
          <w:tcPr>
            <w:tcW w:w="337" w:type="pct"/>
            <w:tcBorders>
              <w:top w:val="nil"/>
              <w:left w:val="nil"/>
              <w:bottom w:val="nil"/>
              <w:right w:val="single" w:sz="4" w:space="0" w:color="auto"/>
            </w:tcBorders>
            <w:shd w:val="clear" w:color="000000" w:fill="F2F2F2"/>
            <w:noWrap/>
            <w:vAlign w:val="center"/>
            <w:hideMark/>
          </w:tcPr>
          <w:p w14:paraId="68787CF6" w14:textId="77777777" w:rsidR="005D38D3" w:rsidRPr="00925C94" w:rsidRDefault="005D38D3" w:rsidP="00A35C25">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area</w:t>
            </w:r>
          </w:p>
        </w:tc>
        <w:tc>
          <w:tcPr>
            <w:tcW w:w="419" w:type="pct"/>
            <w:tcBorders>
              <w:top w:val="nil"/>
              <w:left w:val="nil"/>
              <w:bottom w:val="nil"/>
              <w:right w:val="single" w:sz="4" w:space="0" w:color="auto"/>
            </w:tcBorders>
            <w:shd w:val="clear" w:color="000000" w:fill="F2F2F2"/>
            <w:noWrap/>
            <w:vAlign w:val="center"/>
            <w:hideMark/>
          </w:tcPr>
          <w:p w14:paraId="715EEA64" w14:textId="77777777" w:rsidR="005D38D3" w:rsidRPr="00925C94" w:rsidRDefault="005D38D3" w:rsidP="007754E4">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231</w:t>
            </w:r>
          </w:p>
        </w:tc>
        <w:tc>
          <w:tcPr>
            <w:tcW w:w="391" w:type="pct"/>
            <w:tcBorders>
              <w:top w:val="nil"/>
              <w:left w:val="nil"/>
              <w:bottom w:val="nil"/>
              <w:right w:val="nil"/>
            </w:tcBorders>
            <w:shd w:val="clear" w:color="auto" w:fill="auto"/>
            <w:noWrap/>
            <w:vAlign w:val="center"/>
            <w:hideMark/>
          </w:tcPr>
          <w:p w14:paraId="6152F649" w14:textId="77777777" w:rsidR="005D38D3" w:rsidRPr="00925C94" w:rsidRDefault="005D38D3" w:rsidP="00B755E6">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0</w:t>
            </w:r>
          </w:p>
        </w:tc>
        <w:tc>
          <w:tcPr>
            <w:tcW w:w="555" w:type="pct"/>
            <w:tcBorders>
              <w:top w:val="nil"/>
              <w:left w:val="nil"/>
              <w:bottom w:val="nil"/>
              <w:right w:val="nil"/>
            </w:tcBorders>
            <w:shd w:val="clear" w:color="auto" w:fill="auto"/>
            <w:noWrap/>
            <w:vAlign w:val="center"/>
            <w:hideMark/>
          </w:tcPr>
          <w:p w14:paraId="46BF4761" w14:textId="77777777" w:rsidR="005D38D3" w:rsidRPr="00925C94" w:rsidRDefault="005D38D3" w:rsidP="00B755E6">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5</w:t>
            </w:r>
          </w:p>
        </w:tc>
        <w:tc>
          <w:tcPr>
            <w:tcW w:w="408" w:type="pct"/>
            <w:tcBorders>
              <w:top w:val="nil"/>
              <w:left w:val="nil"/>
              <w:bottom w:val="nil"/>
              <w:right w:val="nil"/>
            </w:tcBorders>
            <w:shd w:val="clear" w:color="auto" w:fill="auto"/>
            <w:noWrap/>
            <w:vAlign w:val="center"/>
            <w:hideMark/>
          </w:tcPr>
          <w:p w14:paraId="33222D8E" w14:textId="77777777" w:rsidR="005D38D3" w:rsidRPr="00925C94" w:rsidRDefault="005D38D3" w:rsidP="00F22F6C">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172</w:t>
            </w:r>
          </w:p>
        </w:tc>
        <w:tc>
          <w:tcPr>
            <w:tcW w:w="647" w:type="pct"/>
            <w:tcBorders>
              <w:top w:val="nil"/>
              <w:left w:val="nil"/>
              <w:bottom w:val="nil"/>
              <w:right w:val="nil"/>
            </w:tcBorders>
            <w:shd w:val="clear" w:color="auto" w:fill="auto"/>
            <w:noWrap/>
            <w:vAlign w:val="center"/>
            <w:hideMark/>
          </w:tcPr>
          <w:p w14:paraId="413A67D8" w14:textId="77777777" w:rsidR="005D38D3" w:rsidRPr="00925C94" w:rsidRDefault="005D38D3" w:rsidP="00CF0671">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34</w:t>
            </w:r>
          </w:p>
        </w:tc>
        <w:tc>
          <w:tcPr>
            <w:tcW w:w="522" w:type="pct"/>
            <w:tcBorders>
              <w:top w:val="nil"/>
              <w:left w:val="nil"/>
              <w:bottom w:val="nil"/>
              <w:right w:val="nil"/>
            </w:tcBorders>
            <w:shd w:val="clear" w:color="000000" w:fill="F2DCDB"/>
            <w:noWrap/>
            <w:vAlign w:val="center"/>
            <w:hideMark/>
          </w:tcPr>
          <w:p w14:paraId="78AE9957" w14:textId="77777777" w:rsidR="005D38D3" w:rsidRPr="00925C94" w:rsidRDefault="005D38D3" w:rsidP="00CF0671">
            <w:pPr>
              <w:spacing w:before="0" w:after="0"/>
              <w:jc w:val="center"/>
              <w:rPr>
                <w:rFonts w:ascii="Calibri" w:hAnsi="Calibri" w:cs="Times New Roman"/>
                <w:b/>
                <w:bCs/>
                <w:sz w:val="20"/>
                <w:szCs w:val="20"/>
              </w:rPr>
            </w:pPr>
            <w:r w:rsidRPr="00925C94">
              <w:rPr>
                <w:rFonts w:ascii="Calibri" w:hAnsi="Calibri" w:cs="Times New Roman"/>
                <w:b/>
                <w:bCs/>
                <w:sz w:val="20"/>
                <w:szCs w:val="20"/>
              </w:rPr>
              <w:t>211</w:t>
            </w:r>
          </w:p>
        </w:tc>
        <w:tc>
          <w:tcPr>
            <w:tcW w:w="679" w:type="pct"/>
            <w:tcBorders>
              <w:top w:val="nil"/>
              <w:left w:val="nil"/>
              <w:bottom w:val="nil"/>
              <w:right w:val="single" w:sz="4" w:space="0" w:color="auto"/>
            </w:tcBorders>
            <w:shd w:val="clear" w:color="000000" w:fill="F2DCDB"/>
            <w:noWrap/>
            <w:vAlign w:val="center"/>
            <w:hideMark/>
          </w:tcPr>
          <w:p w14:paraId="5D3D9092" w14:textId="77777777" w:rsidR="005D38D3" w:rsidRPr="00925C94" w:rsidRDefault="005D38D3" w:rsidP="00CF0671">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19</w:t>
            </w:r>
          </w:p>
        </w:tc>
      </w:tr>
      <w:tr w:rsidR="005D38D3" w:rsidRPr="00925C94" w14:paraId="52EEB2FE" w14:textId="77777777" w:rsidTr="00A35C25">
        <w:trPr>
          <w:trHeight w:val="300"/>
        </w:trPr>
        <w:tc>
          <w:tcPr>
            <w:tcW w:w="1042" w:type="pct"/>
            <w:vMerge/>
            <w:tcBorders>
              <w:top w:val="nil"/>
              <w:left w:val="single" w:sz="4" w:space="0" w:color="auto"/>
              <w:bottom w:val="nil"/>
              <w:right w:val="single" w:sz="4" w:space="0" w:color="auto"/>
            </w:tcBorders>
            <w:vAlign w:val="center"/>
            <w:hideMark/>
          </w:tcPr>
          <w:p w14:paraId="38A6590C" w14:textId="77777777" w:rsidR="005D38D3" w:rsidRPr="00925C94" w:rsidRDefault="005D38D3" w:rsidP="0065493C">
            <w:pPr>
              <w:spacing w:before="0" w:after="0"/>
              <w:jc w:val="center"/>
              <w:rPr>
                <w:rFonts w:ascii="Calibri" w:hAnsi="Calibri" w:cs="Times New Roman"/>
                <w:b/>
                <w:bCs/>
                <w:color w:val="000000"/>
                <w:sz w:val="20"/>
                <w:szCs w:val="20"/>
              </w:rPr>
            </w:pPr>
          </w:p>
        </w:tc>
        <w:tc>
          <w:tcPr>
            <w:tcW w:w="337" w:type="pct"/>
            <w:tcBorders>
              <w:top w:val="nil"/>
              <w:left w:val="nil"/>
              <w:bottom w:val="nil"/>
              <w:right w:val="single" w:sz="4" w:space="0" w:color="auto"/>
            </w:tcBorders>
            <w:shd w:val="clear" w:color="000000" w:fill="F2F2F2"/>
            <w:noWrap/>
            <w:vAlign w:val="center"/>
            <w:hideMark/>
          </w:tcPr>
          <w:p w14:paraId="60B2F102"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w:t>
            </w:r>
          </w:p>
        </w:tc>
        <w:tc>
          <w:tcPr>
            <w:tcW w:w="419" w:type="pct"/>
            <w:tcBorders>
              <w:top w:val="nil"/>
              <w:left w:val="nil"/>
              <w:bottom w:val="nil"/>
              <w:right w:val="single" w:sz="4" w:space="0" w:color="auto"/>
            </w:tcBorders>
            <w:shd w:val="clear" w:color="000000" w:fill="F2F2F2"/>
            <w:noWrap/>
            <w:vAlign w:val="center"/>
            <w:hideMark/>
          </w:tcPr>
          <w:p w14:paraId="4BD4B6C9"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100%</w:t>
            </w:r>
          </w:p>
        </w:tc>
        <w:tc>
          <w:tcPr>
            <w:tcW w:w="391" w:type="pct"/>
            <w:tcBorders>
              <w:top w:val="nil"/>
              <w:left w:val="nil"/>
              <w:bottom w:val="nil"/>
              <w:right w:val="nil"/>
            </w:tcBorders>
            <w:shd w:val="clear" w:color="auto" w:fill="auto"/>
            <w:noWrap/>
            <w:vAlign w:val="center"/>
            <w:hideMark/>
          </w:tcPr>
          <w:p w14:paraId="3A752DCA"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0%</w:t>
            </w:r>
          </w:p>
        </w:tc>
        <w:tc>
          <w:tcPr>
            <w:tcW w:w="555" w:type="pct"/>
            <w:tcBorders>
              <w:top w:val="nil"/>
              <w:left w:val="nil"/>
              <w:bottom w:val="nil"/>
              <w:right w:val="nil"/>
            </w:tcBorders>
            <w:shd w:val="clear" w:color="auto" w:fill="auto"/>
            <w:noWrap/>
            <w:vAlign w:val="center"/>
            <w:hideMark/>
          </w:tcPr>
          <w:p w14:paraId="3C6A6005"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2%</w:t>
            </w:r>
          </w:p>
        </w:tc>
        <w:tc>
          <w:tcPr>
            <w:tcW w:w="408" w:type="pct"/>
            <w:tcBorders>
              <w:top w:val="nil"/>
              <w:left w:val="nil"/>
              <w:bottom w:val="nil"/>
              <w:right w:val="nil"/>
            </w:tcBorders>
            <w:shd w:val="clear" w:color="auto" w:fill="auto"/>
            <w:noWrap/>
            <w:vAlign w:val="center"/>
            <w:hideMark/>
          </w:tcPr>
          <w:p w14:paraId="57F27E26"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75%</w:t>
            </w:r>
          </w:p>
        </w:tc>
        <w:tc>
          <w:tcPr>
            <w:tcW w:w="647" w:type="pct"/>
            <w:tcBorders>
              <w:top w:val="nil"/>
              <w:left w:val="nil"/>
              <w:bottom w:val="nil"/>
              <w:right w:val="nil"/>
            </w:tcBorders>
            <w:shd w:val="clear" w:color="auto" w:fill="auto"/>
            <w:noWrap/>
            <w:vAlign w:val="center"/>
            <w:hideMark/>
          </w:tcPr>
          <w:p w14:paraId="0CDE6BF2"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15%</w:t>
            </w:r>
          </w:p>
        </w:tc>
        <w:tc>
          <w:tcPr>
            <w:tcW w:w="522" w:type="pct"/>
            <w:tcBorders>
              <w:top w:val="nil"/>
              <w:left w:val="nil"/>
              <w:bottom w:val="nil"/>
              <w:right w:val="nil"/>
            </w:tcBorders>
            <w:shd w:val="clear" w:color="000000" w:fill="F2DCDB"/>
            <w:noWrap/>
            <w:vAlign w:val="center"/>
            <w:hideMark/>
          </w:tcPr>
          <w:p w14:paraId="4BDFEB38" w14:textId="77777777" w:rsidR="005D38D3" w:rsidRPr="00925C94" w:rsidRDefault="005D38D3" w:rsidP="00A35C25">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92%</w:t>
            </w:r>
          </w:p>
        </w:tc>
        <w:tc>
          <w:tcPr>
            <w:tcW w:w="679" w:type="pct"/>
            <w:tcBorders>
              <w:top w:val="nil"/>
              <w:left w:val="nil"/>
              <w:bottom w:val="nil"/>
              <w:right w:val="single" w:sz="4" w:space="0" w:color="auto"/>
            </w:tcBorders>
            <w:shd w:val="clear" w:color="000000" w:fill="F2DCDB"/>
            <w:noWrap/>
            <w:vAlign w:val="center"/>
            <w:hideMark/>
          </w:tcPr>
          <w:p w14:paraId="684FA80C" w14:textId="77777777" w:rsidR="005D38D3" w:rsidRPr="00925C94" w:rsidRDefault="005D38D3" w:rsidP="00A35C25">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8%</w:t>
            </w:r>
          </w:p>
        </w:tc>
      </w:tr>
      <w:tr w:rsidR="005D38D3" w:rsidRPr="00925C94" w14:paraId="20016726" w14:textId="77777777" w:rsidTr="00A35C25">
        <w:trPr>
          <w:trHeight w:val="300"/>
        </w:trPr>
        <w:tc>
          <w:tcPr>
            <w:tcW w:w="1042" w:type="pct"/>
            <w:vMerge w:val="restart"/>
            <w:tcBorders>
              <w:top w:val="nil"/>
              <w:left w:val="single" w:sz="4" w:space="0" w:color="auto"/>
              <w:bottom w:val="nil"/>
              <w:right w:val="nil"/>
            </w:tcBorders>
            <w:shd w:val="clear" w:color="000000" w:fill="F2F2F2"/>
            <w:noWrap/>
            <w:vAlign w:val="center"/>
            <w:hideMark/>
          </w:tcPr>
          <w:p w14:paraId="2A55A3ED" w14:textId="77777777" w:rsidR="005D38D3" w:rsidRPr="00925C94" w:rsidRDefault="005D38D3" w:rsidP="00A35C25">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Fitzroy</w:t>
            </w:r>
          </w:p>
        </w:tc>
        <w:tc>
          <w:tcPr>
            <w:tcW w:w="337" w:type="pct"/>
            <w:tcBorders>
              <w:top w:val="nil"/>
              <w:left w:val="single" w:sz="4" w:space="0" w:color="auto"/>
              <w:bottom w:val="nil"/>
              <w:right w:val="single" w:sz="4" w:space="0" w:color="auto"/>
            </w:tcBorders>
            <w:shd w:val="clear" w:color="000000" w:fill="F2F2F2"/>
            <w:noWrap/>
            <w:vAlign w:val="center"/>
            <w:hideMark/>
          </w:tcPr>
          <w:p w14:paraId="327E72EC" w14:textId="77777777" w:rsidR="005D38D3" w:rsidRPr="00925C94" w:rsidRDefault="005D38D3" w:rsidP="00A35C25">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area</w:t>
            </w:r>
          </w:p>
        </w:tc>
        <w:tc>
          <w:tcPr>
            <w:tcW w:w="419" w:type="pct"/>
            <w:tcBorders>
              <w:top w:val="nil"/>
              <w:left w:val="nil"/>
              <w:bottom w:val="nil"/>
              <w:right w:val="single" w:sz="4" w:space="0" w:color="auto"/>
            </w:tcBorders>
            <w:shd w:val="clear" w:color="000000" w:fill="F2F2F2"/>
            <w:noWrap/>
            <w:vAlign w:val="center"/>
            <w:hideMark/>
          </w:tcPr>
          <w:p w14:paraId="380B8793" w14:textId="77777777" w:rsidR="005D38D3" w:rsidRPr="00925C94" w:rsidRDefault="005D38D3" w:rsidP="007754E4">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247</w:t>
            </w:r>
          </w:p>
        </w:tc>
        <w:tc>
          <w:tcPr>
            <w:tcW w:w="391" w:type="pct"/>
            <w:tcBorders>
              <w:top w:val="nil"/>
              <w:left w:val="nil"/>
              <w:bottom w:val="nil"/>
              <w:right w:val="nil"/>
            </w:tcBorders>
            <w:shd w:val="clear" w:color="auto" w:fill="auto"/>
            <w:noWrap/>
            <w:vAlign w:val="center"/>
            <w:hideMark/>
          </w:tcPr>
          <w:p w14:paraId="2D5CE2F4" w14:textId="77777777" w:rsidR="005D38D3" w:rsidRPr="00925C94" w:rsidRDefault="005D38D3" w:rsidP="00B755E6">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0</w:t>
            </w:r>
          </w:p>
        </w:tc>
        <w:tc>
          <w:tcPr>
            <w:tcW w:w="555" w:type="pct"/>
            <w:tcBorders>
              <w:top w:val="nil"/>
              <w:left w:val="nil"/>
              <w:bottom w:val="nil"/>
              <w:right w:val="nil"/>
            </w:tcBorders>
            <w:shd w:val="clear" w:color="auto" w:fill="auto"/>
            <w:noWrap/>
            <w:vAlign w:val="center"/>
            <w:hideMark/>
          </w:tcPr>
          <w:p w14:paraId="5F7B683B" w14:textId="77777777" w:rsidR="005D38D3" w:rsidRPr="00925C94" w:rsidRDefault="005D38D3" w:rsidP="00B755E6">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w:t>
            </w:r>
          </w:p>
        </w:tc>
        <w:tc>
          <w:tcPr>
            <w:tcW w:w="408" w:type="pct"/>
            <w:tcBorders>
              <w:top w:val="nil"/>
              <w:left w:val="nil"/>
              <w:bottom w:val="nil"/>
              <w:right w:val="nil"/>
            </w:tcBorders>
            <w:shd w:val="clear" w:color="auto" w:fill="auto"/>
            <w:noWrap/>
            <w:vAlign w:val="center"/>
            <w:hideMark/>
          </w:tcPr>
          <w:p w14:paraId="1C5A851D" w14:textId="77777777" w:rsidR="005D38D3" w:rsidRPr="00925C94" w:rsidRDefault="005D38D3" w:rsidP="00F22F6C">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139</w:t>
            </w:r>
          </w:p>
        </w:tc>
        <w:tc>
          <w:tcPr>
            <w:tcW w:w="647" w:type="pct"/>
            <w:tcBorders>
              <w:top w:val="nil"/>
              <w:left w:val="nil"/>
              <w:bottom w:val="nil"/>
              <w:right w:val="nil"/>
            </w:tcBorders>
            <w:shd w:val="clear" w:color="auto" w:fill="auto"/>
            <w:noWrap/>
            <w:vAlign w:val="center"/>
            <w:hideMark/>
          </w:tcPr>
          <w:p w14:paraId="57B16FAB" w14:textId="77777777" w:rsidR="005D38D3" w:rsidRPr="00925C94" w:rsidRDefault="005D38D3" w:rsidP="00CF0671">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97</w:t>
            </w:r>
          </w:p>
        </w:tc>
        <w:tc>
          <w:tcPr>
            <w:tcW w:w="522" w:type="pct"/>
            <w:tcBorders>
              <w:top w:val="nil"/>
              <w:left w:val="nil"/>
              <w:bottom w:val="nil"/>
              <w:right w:val="nil"/>
            </w:tcBorders>
            <w:shd w:val="clear" w:color="000000" w:fill="F2DCDB"/>
            <w:noWrap/>
            <w:vAlign w:val="center"/>
            <w:hideMark/>
          </w:tcPr>
          <w:p w14:paraId="4D15CD8F" w14:textId="77777777" w:rsidR="005D38D3" w:rsidRPr="00925C94" w:rsidRDefault="005D38D3" w:rsidP="00CF0671">
            <w:pPr>
              <w:spacing w:before="0" w:after="0"/>
              <w:jc w:val="center"/>
              <w:rPr>
                <w:rFonts w:ascii="Calibri" w:hAnsi="Calibri" w:cs="Times New Roman"/>
                <w:b/>
                <w:bCs/>
                <w:sz w:val="20"/>
                <w:szCs w:val="20"/>
              </w:rPr>
            </w:pPr>
            <w:r w:rsidRPr="00925C94">
              <w:rPr>
                <w:rFonts w:ascii="Calibri" w:hAnsi="Calibri" w:cs="Times New Roman"/>
                <w:b/>
                <w:bCs/>
                <w:sz w:val="20"/>
                <w:szCs w:val="20"/>
              </w:rPr>
              <w:t>238</w:t>
            </w:r>
          </w:p>
        </w:tc>
        <w:tc>
          <w:tcPr>
            <w:tcW w:w="679" w:type="pct"/>
            <w:tcBorders>
              <w:top w:val="nil"/>
              <w:left w:val="nil"/>
              <w:bottom w:val="nil"/>
              <w:right w:val="single" w:sz="4" w:space="0" w:color="auto"/>
            </w:tcBorders>
            <w:shd w:val="clear" w:color="000000" w:fill="F2DCDB"/>
            <w:noWrap/>
            <w:vAlign w:val="center"/>
            <w:hideMark/>
          </w:tcPr>
          <w:p w14:paraId="587BCA01" w14:textId="77777777" w:rsidR="005D38D3" w:rsidRPr="00925C94" w:rsidRDefault="005D38D3" w:rsidP="00CF0671">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9</w:t>
            </w:r>
          </w:p>
        </w:tc>
      </w:tr>
      <w:tr w:rsidR="005D38D3" w:rsidRPr="00925C94" w14:paraId="2E988D7F" w14:textId="77777777" w:rsidTr="00A35C25">
        <w:trPr>
          <w:trHeight w:val="300"/>
        </w:trPr>
        <w:tc>
          <w:tcPr>
            <w:tcW w:w="1042" w:type="pct"/>
            <w:vMerge/>
            <w:tcBorders>
              <w:top w:val="nil"/>
              <w:left w:val="single" w:sz="4" w:space="0" w:color="auto"/>
              <w:bottom w:val="nil"/>
              <w:right w:val="nil"/>
            </w:tcBorders>
            <w:vAlign w:val="center"/>
            <w:hideMark/>
          </w:tcPr>
          <w:p w14:paraId="70DEEE06" w14:textId="77777777" w:rsidR="005D38D3" w:rsidRPr="00925C94" w:rsidRDefault="005D38D3" w:rsidP="0065493C">
            <w:pPr>
              <w:spacing w:before="0" w:after="0"/>
              <w:jc w:val="center"/>
              <w:rPr>
                <w:rFonts w:ascii="Calibri" w:hAnsi="Calibri" w:cs="Times New Roman"/>
                <w:b/>
                <w:bCs/>
                <w:color w:val="000000"/>
                <w:sz w:val="20"/>
                <w:szCs w:val="20"/>
              </w:rPr>
            </w:pPr>
          </w:p>
        </w:tc>
        <w:tc>
          <w:tcPr>
            <w:tcW w:w="337" w:type="pct"/>
            <w:tcBorders>
              <w:top w:val="nil"/>
              <w:left w:val="single" w:sz="4" w:space="0" w:color="auto"/>
              <w:bottom w:val="nil"/>
              <w:right w:val="single" w:sz="4" w:space="0" w:color="auto"/>
            </w:tcBorders>
            <w:shd w:val="clear" w:color="000000" w:fill="F2F2F2"/>
            <w:noWrap/>
            <w:vAlign w:val="center"/>
            <w:hideMark/>
          </w:tcPr>
          <w:p w14:paraId="335E587D"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w:t>
            </w:r>
          </w:p>
        </w:tc>
        <w:tc>
          <w:tcPr>
            <w:tcW w:w="419" w:type="pct"/>
            <w:tcBorders>
              <w:top w:val="nil"/>
              <w:left w:val="nil"/>
              <w:bottom w:val="nil"/>
              <w:right w:val="single" w:sz="4" w:space="0" w:color="auto"/>
            </w:tcBorders>
            <w:shd w:val="clear" w:color="000000" w:fill="F2F2F2"/>
            <w:noWrap/>
            <w:vAlign w:val="center"/>
            <w:hideMark/>
          </w:tcPr>
          <w:p w14:paraId="45757413"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100%</w:t>
            </w:r>
          </w:p>
        </w:tc>
        <w:tc>
          <w:tcPr>
            <w:tcW w:w="391" w:type="pct"/>
            <w:tcBorders>
              <w:top w:val="nil"/>
              <w:left w:val="nil"/>
              <w:bottom w:val="nil"/>
              <w:right w:val="nil"/>
            </w:tcBorders>
            <w:shd w:val="clear" w:color="auto" w:fill="auto"/>
            <w:noWrap/>
            <w:vAlign w:val="center"/>
            <w:hideMark/>
          </w:tcPr>
          <w:p w14:paraId="45F2CD60"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0%</w:t>
            </w:r>
          </w:p>
        </w:tc>
        <w:tc>
          <w:tcPr>
            <w:tcW w:w="555" w:type="pct"/>
            <w:tcBorders>
              <w:top w:val="nil"/>
              <w:left w:val="nil"/>
              <w:bottom w:val="nil"/>
              <w:right w:val="nil"/>
            </w:tcBorders>
            <w:shd w:val="clear" w:color="auto" w:fill="auto"/>
            <w:noWrap/>
            <w:vAlign w:val="center"/>
            <w:hideMark/>
          </w:tcPr>
          <w:p w14:paraId="0EBDB8DD"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w:t>
            </w:r>
          </w:p>
        </w:tc>
        <w:tc>
          <w:tcPr>
            <w:tcW w:w="408" w:type="pct"/>
            <w:tcBorders>
              <w:top w:val="nil"/>
              <w:left w:val="nil"/>
              <w:bottom w:val="nil"/>
              <w:right w:val="nil"/>
            </w:tcBorders>
            <w:shd w:val="clear" w:color="auto" w:fill="auto"/>
            <w:noWrap/>
            <w:vAlign w:val="center"/>
            <w:hideMark/>
          </w:tcPr>
          <w:p w14:paraId="1F69B9B9"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56%</w:t>
            </w:r>
          </w:p>
        </w:tc>
        <w:tc>
          <w:tcPr>
            <w:tcW w:w="647" w:type="pct"/>
            <w:tcBorders>
              <w:top w:val="nil"/>
              <w:left w:val="nil"/>
              <w:bottom w:val="nil"/>
              <w:right w:val="nil"/>
            </w:tcBorders>
            <w:shd w:val="clear" w:color="auto" w:fill="auto"/>
            <w:noWrap/>
            <w:vAlign w:val="center"/>
            <w:hideMark/>
          </w:tcPr>
          <w:p w14:paraId="3606B3F7"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39%</w:t>
            </w:r>
          </w:p>
        </w:tc>
        <w:tc>
          <w:tcPr>
            <w:tcW w:w="522" w:type="pct"/>
            <w:tcBorders>
              <w:top w:val="nil"/>
              <w:left w:val="nil"/>
              <w:bottom w:val="nil"/>
              <w:right w:val="nil"/>
            </w:tcBorders>
            <w:shd w:val="clear" w:color="000000" w:fill="F2DCDB"/>
            <w:noWrap/>
            <w:vAlign w:val="center"/>
            <w:hideMark/>
          </w:tcPr>
          <w:p w14:paraId="3A32E8B1" w14:textId="77777777" w:rsidR="005D38D3" w:rsidRPr="00925C94" w:rsidRDefault="005D38D3" w:rsidP="00A35C25">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96%</w:t>
            </w:r>
          </w:p>
        </w:tc>
        <w:tc>
          <w:tcPr>
            <w:tcW w:w="679" w:type="pct"/>
            <w:tcBorders>
              <w:top w:val="nil"/>
              <w:left w:val="nil"/>
              <w:bottom w:val="nil"/>
              <w:right w:val="single" w:sz="4" w:space="0" w:color="auto"/>
            </w:tcBorders>
            <w:shd w:val="clear" w:color="000000" w:fill="F2DCDB"/>
            <w:noWrap/>
            <w:vAlign w:val="center"/>
            <w:hideMark/>
          </w:tcPr>
          <w:p w14:paraId="4E159F99" w14:textId="77777777" w:rsidR="005D38D3" w:rsidRPr="00925C94" w:rsidRDefault="005D38D3" w:rsidP="00A35C25">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4%</w:t>
            </w:r>
          </w:p>
        </w:tc>
      </w:tr>
      <w:tr w:rsidR="005D38D3" w:rsidRPr="00925C94" w14:paraId="6FF1D662" w14:textId="77777777" w:rsidTr="00A35C25">
        <w:trPr>
          <w:trHeight w:val="300"/>
        </w:trPr>
        <w:tc>
          <w:tcPr>
            <w:tcW w:w="1042" w:type="pct"/>
            <w:vMerge w:val="restart"/>
            <w:tcBorders>
              <w:top w:val="nil"/>
              <w:left w:val="single" w:sz="4" w:space="0" w:color="auto"/>
              <w:bottom w:val="single" w:sz="4" w:space="0" w:color="000000"/>
              <w:right w:val="single" w:sz="4" w:space="0" w:color="auto"/>
            </w:tcBorders>
            <w:shd w:val="clear" w:color="000000" w:fill="F2F2F2"/>
            <w:vAlign w:val="center"/>
            <w:hideMark/>
          </w:tcPr>
          <w:p w14:paraId="2D78FD9B" w14:textId="77777777" w:rsidR="005D38D3" w:rsidRPr="00925C94" w:rsidRDefault="005D38D3" w:rsidP="00A35C25">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Burnett-Mary</w:t>
            </w:r>
          </w:p>
        </w:tc>
        <w:tc>
          <w:tcPr>
            <w:tcW w:w="337" w:type="pct"/>
            <w:tcBorders>
              <w:top w:val="nil"/>
              <w:left w:val="nil"/>
              <w:bottom w:val="nil"/>
              <w:right w:val="single" w:sz="4" w:space="0" w:color="auto"/>
            </w:tcBorders>
            <w:shd w:val="clear" w:color="000000" w:fill="F2F2F2"/>
            <w:noWrap/>
            <w:vAlign w:val="center"/>
            <w:hideMark/>
          </w:tcPr>
          <w:p w14:paraId="15A5ED31" w14:textId="77777777" w:rsidR="005D38D3" w:rsidRPr="00925C94" w:rsidRDefault="005D38D3" w:rsidP="00A35C25">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area</w:t>
            </w:r>
          </w:p>
        </w:tc>
        <w:tc>
          <w:tcPr>
            <w:tcW w:w="419" w:type="pct"/>
            <w:tcBorders>
              <w:top w:val="nil"/>
              <w:left w:val="nil"/>
              <w:bottom w:val="nil"/>
              <w:right w:val="single" w:sz="4" w:space="0" w:color="auto"/>
            </w:tcBorders>
            <w:shd w:val="clear" w:color="000000" w:fill="F2F2F2"/>
            <w:noWrap/>
            <w:vAlign w:val="center"/>
            <w:hideMark/>
          </w:tcPr>
          <w:p w14:paraId="19892807" w14:textId="77777777" w:rsidR="005D38D3" w:rsidRPr="00925C94" w:rsidRDefault="005D38D3" w:rsidP="007754E4">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74</w:t>
            </w:r>
          </w:p>
        </w:tc>
        <w:tc>
          <w:tcPr>
            <w:tcW w:w="391" w:type="pct"/>
            <w:tcBorders>
              <w:top w:val="nil"/>
              <w:left w:val="nil"/>
              <w:bottom w:val="nil"/>
              <w:right w:val="nil"/>
            </w:tcBorders>
            <w:shd w:val="clear" w:color="auto" w:fill="auto"/>
            <w:noWrap/>
            <w:vAlign w:val="center"/>
            <w:hideMark/>
          </w:tcPr>
          <w:p w14:paraId="3DD14300" w14:textId="77777777" w:rsidR="005D38D3" w:rsidRPr="00925C94" w:rsidRDefault="005D38D3" w:rsidP="00B755E6">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0</w:t>
            </w:r>
          </w:p>
        </w:tc>
        <w:tc>
          <w:tcPr>
            <w:tcW w:w="555" w:type="pct"/>
            <w:tcBorders>
              <w:top w:val="nil"/>
              <w:left w:val="nil"/>
              <w:bottom w:val="nil"/>
              <w:right w:val="nil"/>
            </w:tcBorders>
            <w:shd w:val="clear" w:color="auto" w:fill="auto"/>
            <w:noWrap/>
            <w:vAlign w:val="center"/>
            <w:hideMark/>
          </w:tcPr>
          <w:p w14:paraId="20042228" w14:textId="77777777" w:rsidR="005D38D3" w:rsidRPr="00925C94" w:rsidRDefault="005D38D3" w:rsidP="00B755E6">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0</w:t>
            </w:r>
          </w:p>
        </w:tc>
        <w:tc>
          <w:tcPr>
            <w:tcW w:w="408" w:type="pct"/>
            <w:tcBorders>
              <w:top w:val="nil"/>
              <w:left w:val="nil"/>
              <w:bottom w:val="nil"/>
              <w:right w:val="nil"/>
            </w:tcBorders>
            <w:shd w:val="clear" w:color="auto" w:fill="auto"/>
            <w:noWrap/>
            <w:vAlign w:val="center"/>
            <w:hideMark/>
          </w:tcPr>
          <w:p w14:paraId="599F1320" w14:textId="77777777" w:rsidR="005D38D3" w:rsidRPr="00925C94" w:rsidRDefault="005D38D3" w:rsidP="00F22F6C">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43</w:t>
            </w:r>
          </w:p>
        </w:tc>
        <w:tc>
          <w:tcPr>
            <w:tcW w:w="647" w:type="pct"/>
            <w:tcBorders>
              <w:top w:val="nil"/>
              <w:left w:val="nil"/>
              <w:bottom w:val="nil"/>
              <w:right w:val="nil"/>
            </w:tcBorders>
            <w:shd w:val="clear" w:color="auto" w:fill="auto"/>
            <w:noWrap/>
            <w:vAlign w:val="center"/>
            <w:hideMark/>
          </w:tcPr>
          <w:p w14:paraId="46AD8E1D" w14:textId="77777777" w:rsidR="005D38D3" w:rsidRPr="00925C94" w:rsidRDefault="005D38D3" w:rsidP="00CF0671">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21</w:t>
            </w:r>
          </w:p>
        </w:tc>
        <w:tc>
          <w:tcPr>
            <w:tcW w:w="522" w:type="pct"/>
            <w:tcBorders>
              <w:top w:val="nil"/>
              <w:left w:val="nil"/>
              <w:bottom w:val="nil"/>
              <w:right w:val="nil"/>
            </w:tcBorders>
            <w:shd w:val="clear" w:color="000000" w:fill="F2DCDB"/>
            <w:noWrap/>
            <w:vAlign w:val="center"/>
            <w:hideMark/>
          </w:tcPr>
          <w:p w14:paraId="0B31C010" w14:textId="77777777" w:rsidR="005D38D3" w:rsidRPr="00925C94" w:rsidRDefault="005D38D3" w:rsidP="00CF0671">
            <w:pPr>
              <w:spacing w:before="0" w:after="0"/>
              <w:jc w:val="center"/>
              <w:rPr>
                <w:rFonts w:ascii="Calibri" w:hAnsi="Calibri" w:cs="Times New Roman"/>
                <w:b/>
                <w:bCs/>
                <w:sz w:val="20"/>
                <w:szCs w:val="20"/>
              </w:rPr>
            </w:pPr>
            <w:r w:rsidRPr="00925C94">
              <w:rPr>
                <w:rFonts w:ascii="Calibri" w:hAnsi="Calibri" w:cs="Times New Roman"/>
                <w:b/>
                <w:bCs/>
                <w:sz w:val="20"/>
                <w:szCs w:val="20"/>
              </w:rPr>
              <w:t>64</w:t>
            </w:r>
          </w:p>
        </w:tc>
        <w:tc>
          <w:tcPr>
            <w:tcW w:w="679" w:type="pct"/>
            <w:tcBorders>
              <w:top w:val="nil"/>
              <w:left w:val="nil"/>
              <w:bottom w:val="nil"/>
              <w:right w:val="single" w:sz="4" w:space="0" w:color="auto"/>
            </w:tcBorders>
            <w:shd w:val="clear" w:color="000000" w:fill="F2DCDB"/>
            <w:noWrap/>
            <w:vAlign w:val="center"/>
            <w:hideMark/>
          </w:tcPr>
          <w:p w14:paraId="0EA1CAE8" w14:textId="77777777" w:rsidR="005D38D3" w:rsidRPr="00925C94" w:rsidRDefault="005D38D3" w:rsidP="00CF0671">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10</w:t>
            </w:r>
          </w:p>
        </w:tc>
      </w:tr>
      <w:tr w:rsidR="005D38D3" w:rsidRPr="00925C94" w14:paraId="4E7544D6" w14:textId="77777777" w:rsidTr="00A35C25">
        <w:trPr>
          <w:trHeight w:val="300"/>
        </w:trPr>
        <w:tc>
          <w:tcPr>
            <w:tcW w:w="1042" w:type="pct"/>
            <w:vMerge/>
            <w:tcBorders>
              <w:top w:val="nil"/>
              <w:left w:val="single" w:sz="4" w:space="0" w:color="auto"/>
              <w:bottom w:val="single" w:sz="4" w:space="0" w:color="000000"/>
              <w:right w:val="single" w:sz="4" w:space="0" w:color="auto"/>
            </w:tcBorders>
            <w:vAlign w:val="center"/>
            <w:hideMark/>
          </w:tcPr>
          <w:p w14:paraId="2BBA5EF8" w14:textId="77777777" w:rsidR="005D38D3" w:rsidRPr="00925C94" w:rsidRDefault="005D38D3" w:rsidP="0065493C">
            <w:pPr>
              <w:spacing w:before="0" w:after="0"/>
              <w:jc w:val="center"/>
              <w:rPr>
                <w:rFonts w:ascii="Calibri" w:hAnsi="Calibri" w:cs="Times New Roman"/>
                <w:b/>
                <w:bCs/>
                <w:color w:val="000000"/>
                <w:sz w:val="20"/>
                <w:szCs w:val="20"/>
              </w:rPr>
            </w:pPr>
          </w:p>
        </w:tc>
        <w:tc>
          <w:tcPr>
            <w:tcW w:w="337" w:type="pct"/>
            <w:tcBorders>
              <w:top w:val="nil"/>
              <w:left w:val="nil"/>
              <w:bottom w:val="single" w:sz="4" w:space="0" w:color="auto"/>
              <w:right w:val="single" w:sz="4" w:space="0" w:color="auto"/>
            </w:tcBorders>
            <w:shd w:val="clear" w:color="000000" w:fill="F2F2F2"/>
            <w:noWrap/>
            <w:vAlign w:val="center"/>
            <w:hideMark/>
          </w:tcPr>
          <w:p w14:paraId="27DA2331"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w:t>
            </w:r>
          </w:p>
        </w:tc>
        <w:tc>
          <w:tcPr>
            <w:tcW w:w="419" w:type="pct"/>
            <w:tcBorders>
              <w:top w:val="nil"/>
              <w:left w:val="nil"/>
              <w:bottom w:val="single" w:sz="4" w:space="0" w:color="auto"/>
              <w:right w:val="single" w:sz="4" w:space="0" w:color="auto"/>
            </w:tcBorders>
            <w:shd w:val="clear" w:color="000000" w:fill="F2F2F2"/>
            <w:noWrap/>
            <w:vAlign w:val="center"/>
            <w:hideMark/>
          </w:tcPr>
          <w:p w14:paraId="7684D322"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100%</w:t>
            </w:r>
          </w:p>
        </w:tc>
        <w:tc>
          <w:tcPr>
            <w:tcW w:w="391" w:type="pct"/>
            <w:tcBorders>
              <w:top w:val="nil"/>
              <w:left w:val="nil"/>
              <w:bottom w:val="single" w:sz="4" w:space="0" w:color="auto"/>
              <w:right w:val="nil"/>
            </w:tcBorders>
            <w:shd w:val="clear" w:color="auto" w:fill="auto"/>
            <w:noWrap/>
            <w:vAlign w:val="center"/>
            <w:hideMark/>
          </w:tcPr>
          <w:p w14:paraId="60A4B25D"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0%</w:t>
            </w:r>
          </w:p>
        </w:tc>
        <w:tc>
          <w:tcPr>
            <w:tcW w:w="555" w:type="pct"/>
            <w:tcBorders>
              <w:top w:val="nil"/>
              <w:left w:val="nil"/>
              <w:bottom w:val="single" w:sz="4" w:space="0" w:color="auto"/>
              <w:right w:val="nil"/>
            </w:tcBorders>
            <w:shd w:val="clear" w:color="auto" w:fill="auto"/>
            <w:noWrap/>
            <w:vAlign w:val="center"/>
            <w:hideMark/>
          </w:tcPr>
          <w:p w14:paraId="295B9319"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0%</w:t>
            </w:r>
          </w:p>
        </w:tc>
        <w:tc>
          <w:tcPr>
            <w:tcW w:w="408" w:type="pct"/>
            <w:tcBorders>
              <w:top w:val="nil"/>
              <w:left w:val="nil"/>
              <w:bottom w:val="single" w:sz="4" w:space="0" w:color="auto"/>
              <w:right w:val="nil"/>
            </w:tcBorders>
            <w:shd w:val="clear" w:color="auto" w:fill="auto"/>
            <w:noWrap/>
            <w:vAlign w:val="center"/>
            <w:hideMark/>
          </w:tcPr>
          <w:p w14:paraId="3926DC7B"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58%</w:t>
            </w:r>
          </w:p>
        </w:tc>
        <w:tc>
          <w:tcPr>
            <w:tcW w:w="647" w:type="pct"/>
            <w:tcBorders>
              <w:top w:val="nil"/>
              <w:left w:val="nil"/>
              <w:bottom w:val="single" w:sz="4" w:space="0" w:color="auto"/>
              <w:right w:val="nil"/>
            </w:tcBorders>
            <w:shd w:val="clear" w:color="auto" w:fill="auto"/>
            <w:noWrap/>
            <w:vAlign w:val="center"/>
            <w:hideMark/>
          </w:tcPr>
          <w:p w14:paraId="22E52F94"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29%</w:t>
            </w:r>
          </w:p>
        </w:tc>
        <w:tc>
          <w:tcPr>
            <w:tcW w:w="522" w:type="pct"/>
            <w:tcBorders>
              <w:top w:val="nil"/>
              <w:left w:val="nil"/>
              <w:bottom w:val="single" w:sz="4" w:space="0" w:color="auto"/>
              <w:right w:val="nil"/>
            </w:tcBorders>
            <w:shd w:val="clear" w:color="000000" w:fill="F2DCDB"/>
            <w:noWrap/>
            <w:vAlign w:val="center"/>
            <w:hideMark/>
          </w:tcPr>
          <w:p w14:paraId="4D5F12E3" w14:textId="77777777" w:rsidR="005D38D3" w:rsidRPr="00925C94" w:rsidRDefault="005D38D3" w:rsidP="00A35C25">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87%</w:t>
            </w:r>
          </w:p>
        </w:tc>
        <w:tc>
          <w:tcPr>
            <w:tcW w:w="679" w:type="pct"/>
            <w:tcBorders>
              <w:top w:val="nil"/>
              <w:left w:val="nil"/>
              <w:bottom w:val="single" w:sz="4" w:space="0" w:color="auto"/>
              <w:right w:val="single" w:sz="4" w:space="0" w:color="auto"/>
            </w:tcBorders>
            <w:shd w:val="clear" w:color="000000" w:fill="F2DCDB"/>
            <w:noWrap/>
            <w:vAlign w:val="center"/>
            <w:hideMark/>
          </w:tcPr>
          <w:p w14:paraId="53646B4D" w14:textId="77777777" w:rsidR="005D38D3" w:rsidRPr="00925C94" w:rsidRDefault="005D38D3" w:rsidP="00A35C25">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13%</w:t>
            </w:r>
          </w:p>
        </w:tc>
      </w:tr>
      <w:tr w:rsidR="005D38D3" w:rsidRPr="00925C94" w14:paraId="342A3290" w14:textId="77777777" w:rsidTr="00A35C25">
        <w:trPr>
          <w:trHeight w:val="300"/>
        </w:trPr>
        <w:tc>
          <w:tcPr>
            <w:tcW w:w="1042" w:type="pct"/>
            <w:tcBorders>
              <w:top w:val="nil"/>
              <w:left w:val="nil"/>
              <w:bottom w:val="nil"/>
              <w:right w:val="nil"/>
            </w:tcBorders>
            <w:shd w:val="clear" w:color="auto" w:fill="auto"/>
            <w:noWrap/>
            <w:vAlign w:val="center"/>
            <w:hideMark/>
          </w:tcPr>
          <w:p w14:paraId="03DE93BF" w14:textId="77777777" w:rsidR="005D38D3" w:rsidRPr="00925C94" w:rsidRDefault="005D38D3" w:rsidP="00A35C25">
            <w:pPr>
              <w:spacing w:before="0" w:after="0"/>
              <w:jc w:val="center"/>
              <w:rPr>
                <w:rFonts w:ascii="Calibri" w:hAnsi="Calibri" w:cs="Times New Roman"/>
                <w:color w:val="000000"/>
                <w:sz w:val="20"/>
                <w:szCs w:val="20"/>
              </w:rPr>
            </w:pPr>
          </w:p>
          <w:p w14:paraId="0CD6BD3D" w14:textId="77777777" w:rsidR="003A69C4" w:rsidRPr="00925C94" w:rsidRDefault="003A69C4" w:rsidP="00A35C25">
            <w:pPr>
              <w:spacing w:before="0" w:after="0"/>
              <w:jc w:val="center"/>
              <w:rPr>
                <w:rFonts w:ascii="Calibri" w:hAnsi="Calibri" w:cs="Times New Roman"/>
                <w:color w:val="000000"/>
                <w:sz w:val="20"/>
                <w:szCs w:val="20"/>
              </w:rPr>
            </w:pPr>
          </w:p>
          <w:p w14:paraId="25267F24" w14:textId="37060AA7" w:rsidR="003A69C4" w:rsidRDefault="003A69C4" w:rsidP="00A35C25">
            <w:pPr>
              <w:spacing w:before="0" w:after="0"/>
              <w:jc w:val="center"/>
              <w:rPr>
                <w:rFonts w:ascii="Calibri" w:hAnsi="Calibri" w:cs="Times New Roman"/>
                <w:color w:val="000000"/>
                <w:sz w:val="20"/>
                <w:szCs w:val="20"/>
              </w:rPr>
            </w:pPr>
          </w:p>
          <w:p w14:paraId="7DD38341" w14:textId="2AD6256C" w:rsidR="00F532DE" w:rsidRDefault="00F532DE" w:rsidP="00A35C25">
            <w:pPr>
              <w:spacing w:before="0" w:after="0"/>
              <w:jc w:val="center"/>
              <w:rPr>
                <w:rFonts w:ascii="Calibri" w:hAnsi="Calibri" w:cs="Times New Roman"/>
                <w:color w:val="000000"/>
                <w:sz w:val="20"/>
                <w:szCs w:val="20"/>
              </w:rPr>
            </w:pPr>
          </w:p>
          <w:p w14:paraId="7466774D" w14:textId="774465DD" w:rsidR="00F532DE" w:rsidRDefault="00F532DE" w:rsidP="00A35C25">
            <w:pPr>
              <w:spacing w:before="0" w:after="0"/>
              <w:jc w:val="center"/>
              <w:rPr>
                <w:rFonts w:ascii="Calibri" w:hAnsi="Calibri" w:cs="Times New Roman"/>
                <w:color w:val="000000"/>
                <w:sz w:val="20"/>
                <w:szCs w:val="20"/>
              </w:rPr>
            </w:pPr>
          </w:p>
          <w:p w14:paraId="1604D8A2" w14:textId="23D5B4DA" w:rsidR="00F532DE" w:rsidRDefault="00F532DE" w:rsidP="00A35C25">
            <w:pPr>
              <w:spacing w:before="0" w:after="0"/>
              <w:jc w:val="center"/>
              <w:rPr>
                <w:rFonts w:ascii="Calibri" w:hAnsi="Calibri" w:cs="Times New Roman"/>
                <w:color w:val="000000"/>
                <w:sz w:val="20"/>
                <w:szCs w:val="20"/>
              </w:rPr>
            </w:pPr>
          </w:p>
          <w:p w14:paraId="5887DCF8" w14:textId="3C3F4CBF" w:rsidR="00F532DE" w:rsidRDefault="00F532DE" w:rsidP="00A35C25">
            <w:pPr>
              <w:spacing w:before="0" w:after="0"/>
              <w:jc w:val="center"/>
              <w:rPr>
                <w:rFonts w:ascii="Calibri" w:hAnsi="Calibri" w:cs="Times New Roman"/>
                <w:color w:val="000000"/>
                <w:sz w:val="20"/>
                <w:szCs w:val="20"/>
              </w:rPr>
            </w:pPr>
          </w:p>
          <w:p w14:paraId="63700B55" w14:textId="77777777" w:rsidR="00F532DE" w:rsidRPr="00925C94" w:rsidRDefault="00F532DE" w:rsidP="00A35C25">
            <w:pPr>
              <w:spacing w:before="0" w:after="0"/>
              <w:jc w:val="center"/>
              <w:rPr>
                <w:rFonts w:ascii="Calibri" w:hAnsi="Calibri" w:cs="Times New Roman"/>
                <w:color w:val="000000"/>
                <w:sz w:val="20"/>
                <w:szCs w:val="20"/>
              </w:rPr>
            </w:pPr>
          </w:p>
          <w:p w14:paraId="0CCFD2BB" w14:textId="77777777" w:rsidR="003A69C4" w:rsidRPr="00925C94" w:rsidRDefault="003A69C4" w:rsidP="00A35C25">
            <w:pPr>
              <w:spacing w:before="0" w:after="0"/>
              <w:jc w:val="center"/>
              <w:rPr>
                <w:rFonts w:ascii="Calibri" w:hAnsi="Calibri" w:cs="Times New Roman"/>
                <w:color w:val="000000"/>
                <w:sz w:val="20"/>
                <w:szCs w:val="20"/>
              </w:rPr>
            </w:pPr>
          </w:p>
          <w:p w14:paraId="302A0513" w14:textId="77777777" w:rsidR="003A69C4" w:rsidRPr="00925C94" w:rsidRDefault="003A69C4" w:rsidP="008C3B95">
            <w:pPr>
              <w:spacing w:before="0" w:after="0"/>
              <w:jc w:val="center"/>
              <w:rPr>
                <w:rFonts w:ascii="Calibri" w:hAnsi="Calibri" w:cs="Times New Roman"/>
                <w:color w:val="000000"/>
                <w:sz w:val="20"/>
                <w:szCs w:val="20"/>
              </w:rPr>
            </w:pPr>
          </w:p>
        </w:tc>
        <w:tc>
          <w:tcPr>
            <w:tcW w:w="337" w:type="pct"/>
            <w:tcBorders>
              <w:top w:val="nil"/>
              <w:left w:val="nil"/>
              <w:bottom w:val="nil"/>
              <w:right w:val="nil"/>
            </w:tcBorders>
            <w:shd w:val="clear" w:color="auto" w:fill="auto"/>
            <w:noWrap/>
            <w:vAlign w:val="center"/>
            <w:hideMark/>
          </w:tcPr>
          <w:p w14:paraId="57118550" w14:textId="77777777" w:rsidR="005D38D3" w:rsidRPr="00925C94" w:rsidRDefault="005D38D3" w:rsidP="00A35C25">
            <w:pPr>
              <w:spacing w:before="0" w:after="0"/>
              <w:jc w:val="center"/>
              <w:rPr>
                <w:rFonts w:ascii="Calibri" w:hAnsi="Calibri" w:cs="Times New Roman"/>
                <w:color w:val="000000"/>
                <w:sz w:val="20"/>
                <w:szCs w:val="20"/>
              </w:rPr>
            </w:pPr>
          </w:p>
        </w:tc>
        <w:tc>
          <w:tcPr>
            <w:tcW w:w="419" w:type="pct"/>
            <w:tcBorders>
              <w:top w:val="nil"/>
              <w:left w:val="nil"/>
              <w:bottom w:val="nil"/>
              <w:right w:val="nil"/>
            </w:tcBorders>
            <w:shd w:val="clear" w:color="auto" w:fill="auto"/>
            <w:noWrap/>
            <w:vAlign w:val="center"/>
            <w:hideMark/>
          </w:tcPr>
          <w:p w14:paraId="56343EFA" w14:textId="77777777" w:rsidR="005D38D3" w:rsidRPr="00925C94" w:rsidRDefault="005D38D3" w:rsidP="007754E4">
            <w:pPr>
              <w:spacing w:before="0" w:after="0"/>
              <w:jc w:val="center"/>
              <w:rPr>
                <w:rFonts w:ascii="Calibri" w:hAnsi="Calibri" w:cs="Times New Roman"/>
                <w:color w:val="000000"/>
                <w:sz w:val="20"/>
                <w:szCs w:val="20"/>
              </w:rPr>
            </w:pPr>
          </w:p>
        </w:tc>
        <w:tc>
          <w:tcPr>
            <w:tcW w:w="391" w:type="pct"/>
            <w:tcBorders>
              <w:top w:val="nil"/>
              <w:left w:val="nil"/>
              <w:bottom w:val="nil"/>
              <w:right w:val="nil"/>
            </w:tcBorders>
            <w:shd w:val="clear" w:color="auto" w:fill="auto"/>
            <w:noWrap/>
            <w:vAlign w:val="center"/>
            <w:hideMark/>
          </w:tcPr>
          <w:p w14:paraId="2D60F2C2" w14:textId="77777777" w:rsidR="005D38D3" w:rsidRPr="00925C94" w:rsidRDefault="005D38D3" w:rsidP="00B755E6">
            <w:pPr>
              <w:spacing w:before="0" w:after="0"/>
              <w:jc w:val="center"/>
              <w:rPr>
                <w:rFonts w:ascii="Calibri" w:hAnsi="Calibri" w:cs="Times New Roman"/>
                <w:color w:val="000000"/>
                <w:sz w:val="20"/>
                <w:szCs w:val="20"/>
              </w:rPr>
            </w:pPr>
          </w:p>
        </w:tc>
        <w:tc>
          <w:tcPr>
            <w:tcW w:w="555" w:type="pct"/>
            <w:tcBorders>
              <w:top w:val="nil"/>
              <w:left w:val="nil"/>
              <w:bottom w:val="nil"/>
              <w:right w:val="nil"/>
            </w:tcBorders>
            <w:shd w:val="clear" w:color="auto" w:fill="auto"/>
            <w:noWrap/>
            <w:vAlign w:val="center"/>
            <w:hideMark/>
          </w:tcPr>
          <w:p w14:paraId="7B4DD291" w14:textId="77777777" w:rsidR="005D38D3" w:rsidRPr="00925C94" w:rsidRDefault="005D38D3" w:rsidP="00B755E6">
            <w:pPr>
              <w:spacing w:before="0" w:after="0"/>
              <w:jc w:val="center"/>
              <w:rPr>
                <w:rFonts w:ascii="Calibri" w:hAnsi="Calibri" w:cs="Times New Roman"/>
                <w:color w:val="000000"/>
                <w:sz w:val="20"/>
                <w:szCs w:val="20"/>
              </w:rPr>
            </w:pPr>
          </w:p>
        </w:tc>
        <w:tc>
          <w:tcPr>
            <w:tcW w:w="408" w:type="pct"/>
            <w:tcBorders>
              <w:top w:val="nil"/>
              <w:left w:val="nil"/>
              <w:bottom w:val="nil"/>
              <w:right w:val="nil"/>
            </w:tcBorders>
            <w:shd w:val="clear" w:color="auto" w:fill="auto"/>
            <w:noWrap/>
            <w:vAlign w:val="center"/>
            <w:hideMark/>
          </w:tcPr>
          <w:p w14:paraId="7393F990" w14:textId="77777777" w:rsidR="005D38D3" w:rsidRPr="00925C94" w:rsidRDefault="005D38D3" w:rsidP="00F22F6C">
            <w:pPr>
              <w:spacing w:before="0" w:after="0"/>
              <w:jc w:val="center"/>
              <w:rPr>
                <w:rFonts w:ascii="Calibri" w:hAnsi="Calibri" w:cs="Times New Roman"/>
                <w:color w:val="000000"/>
                <w:sz w:val="20"/>
                <w:szCs w:val="20"/>
              </w:rPr>
            </w:pPr>
          </w:p>
        </w:tc>
        <w:tc>
          <w:tcPr>
            <w:tcW w:w="647" w:type="pct"/>
            <w:tcBorders>
              <w:top w:val="nil"/>
              <w:left w:val="nil"/>
              <w:bottom w:val="nil"/>
              <w:right w:val="nil"/>
            </w:tcBorders>
            <w:shd w:val="clear" w:color="auto" w:fill="auto"/>
            <w:noWrap/>
            <w:vAlign w:val="center"/>
            <w:hideMark/>
          </w:tcPr>
          <w:p w14:paraId="0ED9F0F1" w14:textId="77777777" w:rsidR="005D38D3" w:rsidRPr="00925C94" w:rsidRDefault="005D38D3" w:rsidP="00CF0671">
            <w:pPr>
              <w:spacing w:before="0" w:after="0"/>
              <w:jc w:val="center"/>
              <w:rPr>
                <w:rFonts w:ascii="Calibri" w:hAnsi="Calibri" w:cs="Times New Roman"/>
                <w:color w:val="000000"/>
                <w:sz w:val="20"/>
                <w:szCs w:val="20"/>
              </w:rPr>
            </w:pPr>
          </w:p>
        </w:tc>
        <w:tc>
          <w:tcPr>
            <w:tcW w:w="522" w:type="pct"/>
            <w:tcBorders>
              <w:top w:val="nil"/>
              <w:left w:val="nil"/>
              <w:bottom w:val="nil"/>
              <w:right w:val="nil"/>
            </w:tcBorders>
            <w:shd w:val="clear" w:color="auto" w:fill="auto"/>
            <w:noWrap/>
            <w:vAlign w:val="center"/>
            <w:hideMark/>
          </w:tcPr>
          <w:p w14:paraId="59FD091E" w14:textId="77777777" w:rsidR="005D38D3" w:rsidRPr="00925C94" w:rsidRDefault="005D38D3" w:rsidP="00CF0671">
            <w:pPr>
              <w:spacing w:before="0" w:after="0"/>
              <w:jc w:val="center"/>
              <w:rPr>
                <w:rFonts w:ascii="Calibri" w:hAnsi="Calibri" w:cs="Times New Roman"/>
                <w:color w:val="000000"/>
                <w:sz w:val="20"/>
                <w:szCs w:val="20"/>
              </w:rPr>
            </w:pPr>
          </w:p>
        </w:tc>
        <w:tc>
          <w:tcPr>
            <w:tcW w:w="679" w:type="pct"/>
            <w:tcBorders>
              <w:top w:val="nil"/>
              <w:left w:val="nil"/>
              <w:bottom w:val="nil"/>
              <w:right w:val="nil"/>
            </w:tcBorders>
            <w:shd w:val="clear" w:color="auto" w:fill="auto"/>
            <w:noWrap/>
            <w:vAlign w:val="center"/>
            <w:hideMark/>
          </w:tcPr>
          <w:p w14:paraId="5B53AD3F" w14:textId="77777777" w:rsidR="005D38D3" w:rsidRPr="00925C94" w:rsidRDefault="005D38D3" w:rsidP="00CF0671">
            <w:pPr>
              <w:spacing w:before="0" w:after="0"/>
              <w:jc w:val="center"/>
              <w:rPr>
                <w:rFonts w:ascii="Calibri" w:hAnsi="Calibri" w:cs="Times New Roman"/>
                <w:color w:val="000000"/>
                <w:sz w:val="20"/>
                <w:szCs w:val="20"/>
              </w:rPr>
            </w:pPr>
          </w:p>
        </w:tc>
      </w:tr>
      <w:tr w:rsidR="005D38D3" w:rsidRPr="00925C94" w14:paraId="4C6A4ABC" w14:textId="77777777" w:rsidTr="00A35C25">
        <w:trPr>
          <w:trHeight w:val="300"/>
        </w:trPr>
        <w:tc>
          <w:tcPr>
            <w:tcW w:w="1042" w:type="pct"/>
            <w:tcBorders>
              <w:top w:val="nil"/>
              <w:left w:val="nil"/>
              <w:bottom w:val="nil"/>
              <w:right w:val="nil"/>
            </w:tcBorders>
            <w:shd w:val="clear" w:color="auto" w:fill="auto"/>
            <w:noWrap/>
            <w:vAlign w:val="center"/>
            <w:hideMark/>
          </w:tcPr>
          <w:p w14:paraId="51E28EA3" w14:textId="77777777" w:rsidR="005D38D3" w:rsidRPr="00925C94" w:rsidRDefault="005D38D3" w:rsidP="00A35C25">
            <w:pPr>
              <w:spacing w:before="0" w:after="0"/>
              <w:jc w:val="center"/>
              <w:rPr>
                <w:rFonts w:ascii="Calibri" w:hAnsi="Calibri" w:cs="Times New Roman"/>
                <w:color w:val="000000"/>
                <w:sz w:val="20"/>
                <w:szCs w:val="20"/>
              </w:rPr>
            </w:pPr>
          </w:p>
        </w:tc>
        <w:tc>
          <w:tcPr>
            <w:tcW w:w="337" w:type="pct"/>
            <w:tcBorders>
              <w:top w:val="nil"/>
              <w:left w:val="nil"/>
              <w:bottom w:val="nil"/>
              <w:right w:val="nil"/>
            </w:tcBorders>
            <w:shd w:val="clear" w:color="auto" w:fill="auto"/>
            <w:noWrap/>
            <w:vAlign w:val="center"/>
            <w:hideMark/>
          </w:tcPr>
          <w:p w14:paraId="7B86D243" w14:textId="77777777" w:rsidR="005D38D3" w:rsidRPr="00925C94" w:rsidRDefault="005D38D3" w:rsidP="00A35C25">
            <w:pPr>
              <w:spacing w:before="0" w:after="0"/>
              <w:jc w:val="center"/>
              <w:rPr>
                <w:rFonts w:ascii="Calibri" w:hAnsi="Calibri" w:cs="Times New Roman"/>
                <w:color w:val="000000"/>
                <w:sz w:val="20"/>
                <w:szCs w:val="20"/>
              </w:rPr>
            </w:pPr>
          </w:p>
        </w:tc>
        <w:tc>
          <w:tcPr>
            <w:tcW w:w="419" w:type="pct"/>
            <w:tcBorders>
              <w:top w:val="nil"/>
              <w:left w:val="nil"/>
              <w:bottom w:val="nil"/>
              <w:right w:val="nil"/>
            </w:tcBorders>
            <w:shd w:val="clear" w:color="auto" w:fill="auto"/>
            <w:noWrap/>
            <w:vAlign w:val="center"/>
            <w:hideMark/>
          </w:tcPr>
          <w:p w14:paraId="7E3D4661" w14:textId="77777777" w:rsidR="005D38D3" w:rsidRPr="00925C94" w:rsidRDefault="005D38D3" w:rsidP="007754E4">
            <w:pPr>
              <w:spacing w:before="0" w:after="0"/>
              <w:jc w:val="center"/>
              <w:rPr>
                <w:rFonts w:ascii="Calibri" w:hAnsi="Calibri" w:cs="Times New Roman"/>
                <w:color w:val="000000"/>
                <w:sz w:val="20"/>
                <w:szCs w:val="20"/>
              </w:rPr>
            </w:pPr>
          </w:p>
        </w:tc>
        <w:tc>
          <w:tcPr>
            <w:tcW w:w="2001" w:type="pct"/>
            <w:gridSpan w:val="4"/>
            <w:tcBorders>
              <w:top w:val="single" w:sz="4" w:space="0" w:color="auto"/>
              <w:left w:val="single" w:sz="4" w:space="0" w:color="auto"/>
              <w:bottom w:val="single" w:sz="4" w:space="0" w:color="auto"/>
              <w:right w:val="nil"/>
            </w:tcBorders>
            <w:shd w:val="clear" w:color="000000" w:fill="F2F2F2"/>
            <w:noWrap/>
            <w:vAlign w:val="center"/>
            <w:hideMark/>
          </w:tcPr>
          <w:p w14:paraId="0FC1E2C3" w14:textId="77777777" w:rsidR="005D38D3" w:rsidRPr="00925C94" w:rsidRDefault="005D38D3" w:rsidP="00B755E6">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Risk category</w:t>
            </w:r>
          </w:p>
        </w:tc>
        <w:tc>
          <w:tcPr>
            <w:tcW w:w="522" w:type="pct"/>
            <w:vMerge w:val="restart"/>
            <w:tcBorders>
              <w:top w:val="single" w:sz="4" w:space="0" w:color="auto"/>
              <w:left w:val="nil"/>
              <w:bottom w:val="single" w:sz="4" w:space="0" w:color="000000"/>
              <w:right w:val="nil"/>
            </w:tcBorders>
            <w:shd w:val="clear" w:color="000000" w:fill="F2DCDB"/>
            <w:vAlign w:val="center"/>
            <w:hideMark/>
          </w:tcPr>
          <w:p w14:paraId="1C251F7E" w14:textId="77777777" w:rsidR="005D38D3" w:rsidRPr="00925C94" w:rsidRDefault="005D38D3" w:rsidP="00B755E6">
            <w:pPr>
              <w:spacing w:before="0" w:after="0"/>
              <w:jc w:val="center"/>
              <w:rPr>
                <w:rFonts w:ascii="Calibri" w:hAnsi="Calibri" w:cs="Times New Roman"/>
                <w:b/>
                <w:bCs/>
                <w:sz w:val="20"/>
                <w:szCs w:val="20"/>
              </w:rPr>
            </w:pPr>
            <w:r w:rsidRPr="00925C94">
              <w:rPr>
                <w:sz w:val="20"/>
                <w:szCs w:val="20"/>
              </w:rPr>
              <w:t>TOT exposed</w:t>
            </w:r>
          </w:p>
        </w:tc>
        <w:tc>
          <w:tcPr>
            <w:tcW w:w="679" w:type="pct"/>
            <w:vMerge w:val="restart"/>
            <w:tcBorders>
              <w:top w:val="single" w:sz="4" w:space="0" w:color="auto"/>
              <w:left w:val="nil"/>
              <w:bottom w:val="single" w:sz="4" w:space="0" w:color="000000"/>
              <w:right w:val="single" w:sz="4" w:space="0" w:color="auto"/>
            </w:tcBorders>
            <w:shd w:val="clear" w:color="000000" w:fill="F2DCDB"/>
            <w:vAlign w:val="center"/>
            <w:hideMark/>
          </w:tcPr>
          <w:p w14:paraId="5735F7A5" w14:textId="77777777" w:rsidR="005D38D3" w:rsidRPr="00925C94" w:rsidRDefault="005D38D3" w:rsidP="00F22F6C">
            <w:pPr>
              <w:spacing w:before="0" w:after="0"/>
              <w:jc w:val="center"/>
              <w:rPr>
                <w:rFonts w:ascii="Calibri" w:hAnsi="Calibri" w:cs="Times New Roman"/>
                <w:b/>
                <w:bCs/>
                <w:sz w:val="20"/>
                <w:szCs w:val="20"/>
              </w:rPr>
            </w:pPr>
            <w:r w:rsidRPr="00925C94">
              <w:rPr>
                <w:sz w:val="20"/>
                <w:szCs w:val="20"/>
              </w:rPr>
              <w:t>TOT non exposed</w:t>
            </w:r>
          </w:p>
        </w:tc>
      </w:tr>
      <w:tr w:rsidR="005D38D3" w:rsidRPr="00925C94" w14:paraId="13A9422F" w14:textId="77777777" w:rsidTr="00A35C25">
        <w:trPr>
          <w:trHeight w:val="300"/>
        </w:trPr>
        <w:tc>
          <w:tcPr>
            <w:tcW w:w="1379" w:type="pct"/>
            <w:gridSpan w:val="2"/>
            <w:tcBorders>
              <w:top w:val="single" w:sz="4" w:space="0" w:color="auto"/>
              <w:left w:val="single" w:sz="4" w:space="0" w:color="auto"/>
              <w:bottom w:val="single" w:sz="4" w:space="0" w:color="auto"/>
              <w:right w:val="single" w:sz="4" w:space="0" w:color="000000"/>
            </w:tcBorders>
            <w:shd w:val="clear" w:color="000000" w:fill="F2F2F2"/>
            <w:noWrap/>
            <w:vAlign w:val="center"/>
            <w:hideMark/>
          </w:tcPr>
          <w:p w14:paraId="24C1E750" w14:textId="2D02242A" w:rsidR="005D38D3" w:rsidRPr="00925C94" w:rsidRDefault="005D38D3" w:rsidP="00A35C25">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Seagrass deep</w:t>
            </w:r>
            <w:r w:rsidR="007D36C8">
              <w:rPr>
                <w:rFonts w:ascii="Calibri" w:hAnsi="Calibri" w:cs="Times New Roman"/>
                <w:b/>
                <w:bCs/>
                <w:color w:val="000000"/>
                <w:sz w:val="20"/>
                <w:szCs w:val="20"/>
              </w:rPr>
              <w:t>water modelled</w:t>
            </w:r>
          </w:p>
        </w:tc>
        <w:tc>
          <w:tcPr>
            <w:tcW w:w="419" w:type="pct"/>
            <w:tcBorders>
              <w:top w:val="single" w:sz="4" w:space="0" w:color="auto"/>
              <w:left w:val="nil"/>
              <w:bottom w:val="nil"/>
              <w:right w:val="single" w:sz="4" w:space="0" w:color="auto"/>
            </w:tcBorders>
            <w:shd w:val="clear" w:color="000000" w:fill="F2F2F2"/>
            <w:noWrap/>
            <w:vAlign w:val="center"/>
            <w:hideMark/>
          </w:tcPr>
          <w:p w14:paraId="3DD3B9CF" w14:textId="77777777" w:rsidR="005D38D3" w:rsidRPr="00925C94" w:rsidRDefault="005D38D3" w:rsidP="00A35C25">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Tot</w:t>
            </w:r>
          </w:p>
        </w:tc>
        <w:tc>
          <w:tcPr>
            <w:tcW w:w="391" w:type="pct"/>
            <w:tcBorders>
              <w:top w:val="nil"/>
              <w:left w:val="nil"/>
              <w:bottom w:val="nil"/>
              <w:right w:val="nil"/>
            </w:tcBorders>
            <w:shd w:val="clear" w:color="000000" w:fill="0070C0"/>
            <w:noWrap/>
            <w:vAlign w:val="center"/>
            <w:hideMark/>
          </w:tcPr>
          <w:p w14:paraId="7E8C1A8E" w14:textId="77777777" w:rsidR="005D38D3" w:rsidRPr="00925C94" w:rsidRDefault="005D38D3" w:rsidP="007754E4">
            <w:pPr>
              <w:spacing w:before="0" w:after="0"/>
              <w:jc w:val="center"/>
              <w:rPr>
                <w:rFonts w:ascii="Calibri" w:hAnsi="Calibri" w:cs="Times New Roman"/>
                <w:b/>
                <w:bCs/>
                <w:color w:val="FFFFFF"/>
                <w:sz w:val="20"/>
                <w:szCs w:val="20"/>
              </w:rPr>
            </w:pPr>
            <w:r w:rsidRPr="00925C94">
              <w:rPr>
                <w:rFonts w:ascii="Calibri" w:hAnsi="Calibri" w:cs="Times New Roman"/>
                <w:b/>
                <w:bCs/>
                <w:color w:val="FFFFFF"/>
                <w:sz w:val="20"/>
                <w:szCs w:val="20"/>
              </w:rPr>
              <w:t>I</w:t>
            </w:r>
          </w:p>
        </w:tc>
        <w:tc>
          <w:tcPr>
            <w:tcW w:w="555" w:type="pct"/>
            <w:tcBorders>
              <w:top w:val="nil"/>
              <w:left w:val="nil"/>
              <w:bottom w:val="nil"/>
              <w:right w:val="nil"/>
            </w:tcBorders>
            <w:shd w:val="clear" w:color="000000" w:fill="00B050"/>
            <w:noWrap/>
            <w:vAlign w:val="center"/>
            <w:hideMark/>
          </w:tcPr>
          <w:p w14:paraId="5FE3AA0D" w14:textId="77777777" w:rsidR="005D38D3" w:rsidRPr="00925C94" w:rsidRDefault="005D38D3" w:rsidP="00B755E6">
            <w:pPr>
              <w:spacing w:before="0" w:after="0"/>
              <w:jc w:val="center"/>
              <w:rPr>
                <w:rFonts w:ascii="Calibri" w:hAnsi="Calibri" w:cs="Times New Roman"/>
                <w:b/>
                <w:bCs/>
                <w:color w:val="FFFFFF"/>
                <w:sz w:val="20"/>
                <w:szCs w:val="20"/>
              </w:rPr>
            </w:pPr>
            <w:r w:rsidRPr="00925C94">
              <w:rPr>
                <w:rFonts w:ascii="Calibri" w:hAnsi="Calibri" w:cs="Times New Roman"/>
                <w:b/>
                <w:bCs/>
                <w:color w:val="FFFFFF"/>
                <w:sz w:val="20"/>
                <w:szCs w:val="20"/>
              </w:rPr>
              <w:t>II</w:t>
            </w:r>
          </w:p>
        </w:tc>
        <w:tc>
          <w:tcPr>
            <w:tcW w:w="408" w:type="pct"/>
            <w:tcBorders>
              <w:top w:val="nil"/>
              <w:left w:val="nil"/>
              <w:bottom w:val="nil"/>
              <w:right w:val="nil"/>
            </w:tcBorders>
            <w:shd w:val="clear" w:color="000000" w:fill="FF0000"/>
            <w:noWrap/>
            <w:vAlign w:val="center"/>
            <w:hideMark/>
          </w:tcPr>
          <w:p w14:paraId="3BFFA74A" w14:textId="77777777" w:rsidR="005D38D3" w:rsidRPr="00925C94" w:rsidRDefault="005D38D3" w:rsidP="00B755E6">
            <w:pPr>
              <w:spacing w:before="0" w:after="0"/>
              <w:jc w:val="center"/>
              <w:rPr>
                <w:rFonts w:ascii="Calibri" w:hAnsi="Calibri" w:cs="Times New Roman"/>
                <w:b/>
                <w:bCs/>
                <w:color w:val="FFFFFF"/>
                <w:sz w:val="20"/>
                <w:szCs w:val="20"/>
              </w:rPr>
            </w:pPr>
            <w:r w:rsidRPr="00925C94">
              <w:rPr>
                <w:rFonts w:ascii="Calibri" w:hAnsi="Calibri" w:cs="Times New Roman"/>
                <w:b/>
                <w:bCs/>
                <w:color w:val="FFFFFF"/>
                <w:sz w:val="20"/>
                <w:szCs w:val="20"/>
              </w:rPr>
              <w:t>III</w:t>
            </w:r>
          </w:p>
        </w:tc>
        <w:tc>
          <w:tcPr>
            <w:tcW w:w="647" w:type="pct"/>
            <w:tcBorders>
              <w:top w:val="nil"/>
              <w:left w:val="nil"/>
              <w:bottom w:val="nil"/>
              <w:right w:val="nil"/>
            </w:tcBorders>
            <w:shd w:val="clear" w:color="000000" w:fill="C00000"/>
            <w:noWrap/>
            <w:vAlign w:val="center"/>
            <w:hideMark/>
          </w:tcPr>
          <w:p w14:paraId="59C1914E" w14:textId="77777777" w:rsidR="005D38D3" w:rsidRPr="00925C94" w:rsidRDefault="005D38D3" w:rsidP="00F22F6C">
            <w:pPr>
              <w:spacing w:before="0" w:after="0"/>
              <w:jc w:val="center"/>
              <w:rPr>
                <w:rFonts w:ascii="Calibri" w:hAnsi="Calibri" w:cs="Times New Roman"/>
                <w:b/>
                <w:bCs/>
                <w:color w:val="FFFFFF"/>
                <w:sz w:val="20"/>
                <w:szCs w:val="20"/>
              </w:rPr>
            </w:pPr>
            <w:r w:rsidRPr="00925C94">
              <w:rPr>
                <w:rFonts w:ascii="Calibri" w:hAnsi="Calibri" w:cs="Times New Roman"/>
                <w:b/>
                <w:bCs/>
                <w:color w:val="FFFFFF"/>
                <w:sz w:val="20"/>
                <w:szCs w:val="20"/>
              </w:rPr>
              <w:t>IV</w:t>
            </w:r>
          </w:p>
        </w:tc>
        <w:tc>
          <w:tcPr>
            <w:tcW w:w="522" w:type="pct"/>
            <w:vMerge/>
            <w:tcBorders>
              <w:top w:val="single" w:sz="4" w:space="0" w:color="auto"/>
              <w:left w:val="nil"/>
              <w:bottom w:val="single" w:sz="4" w:space="0" w:color="000000"/>
              <w:right w:val="nil"/>
            </w:tcBorders>
            <w:vAlign w:val="center"/>
            <w:hideMark/>
          </w:tcPr>
          <w:p w14:paraId="71F04BDA" w14:textId="77777777" w:rsidR="005D38D3" w:rsidRPr="00925C94" w:rsidRDefault="005D38D3" w:rsidP="0065493C">
            <w:pPr>
              <w:spacing w:before="0" w:after="0"/>
              <w:jc w:val="center"/>
              <w:rPr>
                <w:rFonts w:ascii="Calibri" w:hAnsi="Calibri" w:cs="Times New Roman"/>
                <w:b/>
                <w:bCs/>
                <w:sz w:val="20"/>
                <w:szCs w:val="20"/>
              </w:rPr>
            </w:pPr>
          </w:p>
        </w:tc>
        <w:tc>
          <w:tcPr>
            <w:tcW w:w="679" w:type="pct"/>
            <w:vMerge/>
            <w:tcBorders>
              <w:top w:val="single" w:sz="4" w:space="0" w:color="auto"/>
              <w:left w:val="nil"/>
              <w:bottom w:val="single" w:sz="4" w:space="0" w:color="000000"/>
              <w:right w:val="single" w:sz="4" w:space="0" w:color="auto"/>
            </w:tcBorders>
            <w:vAlign w:val="center"/>
            <w:hideMark/>
          </w:tcPr>
          <w:p w14:paraId="2A9AE754" w14:textId="77777777" w:rsidR="005D38D3" w:rsidRPr="00925C94" w:rsidRDefault="005D38D3" w:rsidP="0065493C">
            <w:pPr>
              <w:spacing w:before="0" w:after="0"/>
              <w:jc w:val="center"/>
              <w:rPr>
                <w:rFonts w:ascii="Calibri" w:hAnsi="Calibri" w:cs="Times New Roman"/>
                <w:b/>
                <w:bCs/>
                <w:sz w:val="20"/>
                <w:szCs w:val="20"/>
              </w:rPr>
            </w:pPr>
          </w:p>
        </w:tc>
      </w:tr>
      <w:tr w:rsidR="005D38D3" w:rsidRPr="00925C94" w14:paraId="59168E73" w14:textId="77777777" w:rsidTr="00A35C25">
        <w:trPr>
          <w:trHeight w:val="300"/>
        </w:trPr>
        <w:tc>
          <w:tcPr>
            <w:tcW w:w="1042" w:type="pct"/>
            <w:vMerge w:val="restart"/>
            <w:tcBorders>
              <w:top w:val="single" w:sz="4" w:space="0" w:color="auto"/>
              <w:left w:val="single" w:sz="4" w:space="0" w:color="auto"/>
              <w:bottom w:val="double" w:sz="6" w:space="0" w:color="000000"/>
              <w:right w:val="nil"/>
            </w:tcBorders>
            <w:shd w:val="clear" w:color="000000" w:fill="F2F2F2"/>
            <w:noWrap/>
            <w:vAlign w:val="center"/>
            <w:hideMark/>
          </w:tcPr>
          <w:p w14:paraId="5F5CAF2F" w14:textId="77777777" w:rsidR="005D38D3" w:rsidRPr="00925C94" w:rsidRDefault="005D38D3" w:rsidP="00A35C25">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GBR</w:t>
            </w:r>
          </w:p>
        </w:tc>
        <w:tc>
          <w:tcPr>
            <w:tcW w:w="337" w:type="pct"/>
            <w:tcBorders>
              <w:top w:val="single" w:sz="4" w:space="0" w:color="auto"/>
              <w:left w:val="single" w:sz="4" w:space="0" w:color="auto"/>
              <w:bottom w:val="nil"/>
              <w:right w:val="single" w:sz="4" w:space="0" w:color="auto"/>
            </w:tcBorders>
            <w:shd w:val="clear" w:color="000000" w:fill="F2F2F2"/>
            <w:noWrap/>
            <w:vAlign w:val="center"/>
            <w:hideMark/>
          </w:tcPr>
          <w:p w14:paraId="01B97B10" w14:textId="77777777" w:rsidR="005D38D3" w:rsidRPr="00925C94" w:rsidRDefault="005D38D3" w:rsidP="00A35C25">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area</w:t>
            </w:r>
          </w:p>
        </w:tc>
        <w:tc>
          <w:tcPr>
            <w:tcW w:w="419" w:type="pct"/>
            <w:tcBorders>
              <w:top w:val="single" w:sz="4" w:space="0" w:color="auto"/>
              <w:left w:val="nil"/>
              <w:bottom w:val="nil"/>
              <w:right w:val="single" w:sz="4" w:space="0" w:color="auto"/>
            </w:tcBorders>
            <w:shd w:val="clear" w:color="000000" w:fill="F2F2F2"/>
            <w:noWrap/>
            <w:vAlign w:val="center"/>
            <w:hideMark/>
          </w:tcPr>
          <w:p w14:paraId="43B2D840" w14:textId="77777777" w:rsidR="005D38D3" w:rsidRPr="00925C94" w:rsidRDefault="005D38D3" w:rsidP="007754E4">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31632</w:t>
            </w:r>
          </w:p>
        </w:tc>
        <w:tc>
          <w:tcPr>
            <w:tcW w:w="391" w:type="pct"/>
            <w:tcBorders>
              <w:top w:val="single" w:sz="4" w:space="0" w:color="auto"/>
              <w:left w:val="nil"/>
              <w:right w:val="nil"/>
            </w:tcBorders>
            <w:shd w:val="clear" w:color="auto" w:fill="auto"/>
            <w:noWrap/>
            <w:vAlign w:val="center"/>
            <w:hideMark/>
          </w:tcPr>
          <w:p w14:paraId="3F1ED503" w14:textId="77777777" w:rsidR="005D38D3" w:rsidRPr="00925C94" w:rsidRDefault="005D38D3" w:rsidP="00B755E6">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15</w:t>
            </w:r>
            <w:r w:rsidR="006B0C6A" w:rsidRPr="00925C94">
              <w:rPr>
                <w:rFonts w:ascii="Calibri" w:hAnsi="Calibri" w:cs="Times New Roman"/>
                <w:b/>
                <w:bCs/>
                <w:color w:val="000000"/>
                <w:sz w:val="20"/>
                <w:szCs w:val="20"/>
              </w:rPr>
              <w:t>,</w:t>
            </w:r>
            <w:r w:rsidRPr="00925C94">
              <w:rPr>
                <w:rFonts w:ascii="Calibri" w:hAnsi="Calibri" w:cs="Times New Roman"/>
                <w:b/>
                <w:bCs/>
                <w:color w:val="000000"/>
                <w:sz w:val="20"/>
                <w:szCs w:val="20"/>
              </w:rPr>
              <w:t>013</w:t>
            </w:r>
          </w:p>
        </w:tc>
        <w:tc>
          <w:tcPr>
            <w:tcW w:w="555" w:type="pct"/>
            <w:tcBorders>
              <w:top w:val="single" w:sz="4" w:space="0" w:color="auto"/>
              <w:left w:val="nil"/>
              <w:right w:val="nil"/>
            </w:tcBorders>
            <w:shd w:val="clear" w:color="auto" w:fill="auto"/>
            <w:noWrap/>
            <w:vAlign w:val="center"/>
            <w:hideMark/>
          </w:tcPr>
          <w:p w14:paraId="1CDEA2B1" w14:textId="77777777" w:rsidR="005D38D3" w:rsidRPr="00925C94" w:rsidRDefault="005D38D3" w:rsidP="00B755E6">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14</w:t>
            </w:r>
            <w:r w:rsidR="006B0C6A" w:rsidRPr="00925C94">
              <w:rPr>
                <w:rFonts w:ascii="Calibri" w:hAnsi="Calibri" w:cs="Times New Roman"/>
                <w:b/>
                <w:bCs/>
                <w:color w:val="000000"/>
                <w:sz w:val="20"/>
                <w:szCs w:val="20"/>
              </w:rPr>
              <w:t>,</w:t>
            </w:r>
            <w:r w:rsidRPr="00925C94">
              <w:rPr>
                <w:rFonts w:ascii="Calibri" w:hAnsi="Calibri" w:cs="Times New Roman"/>
                <w:b/>
                <w:bCs/>
                <w:color w:val="000000"/>
                <w:sz w:val="20"/>
                <w:szCs w:val="20"/>
              </w:rPr>
              <w:t>477</w:t>
            </w:r>
          </w:p>
        </w:tc>
        <w:tc>
          <w:tcPr>
            <w:tcW w:w="408" w:type="pct"/>
            <w:tcBorders>
              <w:top w:val="single" w:sz="4" w:space="0" w:color="auto"/>
              <w:left w:val="nil"/>
              <w:right w:val="nil"/>
            </w:tcBorders>
            <w:shd w:val="clear" w:color="auto" w:fill="auto"/>
            <w:noWrap/>
            <w:vAlign w:val="center"/>
            <w:hideMark/>
          </w:tcPr>
          <w:p w14:paraId="24142889" w14:textId="77777777" w:rsidR="005D38D3" w:rsidRPr="00925C94" w:rsidRDefault="005D38D3" w:rsidP="00F22F6C">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610</w:t>
            </w:r>
          </w:p>
        </w:tc>
        <w:tc>
          <w:tcPr>
            <w:tcW w:w="647" w:type="pct"/>
            <w:tcBorders>
              <w:top w:val="single" w:sz="4" w:space="0" w:color="auto"/>
              <w:left w:val="nil"/>
              <w:right w:val="nil"/>
            </w:tcBorders>
            <w:shd w:val="clear" w:color="auto" w:fill="auto"/>
            <w:noWrap/>
            <w:vAlign w:val="center"/>
            <w:hideMark/>
          </w:tcPr>
          <w:p w14:paraId="3463C724" w14:textId="77777777" w:rsidR="005D38D3" w:rsidRPr="00925C94" w:rsidRDefault="005D38D3" w:rsidP="00CF0671">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0</w:t>
            </w:r>
          </w:p>
        </w:tc>
        <w:tc>
          <w:tcPr>
            <w:tcW w:w="522" w:type="pct"/>
            <w:tcBorders>
              <w:top w:val="nil"/>
              <w:left w:val="nil"/>
              <w:right w:val="nil"/>
            </w:tcBorders>
            <w:shd w:val="clear" w:color="000000" w:fill="F2DCDB"/>
            <w:noWrap/>
            <w:vAlign w:val="center"/>
            <w:hideMark/>
          </w:tcPr>
          <w:p w14:paraId="72DB92D5" w14:textId="77777777" w:rsidR="005D38D3" w:rsidRPr="00925C94" w:rsidRDefault="005D38D3" w:rsidP="00CF0671">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30</w:t>
            </w:r>
            <w:r w:rsidR="006B0C6A" w:rsidRPr="00925C94">
              <w:rPr>
                <w:rFonts w:ascii="Calibri" w:hAnsi="Calibri" w:cs="Times New Roman"/>
                <w:b/>
                <w:bCs/>
                <w:color w:val="000000"/>
                <w:sz w:val="20"/>
                <w:szCs w:val="20"/>
              </w:rPr>
              <w:t>,</w:t>
            </w:r>
            <w:r w:rsidRPr="00925C94">
              <w:rPr>
                <w:rFonts w:ascii="Calibri" w:hAnsi="Calibri" w:cs="Times New Roman"/>
                <w:b/>
                <w:bCs/>
                <w:color w:val="000000"/>
                <w:sz w:val="20"/>
                <w:szCs w:val="20"/>
              </w:rPr>
              <w:t>100</w:t>
            </w:r>
          </w:p>
        </w:tc>
        <w:tc>
          <w:tcPr>
            <w:tcW w:w="679" w:type="pct"/>
            <w:tcBorders>
              <w:top w:val="nil"/>
              <w:left w:val="nil"/>
              <w:right w:val="single" w:sz="4" w:space="0" w:color="auto"/>
            </w:tcBorders>
            <w:shd w:val="clear" w:color="000000" w:fill="F2DCDB"/>
            <w:noWrap/>
            <w:vAlign w:val="center"/>
            <w:hideMark/>
          </w:tcPr>
          <w:p w14:paraId="6C9CDEA7" w14:textId="77777777" w:rsidR="005D38D3" w:rsidRPr="00925C94" w:rsidRDefault="005D38D3" w:rsidP="00CF0671">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1</w:t>
            </w:r>
            <w:r w:rsidR="006B0C6A" w:rsidRPr="00925C94">
              <w:rPr>
                <w:rFonts w:ascii="Calibri" w:hAnsi="Calibri" w:cs="Times New Roman"/>
                <w:b/>
                <w:bCs/>
                <w:color w:val="000000"/>
                <w:sz w:val="20"/>
                <w:szCs w:val="20"/>
              </w:rPr>
              <w:t>,</w:t>
            </w:r>
            <w:r w:rsidRPr="00925C94">
              <w:rPr>
                <w:rFonts w:ascii="Calibri" w:hAnsi="Calibri" w:cs="Times New Roman"/>
                <w:b/>
                <w:bCs/>
                <w:color w:val="000000"/>
                <w:sz w:val="20"/>
                <w:szCs w:val="20"/>
              </w:rPr>
              <w:t>532</w:t>
            </w:r>
          </w:p>
        </w:tc>
      </w:tr>
      <w:tr w:rsidR="005D38D3" w:rsidRPr="00925C94" w14:paraId="3CF85DB7" w14:textId="77777777" w:rsidTr="00A35C25">
        <w:trPr>
          <w:trHeight w:val="315"/>
        </w:trPr>
        <w:tc>
          <w:tcPr>
            <w:tcW w:w="1042" w:type="pct"/>
            <w:vMerge/>
            <w:tcBorders>
              <w:top w:val="single" w:sz="4" w:space="0" w:color="auto"/>
              <w:left w:val="single" w:sz="4" w:space="0" w:color="auto"/>
              <w:bottom w:val="double" w:sz="6" w:space="0" w:color="000000"/>
              <w:right w:val="nil"/>
            </w:tcBorders>
            <w:vAlign w:val="center"/>
            <w:hideMark/>
          </w:tcPr>
          <w:p w14:paraId="5163AD44" w14:textId="77777777" w:rsidR="005D38D3" w:rsidRPr="00925C94" w:rsidRDefault="005D38D3" w:rsidP="0065493C">
            <w:pPr>
              <w:spacing w:before="0" w:after="0"/>
              <w:jc w:val="center"/>
              <w:rPr>
                <w:rFonts w:ascii="Calibri" w:hAnsi="Calibri" w:cs="Times New Roman"/>
                <w:b/>
                <w:bCs/>
                <w:color w:val="000000"/>
                <w:sz w:val="20"/>
                <w:szCs w:val="20"/>
              </w:rPr>
            </w:pPr>
          </w:p>
        </w:tc>
        <w:tc>
          <w:tcPr>
            <w:tcW w:w="337" w:type="pct"/>
            <w:tcBorders>
              <w:top w:val="nil"/>
              <w:left w:val="single" w:sz="4" w:space="0" w:color="auto"/>
              <w:bottom w:val="double" w:sz="6" w:space="0" w:color="auto"/>
              <w:right w:val="single" w:sz="4" w:space="0" w:color="auto"/>
            </w:tcBorders>
            <w:shd w:val="clear" w:color="000000" w:fill="F2F2F2"/>
            <w:noWrap/>
            <w:vAlign w:val="center"/>
            <w:hideMark/>
          </w:tcPr>
          <w:p w14:paraId="77FADB39" w14:textId="77777777" w:rsidR="005D38D3" w:rsidRPr="00925C94" w:rsidRDefault="005D38D3" w:rsidP="00A35C25">
            <w:pPr>
              <w:spacing w:before="0" w:after="0"/>
              <w:jc w:val="center"/>
              <w:rPr>
                <w:rFonts w:ascii="Calibri" w:hAnsi="Calibri" w:cs="Times New Roman"/>
                <w:b/>
                <w:bCs/>
                <w:i/>
                <w:iCs/>
                <w:color w:val="000000"/>
                <w:sz w:val="20"/>
                <w:szCs w:val="20"/>
              </w:rPr>
            </w:pPr>
            <w:r w:rsidRPr="00925C94">
              <w:rPr>
                <w:rFonts w:ascii="Calibri" w:hAnsi="Calibri" w:cs="Times New Roman"/>
                <w:b/>
                <w:bCs/>
                <w:i/>
                <w:iCs/>
                <w:color w:val="000000"/>
                <w:sz w:val="20"/>
                <w:szCs w:val="20"/>
              </w:rPr>
              <w:t>%</w:t>
            </w:r>
          </w:p>
        </w:tc>
        <w:tc>
          <w:tcPr>
            <w:tcW w:w="419" w:type="pct"/>
            <w:tcBorders>
              <w:top w:val="nil"/>
              <w:left w:val="nil"/>
              <w:bottom w:val="double" w:sz="6" w:space="0" w:color="auto"/>
              <w:right w:val="single" w:sz="4" w:space="0" w:color="auto"/>
            </w:tcBorders>
            <w:shd w:val="clear" w:color="000000" w:fill="F2F2F2"/>
            <w:noWrap/>
            <w:vAlign w:val="center"/>
            <w:hideMark/>
          </w:tcPr>
          <w:p w14:paraId="6DB90B85" w14:textId="77777777" w:rsidR="005D38D3" w:rsidRPr="00925C94" w:rsidRDefault="005D38D3" w:rsidP="00A35C25">
            <w:pPr>
              <w:spacing w:before="0" w:after="0"/>
              <w:jc w:val="center"/>
              <w:rPr>
                <w:rFonts w:ascii="Calibri" w:hAnsi="Calibri" w:cs="Times New Roman"/>
                <w:b/>
                <w:bCs/>
                <w:i/>
                <w:iCs/>
                <w:color w:val="000000"/>
                <w:sz w:val="20"/>
                <w:szCs w:val="20"/>
              </w:rPr>
            </w:pPr>
            <w:r w:rsidRPr="00925C94">
              <w:rPr>
                <w:rFonts w:ascii="Calibri" w:hAnsi="Calibri" w:cs="Times New Roman"/>
                <w:b/>
                <w:bCs/>
                <w:i/>
                <w:iCs/>
                <w:color w:val="000000"/>
                <w:sz w:val="20"/>
                <w:szCs w:val="20"/>
              </w:rPr>
              <w:t>100%</w:t>
            </w:r>
          </w:p>
        </w:tc>
        <w:tc>
          <w:tcPr>
            <w:tcW w:w="391" w:type="pct"/>
            <w:tcBorders>
              <w:top w:val="nil"/>
              <w:left w:val="nil"/>
              <w:bottom w:val="double" w:sz="4" w:space="0" w:color="auto"/>
              <w:right w:val="nil"/>
            </w:tcBorders>
            <w:shd w:val="clear" w:color="auto" w:fill="auto"/>
            <w:noWrap/>
            <w:vAlign w:val="center"/>
            <w:hideMark/>
          </w:tcPr>
          <w:p w14:paraId="6EFBEA38"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47%</w:t>
            </w:r>
          </w:p>
        </w:tc>
        <w:tc>
          <w:tcPr>
            <w:tcW w:w="555" w:type="pct"/>
            <w:tcBorders>
              <w:top w:val="nil"/>
              <w:left w:val="nil"/>
              <w:bottom w:val="double" w:sz="4" w:space="0" w:color="auto"/>
              <w:right w:val="nil"/>
            </w:tcBorders>
            <w:shd w:val="clear" w:color="auto" w:fill="auto"/>
            <w:noWrap/>
            <w:vAlign w:val="center"/>
            <w:hideMark/>
          </w:tcPr>
          <w:p w14:paraId="51555EC1"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46%</w:t>
            </w:r>
          </w:p>
        </w:tc>
        <w:tc>
          <w:tcPr>
            <w:tcW w:w="408" w:type="pct"/>
            <w:tcBorders>
              <w:top w:val="nil"/>
              <w:left w:val="nil"/>
              <w:bottom w:val="double" w:sz="4" w:space="0" w:color="auto"/>
              <w:right w:val="nil"/>
            </w:tcBorders>
            <w:shd w:val="clear" w:color="auto" w:fill="auto"/>
            <w:noWrap/>
            <w:vAlign w:val="center"/>
            <w:hideMark/>
          </w:tcPr>
          <w:p w14:paraId="5320E80E"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2%</w:t>
            </w:r>
          </w:p>
        </w:tc>
        <w:tc>
          <w:tcPr>
            <w:tcW w:w="647" w:type="pct"/>
            <w:tcBorders>
              <w:top w:val="nil"/>
              <w:left w:val="nil"/>
              <w:bottom w:val="double" w:sz="4" w:space="0" w:color="auto"/>
              <w:right w:val="nil"/>
            </w:tcBorders>
            <w:shd w:val="clear" w:color="auto" w:fill="auto"/>
            <w:noWrap/>
            <w:vAlign w:val="center"/>
            <w:hideMark/>
          </w:tcPr>
          <w:p w14:paraId="3073480A"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0%</w:t>
            </w:r>
          </w:p>
        </w:tc>
        <w:tc>
          <w:tcPr>
            <w:tcW w:w="522" w:type="pct"/>
            <w:tcBorders>
              <w:top w:val="nil"/>
              <w:left w:val="nil"/>
              <w:bottom w:val="double" w:sz="4" w:space="0" w:color="auto"/>
              <w:right w:val="nil"/>
            </w:tcBorders>
            <w:shd w:val="clear" w:color="000000" w:fill="F2DCDB"/>
            <w:noWrap/>
            <w:vAlign w:val="center"/>
            <w:hideMark/>
          </w:tcPr>
          <w:p w14:paraId="519F7123" w14:textId="77777777" w:rsidR="005D38D3" w:rsidRPr="00925C94" w:rsidRDefault="005D38D3" w:rsidP="00A35C25">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95%</w:t>
            </w:r>
          </w:p>
        </w:tc>
        <w:tc>
          <w:tcPr>
            <w:tcW w:w="679" w:type="pct"/>
            <w:tcBorders>
              <w:top w:val="nil"/>
              <w:left w:val="nil"/>
              <w:bottom w:val="double" w:sz="4" w:space="0" w:color="auto"/>
              <w:right w:val="single" w:sz="4" w:space="0" w:color="auto"/>
            </w:tcBorders>
            <w:shd w:val="clear" w:color="000000" w:fill="F2DCDB"/>
            <w:noWrap/>
            <w:vAlign w:val="center"/>
            <w:hideMark/>
          </w:tcPr>
          <w:p w14:paraId="6CC42CD2" w14:textId="77777777" w:rsidR="005D38D3" w:rsidRPr="00925C94" w:rsidRDefault="005D38D3" w:rsidP="00A35C25">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5%</w:t>
            </w:r>
          </w:p>
        </w:tc>
      </w:tr>
      <w:tr w:rsidR="005D38D3" w:rsidRPr="00925C94" w14:paraId="0F696789" w14:textId="77777777" w:rsidTr="00A35C25">
        <w:trPr>
          <w:trHeight w:val="315"/>
        </w:trPr>
        <w:tc>
          <w:tcPr>
            <w:tcW w:w="1042" w:type="pct"/>
            <w:vMerge w:val="restart"/>
            <w:tcBorders>
              <w:top w:val="nil"/>
              <w:left w:val="single" w:sz="4" w:space="0" w:color="auto"/>
              <w:bottom w:val="nil"/>
              <w:right w:val="single" w:sz="4" w:space="0" w:color="auto"/>
            </w:tcBorders>
            <w:shd w:val="clear" w:color="000000" w:fill="F2F2F2"/>
            <w:vAlign w:val="center"/>
            <w:hideMark/>
          </w:tcPr>
          <w:p w14:paraId="1F2FFED6" w14:textId="77777777" w:rsidR="005D38D3" w:rsidRPr="00925C94" w:rsidRDefault="005D38D3" w:rsidP="00A35C25">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Cape York</w:t>
            </w:r>
          </w:p>
        </w:tc>
        <w:tc>
          <w:tcPr>
            <w:tcW w:w="337" w:type="pct"/>
            <w:tcBorders>
              <w:top w:val="nil"/>
              <w:left w:val="nil"/>
              <w:bottom w:val="nil"/>
              <w:right w:val="single" w:sz="4" w:space="0" w:color="auto"/>
            </w:tcBorders>
            <w:shd w:val="clear" w:color="000000" w:fill="F2F2F2"/>
            <w:noWrap/>
            <w:vAlign w:val="center"/>
            <w:hideMark/>
          </w:tcPr>
          <w:p w14:paraId="0F502AEA" w14:textId="77777777" w:rsidR="005D38D3" w:rsidRPr="00925C94" w:rsidRDefault="005D38D3" w:rsidP="00A35C25">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area</w:t>
            </w:r>
          </w:p>
        </w:tc>
        <w:tc>
          <w:tcPr>
            <w:tcW w:w="419" w:type="pct"/>
            <w:tcBorders>
              <w:top w:val="nil"/>
              <w:left w:val="nil"/>
              <w:bottom w:val="nil"/>
              <w:right w:val="single" w:sz="4" w:space="0" w:color="auto"/>
            </w:tcBorders>
            <w:shd w:val="clear" w:color="000000" w:fill="F2F2F2"/>
            <w:noWrap/>
            <w:vAlign w:val="center"/>
            <w:hideMark/>
          </w:tcPr>
          <w:p w14:paraId="118B1E50" w14:textId="77777777" w:rsidR="005D38D3" w:rsidRPr="00925C94" w:rsidRDefault="005D38D3" w:rsidP="007754E4">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9</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459</w:t>
            </w:r>
          </w:p>
        </w:tc>
        <w:tc>
          <w:tcPr>
            <w:tcW w:w="391" w:type="pct"/>
            <w:tcBorders>
              <w:top w:val="double" w:sz="4" w:space="0" w:color="auto"/>
              <w:left w:val="nil"/>
              <w:bottom w:val="nil"/>
              <w:right w:val="nil"/>
            </w:tcBorders>
            <w:shd w:val="clear" w:color="auto" w:fill="auto"/>
            <w:noWrap/>
            <w:vAlign w:val="center"/>
            <w:hideMark/>
          </w:tcPr>
          <w:p w14:paraId="2116AB98" w14:textId="77777777" w:rsidR="005D38D3" w:rsidRPr="00925C94" w:rsidRDefault="005D38D3" w:rsidP="00B755E6">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1</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980</w:t>
            </w:r>
          </w:p>
        </w:tc>
        <w:tc>
          <w:tcPr>
            <w:tcW w:w="555" w:type="pct"/>
            <w:tcBorders>
              <w:top w:val="double" w:sz="4" w:space="0" w:color="auto"/>
              <w:left w:val="nil"/>
              <w:bottom w:val="nil"/>
              <w:right w:val="nil"/>
            </w:tcBorders>
            <w:shd w:val="clear" w:color="auto" w:fill="auto"/>
            <w:noWrap/>
            <w:vAlign w:val="center"/>
            <w:hideMark/>
          </w:tcPr>
          <w:p w14:paraId="7DC1B976" w14:textId="77777777" w:rsidR="005D38D3" w:rsidRPr="00925C94" w:rsidRDefault="005D38D3" w:rsidP="00B755E6">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7</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213</w:t>
            </w:r>
          </w:p>
        </w:tc>
        <w:tc>
          <w:tcPr>
            <w:tcW w:w="408" w:type="pct"/>
            <w:tcBorders>
              <w:top w:val="double" w:sz="4" w:space="0" w:color="auto"/>
              <w:left w:val="nil"/>
              <w:bottom w:val="nil"/>
              <w:right w:val="nil"/>
            </w:tcBorders>
            <w:shd w:val="clear" w:color="auto" w:fill="auto"/>
            <w:noWrap/>
            <w:vAlign w:val="center"/>
            <w:hideMark/>
          </w:tcPr>
          <w:p w14:paraId="0BF4DC81" w14:textId="77777777" w:rsidR="005D38D3" w:rsidRPr="00925C94" w:rsidRDefault="005D38D3" w:rsidP="00F22F6C">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177</w:t>
            </w:r>
          </w:p>
        </w:tc>
        <w:tc>
          <w:tcPr>
            <w:tcW w:w="647" w:type="pct"/>
            <w:tcBorders>
              <w:top w:val="double" w:sz="4" w:space="0" w:color="auto"/>
              <w:left w:val="nil"/>
              <w:bottom w:val="nil"/>
              <w:right w:val="nil"/>
            </w:tcBorders>
            <w:shd w:val="clear" w:color="auto" w:fill="auto"/>
            <w:noWrap/>
            <w:vAlign w:val="center"/>
            <w:hideMark/>
          </w:tcPr>
          <w:p w14:paraId="4BBC056C" w14:textId="77777777" w:rsidR="005D38D3" w:rsidRPr="00925C94" w:rsidRDefault="005D38D3" w:rsidP="00CF0671">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0</w:t>
            </w:r>
          </w:p>
        </w:tc>
        <w:tc>
          <w:tcPr>
            <w:tcW w:w="522" w:type="pct"/>
            <w:tcBorders>
              <w:top w:val="double" w:sz="4" w:space="0" w:color="auto"/>
              <w:left w:val="nil"/>
              <w:bottom w:val="nil"/>
              <w:right w:val="nil"/>
            </w:tcBorders>
            <w:shd w:val="clear" w:color="000000" w:fill="F2DCDB"/>
            <w:noWrap/>
            <w:vAlign w:val="center"/>
            <w:hideMark/>
          </w:tcPr>
          <w:p w14:paraId="0728E1CB" w14:textId="77777777" w:rsidR="005D38D3" w:rsidRPr="00925C94" w:rsidRDefault="005D38D3" w:rsidP="00CF0671">
            <w:pPr>
              <w:spacing w:before="0" w:after="0"/>
              <w:jc w:val="center"/>
              <w:rPr>
                <w:rFonts w:ascii="Calibri" w:hAnsi="Calibri" w:cs="Times New Roman"/>
                <w:b/>
                <w:bCs/>
                <w:sz w:val="20"/>
                <w:szCs w:val="20"/>
              </w:rPr>
            </w:pPr>
            <w:r w:rsidRPr="00925C94">
              <w:rPr>
                <w:rFonts w:ascii="Calibri" w:hAnsi="Calibri" w:cs="Times New Roman"/>
                <w:b/>
                <w:bCs/>
                <w:sz w:val="20"/>
                <w:szCs w:val="20"/>
              </w:rPr>
              <w:t>9</w:t>
            </w:r>
            <w:r w:rsidR="00CE2946" w:rsidRPr="00925C94">
              <w:rPr>
                <w:rFonts w:ascii="Calibri" w:hAnsi="Calibri" w:cs="Times New Roman"/>
                <w:b/>
                <w:bCs/>
                <w:sz w:val="20"/>
                <w:szCs w:val="20"/>
              </w:rPr>
              <w:t>,</w:t>
            </w:r>
            <w:r w:rsidRPr="00925C94">
              <w:rPr>
                <w:rFonts w:ascii="Calibri" w:hAnsi="Calibri" w:cs="Times New Roman"/>
                <w:b/>
                <w:bCs/>
                <w:sz w:val="20"/>
                <w:szCs w:val="20"/>
              </w:rPr>
              <w:t>370</w:t>
            </w:r>
          </w:p>
        </w:tc>
        <w:tc>
          <w:tcPr>
            <w:tcW w:w="679" w:type="pct"/>
            <w:tcBorders>
              <w:top w:val="double" w:sz="4" w:space="0" w:color="auto"/>
              <w:left w:val="nil"/>
              <w:bottom w:val="nil"/>
              <w:right w:val="single" w:sz="4" w:space="0" w:color="auto"/>
            </w:tcBorders>
            <w:shd w:val="clear" w:color="000000" w:fill="F2DCDB"/>
            <w:noWrap/>
            <w:vAlign w:val="center"/>
            <w:hideMark/>
          </w:tcPr>
          <w:p w14:paraId="466AEF41" w14:textId="77777777" w:rsidR="005D38D3" w:rsidRPr="00925C94" w:rsidRDefault="005D38D3" w:rsidP="00CF0671">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89</w:t>
            </w:r>
          </w:p>
        </w:tc>
      </w:tr>
      <w:tr w:rsidR="005D38D3" w:rsidRPr="00925C94" w14:paraId="66F9812C" w14:textId="77777777" w:rsidTr="00A35C25">
        <w:trPr>
          <w:trHeight w:val="300"/>
        </w:trPr>
        <w:tc>
          <w:tcPr>
            <w:tcW w:w="1042" w:type="pct"/>
            <w:vMerge/>
            <w:tcBorders>
              <w:top w:val="nil"/>
              <w:left w:val="single" w:sz="4" w:space="0" w:color="auto"/>
              <w:bottom w:val="nil"/>
              <w:right w:val="single" w:sz="4" w:space="0" w:color="auto"/>
            </w:tcBorders>
            <w:vAlign w:val="center"/>
            <w:hideMark/>
          </w:tcPr>
          <w:p w14:paraId="59B59ADB" w14:textId="77777777" w:rsidR="005D38D3" w:rsidRPr="00925C94" w:rsidRDefault="005D38D3" w:rsidP="0065493C">
            <w:pPr>
              <w:spacing w:before="0" w:after="0"/>
              <w:jc w:val="center"/>
              <w:rPr>
                <w:rFonts w:ascii="Calibri" w:hAnsi="Calibri" w:cs="Times New Roman"/>
                <w:b/>
                <w:bCs/>
                <w:color w:val="000000"/>
                <w:sz w:val="20"/>
                <w:szCs w:val="20"/>
              </w:rPr>
            </w:pPr>
          </w:p>
        </w:tc>
        <w:tc>
          <w:tcPr>
            <w:tcW w:w="337" w:type="pct"/>
            <w:tcBorders>
              <w:top w:val="nil"/>
              <w:left w:val="nil"/>
              <w:bottom w:val="nil"/>
              <w:right w:val="single" w:sz="4" w:space="0" w:color="auto"/>
            </w:tcBorders>
            <w:shd w:val="clear" w:color="000000" w:fill="F2F2F2"/>
            <w:noWrap/>
            <w:vAlign w:val="center"/>
            <w:hideMark/>
          </w:tcPr>
          <w:p w14:paraId="2702A438"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w:t>
            </w:r>
          </w:p>
        </w:tc>
        <w:tc>
          <w:tcPr>
            <w:tcW w:w="419" w:type="pct"/>
            <w:tcBorders>
              <w:top w:val="nil"/>
              <w:left w:val="nil"/>
              <w:bottom w:val="nil"/>
              <w:right w:val="single" w:sz="4" w:space="0" w:color="auto"/>
            </w:tcBorders>
            <w:shd w:val="clear" w:color="000000" w:fill="F2F2F2"/>
            <w:noWrap/>
            <w:vAlign w:val="center"/>
            <w:hideMark/>
          </w:tcPr>
          <w:p w14:paraId="2B62B7F6"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100%</w:t>
            </w:r>
          </w:p>
        </w:tc>
        <w:tc>
          <w:tcPr>
            <w:tcW w:w="391" w:type="pct"/>
            <w:tcBorders>
              <w:top w:val="nil"/>
              <w:left w:val="nil"/>
              <w:bottom w:val="nil"/>
              <w:right w:val="nil"/>
            </w:tcBorders>
            <w:shd w:val="clear" w:color="auto" w:fill="auto"/>
            <w:noWrap/>
            <w:vAlign w:val="center"/>
            <w:hideMark/>
          </w:tcPr>
          <w:p w14:paraId="05381404"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21%</w:t>
            </w:r>
          </w:p>
        </w:tc>
        <w:tc>
          <w:tcPr>
            <w:tcW w:w="555" w:type="pct"/>
            <w:tcBorders>
              <w:top w:val="nil"/>
              <w:left w:val="nil"/>
              <w:bottom w:val="nil"/>
              <w:right w:val="nil"/>
            </w:tcBorders>
            <w:shd w:val="clear" w:color="auto" w:fill="auto"/>
            <w:noWrap/>
            <w:vAlign w:val="center"/>
            <w:hideMark/>
          </w:tcPr>
          <w:p w14:paraId="5364810B"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76%</w:t>
            </w:r>
          </w:p>
        </w:tc>
        <w:tc>
          <w:tcPr>
            <w:tcW w:w="408" w:type="pct"/>
            <w:tcBorders>
              <w:top w:val="nil"/>
              <w:left w:val="nil"/>
              <w:bottom w:val="nil"/>
              <w:right w:val="nil"/>
            </w:tcBorders>
            <w:shd w:val="clear" w:color="auto" w:fill="auto"/>
            <w:noWrap/>
            <w:vAlign w:val="center"/>
            <w:hideMark/>
          </w:tcPr>
          <w:p w14:paraId="51B7678D"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2%</w:t>
            </w:r>
          </w:p>
        </w:tc>
        <w:tc>
          <w:tcPr>
            <w:tcW w:w="647" w:type="pct"/>
            <w:tcBorders>
              <w:top w:val="nil"/>
              <w:left w:val="nil"/>
              <w:bottom w:val="nil"/>
              <w:right w:val="nil"/>
            </w:tcBorders>
            <w:shd w:val="clear" w:color="auto" w:fill="auto"/>
            <w:noWrap/>
            <w:vAlign w:val="center"/>
            <w:hideMark/>
          </w:tcPr>
          <w:p w14:paraId="040C5CED"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0%</w:t>
            </w:r>
          </w:p>
        </w:tc>
        <w:tc>
          <w:tcPr>
            <w:tcW w:w="522" w:type="pct"/>
            <w:tcBorders>
              <w:top w:val="nil"/>
              <w:left w:val="nil"/>
              <w:bottom w:val="nil"/>
              <w:right w:val="nil"/>
            </w:tcBorders>
            <w:shd w:val="clear" w:color="000000" w:fill="F2DCDB"/>
            <w:noWrap/>
            <w:vAlign w:val="center"/>
            <w:hideMark/>
          </w:tcPr>
          <w:p w14:paraId="69559543" w14:textId="77777777" w:rsidR="005D38D3" w:rsidRPr="00925C94" w:rsidRDefault="005D38D3" w:rsidP="00A35C25">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99%</w:t>
            </w:r>
          </w:p>
        </w:tc>
        <w:tc>
          <w:tcPr>
            <w:tcW w:w="679" w:type="pct"/>
            <w:tcBorders>
              <w:top w:val="nil"/>
              <w:left w:val="nil"/>
              <w:bottom w:val="nil"/>
              <w:right w:val="single" w:sz="4" w:space="0" w:color="auto"/>
            </w:tcBorders>
            <w:shd w:val="clear" w:color="000000" w:fill="F2DCDB"/>
            <w:noWrap/>
            <w:vAlign w:val="center"/>
            <w:hideMark/>
          </w:tcPr>
          <w:p w14:paraId="134C08C7" w14:textId="77777777" w:rsidR="005D38D3" w:rsidRPr="00925C94" w:rsidRDefault="005D38D3" w:rsidP="00A35C25">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1%</w:t>
            </w:r>
          </w:p>
        </w:tc>
      </w:tr>
      <w:tr w:rsidR="005D38D3" w:rsidRPr="00925C94" w14:paraId="7354C61E" w14:textId="77777777" w:rsidTr="00A35C25">
        <w:trPr>
          <w:trHeight w:val="300"/>
        </w:trPr>
        <w:tc>
          <w:tcPr>
            <w:tcW w:w="1042" w:type="pct"/>
            <w:vMerge w:val="restart"/>
            <w:tcBorders>
              <w:top w:val="nil"/>
              <w:left w:val="single" w:sz="4" w:space="0" w:color="auto"/>
              <w:bottom w:val="nil"/>
              <w:right w:val="nil"/>
            </w:tcBorders>
            <w:shd w:val="clear" w:color="000000" w:fill="F2F2F2"/>
            <w:noWrap/>
            <w:vAlign w:val="center"/>
            <w:hideMark/>
          </w:tcPr>
          <w:p w14:paraId="0CDD6EBF" w14:textId="77777777" w:rsidR="005D38D3" w:rsidRPr="00925C94" w:rsidRDefault="005D38D3" w:rsidP="00A35C25">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Wet Tropics</w:t>
            </w:r>
          </w:p>
        </w:tc>
        <w:tc>
          <w:tcPr>
            <w:tcW w:w="337" w:type="pct"/>
            <w:tcBorders>
              <w:top w:val="nil"/>
              <w:left w:val="single" w:sz="4" w:space="0" w:color="auto"/>
              <w:bottom w:val="nil"/>
              <w:right w:val="single" w:sz="4" w:space="0" w:color="auto"/>
            </w:tcBorders>
            <w:shd w:val="clear" w:color="000000" w:fill="F2F2F2"/>
            <w:noWrap/>
            <w:vAlign w:val="center"/>
            <w:hideMark/>
          </w:tcPr>
          <w:p w14:paraId="25EE4F3C" w14:textId="77777777" w:rsidR="005D38D3" w:rsidRPr="00925C94" w:rsidRDefault="005D38D3" w:rsidP="00A35C25">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area</w:t>
            </w:r>
          </w:p>
        </w:tc>
        <w:tc>
          <w:tcPr>
            <w:tcW w:w="419" w:type="pct"/>
            <w:tcBorders>
              <w:top w:val="nil"/>
              <w:left w:val="nil"/>
              <w:bottom w:val="nil"/>
              <w:right w:val="single" w:sz="4" w:space="0" w:color="auto"/>
            </w:tcBorders>
            <w:shd w:val="clear" w:color="000000" w:fill="F2F2F2"/>
            <w:noWrap/>
            <w:vAlign w:val="center"/>
            <w:hideMark/>
          </w:tcPr>
          <w:p w14:paraId="42626CF7" w14:textId="77777777" w:rsidR="005D38D3" w:rsidRPr="00925C94" w:rsidRDefault="005D38D3" w:rsidP="007754E4">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4</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661</w:t>
            </w:r>
          </w:p>
        </w:tc>
        <w:tc>
          <w:tcPr>
            <w:tcW w:w="391" w:type="pct"/>
            <w:tcBorders>
              <w:top w:val="nil"/>
              <w:left w:val="nil"/>
              <w:bottom w:val="nil"/>
              <w:right w:val="nil"/>
            </w:tcBorders>
            <w:shd w:val="clear" w:color="auto" w:fill="auto"/>
            <w:noWrap/>
            <w:vAlign w:val="center"/>
            <w:hideMark/>
          </w:tcPr>
          <w:p w14:paraId="54FB1419" w14:textId="77777777" w:rsidR="005D38D3" w:rsidRPr="00925C94" w:rsidRDefault="005D38D3" w:rsidP="00B755E6">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018</w:t>
            </w:r>
          </w:p>
        </w:tc>
        <w:tc>
          <w:tcPr>
            <w:tcW w:w="555" w:type="pct"/>
            <w:tcBorders>
              <w:top w:val="nil"/>
              <w:left w:val="nil"/>
              <w:bottom w:val="nil"/>
              <w:right w:val="nil"/>
            </w:tcBorders>
            <w:shd w:val="clear" w:color="auto" w:fill="auto"/>
            <w:noWrap/>
            <w:vAlign w:val="center"/>
            <w:hideMark/>
          </w:tcPr>
          <w:p w14:paraId="3F3EF127" w14:textId="77777777" w:rsidR="005D38D3" w:rsidRPr="00925C94" w:rsidRDefault="005D38D3" w:rsidP="00B755E6">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482</w:t>
            </w:r>
          </w:p>
        </w:tc>
        <w:tc>
          <w:tcPr>
            <w:tcW w:w="408" w:type="pct"/>
            <w:tcBorders>
              <w:top w:val="nil"/>
              <w:left w:val="nil"/>
              <w:bottom w:val="nil"/>
              <w:right w:val="nil"/>
            </w:tcBorders>
            <w:shd w:val="clear" w:color="auto" w:fill="auto"/>
            <w:noWrap/>
            <w:vAlign w:val="center"/>
            <w:hideMark/>
          </w:tcPr>
          <w:p w14:paraId="6CB6387C" w14:textId="77777777" w:rsidR="005D38D3" w:rsidRPr="00925C94" w:rsidRDefault="005D38D3" w:rsidP="00F22F6C">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12</w:t>
            </w:r>
          </w:p>
        </w:tc>
        <w:tc>
          <w:tcPr>
            <w:tcW w:w="647" w:type="pct"/>
            <w:tcBorders>
              <w:top w:val="nil"/>
              <w:left w:val="nil"/>
              <w:bottom w:val="nil"/>
              <w:right w:val="nil"/>
            </w:tcBorders>
            <w:shd w:val="clear" w:color="auto" w:fill="auto"/>
            <w:noWrap/>
            <w:vAlign w:val="center"/>
            <w:hideMark/>
          </w:tcPr>
          <w:p w14:paraId="25A1ECA7" w14:textId="77777777" w:rsidR="005D38D3" w:rsidRPr="00925C94" w:rsidRDefault="005D38D3" w:rsidP="00CF0671">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0</w:t>
            </w:r>
          </w:p>
        </w:tc>
        <w:tc>
          <w:tcPr>
            <w:tcW w:w="522" w:type="pct"/>
            <w:tcBorders>
              <w:top w:val="nil"/>
              <w:left w:val="nil"/>
              <w:bottom w:val="nil"/>
              <w:right w:val="nil"/>
            </w:tcBorders>
            <w:shd w:val="clear" w:color="000000" w:fill="F2DCDB"/>
            <w:noWrap/>
            <w:vAlign w:val="center"/>
            <w:hideMark/>
          </w:tcPr>
          <w:p w14:paraId="50008308" w14:textId="77777777" w:rsidR="005D38D3" w:rsidRPr="00925C94" w:rsidRDefault="005D38D3" w:rsidP="00CF0671">
            <w:pPr>
              <w:spacing w:before="0" w:after="0"/>
              <w:jc w:val="center"/>
              <w:rPr>
                <w:rFonts w:ascii="Calibri" w:hAnsi="Calibri" w:cs="Times New Roman"/>
                <w:b/>
                <w:bCs/>
                <w:sz w:val="20"/>
                <w:szCs w:val="20"/>
              </w:rPr>
            </w:pPr>
            <w:r w:rsidRPr="00925C94">
              <w:rPr>
                <w:rFonts w:ascii="Calibri" w:hAnsi="Calibri" w:cs="Times New Roman"/>
                <w:b/>
                <w:bCs/>
                <w:sz w:val="20"/>
                <w:szCs w:val="20"/>
              </w:rPr>
              <w:t>4</w:t>
            </w:r>
            <w:r w:rsidR="00CE2946" w:rsidRPr="00925C94">
              <w:rPr>
                <w:rFonts w:ascii="Calibri" w:hAnsi="Calibri" w:cs="Times New Roman"/>
                <w:b/>
                <w:bCs/>
                <w:sz w:val="20"/>
                <w:szCs w:val="20"/>
              </w:rPr>
              <w:t>,</w:t>
            </w:r>
            <w:r w:rsidRPr="00925C94">
              <w:rPr>
                <w:rFonts w:ascii="Calibri" w:hAnsi="Calibri" w:cs="Times New Roman"/>
                <w:b/>
                <w:bCs/>
                <w:sz w:val="20"/>
                <w:szCs w:val="20"/>
              </w:rPr>
              <w:t>512</w:t>
            </w:r>
          </w:p>
        </w:tc>
        <w:tc>
          <w:tcPr>
            <w:tcW w:w="679" w:type="pct"/>
            <w:tcBorders>
              <w:top w:val="nil"/>
              <w:left w:val="nil"/>
              <w:bottom w:val="nil"/>
              <w:right w:val="single" w:sz="4" w:space="0" w:color="auto"/>
            </w:tcBorders>
            <w:shd w:val="clear" w:color="000000" w:fill="F2DCDB"/>
            <w:noWrap/>
            <w:vAlign w:val="center"/>
            <w:hideMark/>
          </w:tcPr>
          <w:p w14:paraId="3EAFA4DF" w14:textId="77777777" w:rsidR="005D38D3" w:rsidRPr="00925C94" w:rsidRDefault="005D38D3" w:rsidP="00CF0671">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149</w:t>
            </w:r>
          </w:p>
        </w:tc>
      </w:tr>
      <w:tr w:rsidR="005D38D3" w:rsidRPr="00925C94" w14:paraId="06DE8EEC" w14:textId="77777777" w:rsidTr="00A35C25">
        <w:trPr>
          <w:trHeight w:val="300"/>
        </w:trPr>
        <w:tc>
          <w:tcPr>
            <w:tcW w:w="1042" w:type="pct"/>
            <w:vMerge/>
            <w:tcBorders>
              <w:top w:val="nil"/>
              <w:left w:val="single" w:sz="4" w:space="0" w:color="auto"/>
              <w:bottom w:val="nil"/>
              <w:right w:val="nil"/>
            </w:tcBorders>
            <w:vAlign w:val="center"/>
            <w:hideMark/>
          </w:tcPr>
          <w:p w14:paraId="16415534" w14:textId="77777777" w:rsidR="005D38D3" w:rsidRPr="00925C94" w:rsidRDefault="005D38D3" w:rsidP="0065493C">
            <w:pPr>
              <w:spacing w:before="0" w:after="0"/>
              <w:jc w:val="center"/>
              <w:rPr>
                <w:rFonts w:ascii="Calibri" w:hAnsi="Calibri" w:cs="Times New Roman"/>
                <w:b/>
                <w:bCs/>
                <w:color w:val="000000"/>
                <w:sz w:val="20"/>
                <w:szCs w:val="20"/>
              </w:rPr>
            </w:pPr>
          </w:p>
        </w:tc>
        <w:tc>
          <w:tcPr>
            <w:tcW w:w="337" w:type="pct"/>
            <w:tcBorders>
              <w:top w:val="nil"/>
              <w:left w:val="single" w:sz="4" w:space="0" w:color="auto"/>
              <w:bottom w:val="nil"/>
              <w:right w:val="single" w:sz="4" w:space="0" w:color="auto"/>
            </w:tcBorders>
            <w:shd w:val="clear" w:color="000000" w:fill="F2F2F2"/>
            <w:noWrap/>
            <w:vAlign w:val="center"/>
            <w:hideMark/>
          </w:tcPr>
          <w:p w14:paraId="636E595F"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w:t>
            </w:r>
          </w:p>
        </w:tc>
        <w:tc>
          <w:tcPr>
            <w:tcW w:w="419" w:type="pct"/>
            <w:tcBorders>
              <w:top w:val="nil"/>
              <w:left w:val="nil"/>
              <w:bottom w:val="nil"/>
              <w:right w:val="single" w:sz="4" w:space="0" w:color="auto"/>
            </w:tcBorders>
            <w:shd w:val="clear" w:color="000000" w:fill="F2F2F2"/>
            <w:noWrap/>
            <w:vAlign w:val="center"/>
            <w:hideMark/>
          </w:tcPr>
          <w:p w14:paraId="1B67752B"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100%</w:t>
            </w:r>
          </w:p>
        </w:tc>
        <w:tc>
          <w:tcPr>
            <w:tcW w:w="391" w:type="pct"/>
            <w:tcBorders>
              <w:top w:val="nil"/>
              <w:left w:val="nil"/>
              <w:bottom w:val="nil"/>
              <w:right w:val="nil"/>
            </w:tcBorders>
            <w:shd w:val="clear" w:color="auto" w:fill="auto"/>
            <w:noWrap/>
            <w:vAlign w:val="center"/>
            <w:hideMark/>
          </w:tcPr>
          <w:p w14:paraId="6B06BC6C"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43%</w:t>
            </w:r>
          </w:p>
        </w:tc>
        <w:tc>
          <w:tcPr>
            <w:tcW w:w="555" w:type="pct"/>
            <w:tcBorders>
              <w:top w:val="nil"/>
              <w:left w:val="nil"/>
              <w:bottom w:val="nil"/>
              <w:right w:val="nil"/>
            </w:tcBorders>
            <w:shd w:val="clear" w:color="auto" w:fill="auto"/>
            <w:noWrap/>
            <w:vAlign w:val="center"/>
            <w:hideMark/>
          </w:tcPr>
          <w:p w14:paraId="7C777836"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53%</w:t>
            </w:r>
          </w:p>
        </w:tc>
        <w:tc>
          <w:tcPr>
            <w:tcW w:w="408" w:type="pct"/>
            <w:tcBorders>
              <w:top w:val="nil"/>
              <w:left w:val="nil"/>
              <w:bottom w:val="nil"/>
              <w:right w:val="nil"/>
            </w:tcBorders>
            <w:shd w:val="clear" w:color="auto" w:fill="auto"/>
            <w:noWrap/>
            <w:vAlign w:val="center"/>
            <w:hideMark/>
          </w:tcPr>
          <w:p w14:paraId="0E4BAEEC"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0%</w:t>
            </w:r>
          </w:p>
        </w:tc>
        <w:tc>
          <w:tcPr>
            <w:tcW w:w="647" w:type="pct"/>
            <w:tcBorders>
              <w:top w:val="nil"/>
              <w:left w:val="nil"/>
              <w:bottom w:val="nil"/>
              <w:right w:val="nil"/>
            </w:tcBorders>
            <w:shd w:val="clear" w:color="auto" w:fill="auto"/>
            <w:noWrap/>
            <w:vAlign w:val="center"/>
            <w:hideMark/>
          </w:tcPr>
          <w:p w14:paraId="08825E97"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0%</w:t>
            </w:r>
          </w:p>
        </w:tc>
        <w:tc>
          <w:tcPr>
            <w:tcW w:w="522" w:type="pct"/>
            <w:tcBorders>
              <w:top w:val="nil"/>
              <w:left w:val="nil"/>
              <w:bottom w:val="nil"/>
              <w:right w:val="nil"/>
            </w:tcBorders>
            <w:shd w:val="clear" w:color="000000" w:fill="F2DCDB"/>
            <w:noWrap/>
            <w:vAlign w:val="center"/>
            <w:hideMark/>
          </w:tcPr>
          <w:p w14:paraId="0C738BF1" w14:textId="77777777" w:rsidR="005D38D3" w:rsidRPr="00925C94" w:rsidRDefault="005D38D3" w:rsidP="00A35C25">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97%</w:t>
            </w:r>
          </w:p>
        </w:tc>
        <w:tc>
          <w:tcPr>
            <w:tcW w:w="679" w:type="pct"/>
            <w:tcBorders>
              <w:top w:val="nil"/>
              <w:left w:val="nil"/>
              <w:bottom w:val="nil"/>
              <w:right w:val="single" w:sz="4" w:space="0" w:color="auto"/>
            </w:tcBorders>
            <w:shd w:val="clear" w:color="000000" w:fill="F2DCDB"/>
            <w:noWrap/>
            <w:vAlign w:val="center"/>
            <w:hideMark/>
          </w:tcPr>
          <w:p w14:paraId="47CC6229" w14:textId="77777777" w:rsidR="005D38D3" w:rsidRPr="00925C94" w:rsidRDefault="005D38D3" w:rsidP="00A35C25">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3%</w:t>
            </w:r>
          </w:p>
        </w:tc>
      </w:tr>
      <w:tr w:rsidR="005D38D3" w:rsidRPr="00925C94" w14:paraId="03E4AF84" w14:textId="77777777" w:rsidTr="00A35C25">
        <w:trPr>
          <w:trHeight w:val="300"/>
        </w:trPr>
        <w:tc>
          <w:tcPr>
            <w:tcW w:w="1042" w:type="pct"/>
            <w:vMerge w:val="restart"/>
            <w:tcBorders>
              <w:top w:val="nil"/>
              <w:left w:val="single" w:sz="4" w:space="0" w:color="auto"/>
              <w:bottom w:val="nil"/>
              <w:right w:val="nil"/>
            </w:tcBorders>
            <w:shd w:val="clear" w:color="000000" w:fill="F2F2F2"/>
            <w:noWrap/>
            <w:vAlign w:val="center"/>
            <w:hideMark/>
          </w:tcPr>
          <w:p w14:paraId="231DA6EA" w14:textId="77777777" w:rsidR="005D38D3" w:rsidRPr="00925C94" w:rsidRDefault="005D38D3" w:rsidP="00A35C25">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Burdekin</w:t>
            </w:r>
          </w:p>
        </w:tc>
        <w:tc>
          <w:tcPr>
            <w:tcW w:w="337" w:type="pct"/>
            <w:tcBorders>
              <w:top w:val="nil"/>
              <w:left w:val="single" w:sz="4" w:space="0" w:color="auto"/>
              <w:bottom w:val="nil"/>
              <w:right w:val="single" w:sz="4" w:space="0" w:color="auto"/>
            </w:tcBorders>
            <w:shd w:val="clear" w:color="000000" w:fill="F2F2F2"/>
            <w:noWrap/>
            <w:vAlign w:val="center"/>
            <w:hideMark/>
          </w:tcPr>
          <w:p w14:paraId="439914CE" w14:textId="77777777" w:rsidR="005D38D3" w:rsidRPr="00925C94" w:rsidRDefault="005D38D3" w:rsidP="00A35C25">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area</w:t>
            </w:r>
          </w:p>
        </w:tc>
        <w:tc>
          <w:tcPr>
            <w:tcW w:w="419" w:type="pct"/>
            <w:tcBorders>
              <w:top w:val="nil"/>
              <w:left w:val="nil"/>
              <w:bottom w:val="nil"/>
              <w:right w:val="single" w:sz="4" w:space="0" w:color="auto"/>
            </w:tcBorders>
            <w:shd w:val="clear" w:color="000000" w:fill="F2F2F2"/>
            <w:noWrap/>
            <w:vAlign w:val="center"/>
            <w:hideMark/>
          </w:tcPr>
          <w:p w14:paraId="62C00CB5" w14:textId="77777777" w:rsidR="005D38D3" w:rsidRPr="00925C94" w:rsidRDefault="005D38D3" w:rsidP="007754E4">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5</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459</w:t>
            </w:r>
          </w:p>
        </w:tc>
        <w:tc>
          <w:tcPr>
            <w:tcW w:w="391" w:type="pct"/>
            <w:tcBorders>
              <w:top w:val="nil"/>
              <w:left w:val="nil"/>
              <w:bottom w:val="nil"/>
              <w:right w:val="nil"/>
            </w:tcBorders>
            <w:shd w:val="clear" w:color="auto" w:fill="auto"/>
            <w:noWrap/>
            <w:vAlign w:val="center"/>
            <w:hideMark/>
          </w:tcPr>
          <w:p w14:paraId="7CB46ED7" w14:textId="77777777" w:rsidR="005D38D3" w:rsidRPr="00925C94" w:rsidRDefault="005D38D3" w:rsidP="00B755E6">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5</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379</w:t>
            </w:r>
          </w:p>
        </w:tc>
        <w:tc>
          <w:tcPr>
            <w:tcW w:w="555" w:type="pct"/>
            <w:tcBorders>
              <w:top w:val="nil"/>
              <w:left w:val="nil"/>
              <w:bottom w:val="nil"/>
              <w:right w:val="nil"/>
            </w:tcBorders>
            <w:shd w:val="clear" w:color="auto" w:fill="auto"/>
            <w:noWrap/>
            <w:vAlign w:val="center"/>
            <w:hideMark/>
          </w:tcPr>
          <w:p w14:paraId="310D2E4F" w14:textId="77777777" w:rsidR="005D38D3" w:rsidRPr="00925C94" w:rsidRDefault="005D38D3" w:rsidP="00B755E6">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80</w:t>
            </w:r>
          </w:p>
        </w:tc>
        <w:tc>
          <w:tcPr>
            <w:tcW w:w="408" w:type="pct"/>
            <w:tcBorders>
              <w:top w:val="nil"/>
              <w:left w:val="nil"/>
              <w:bottom w:val="nil"/>
              <w:right w:val="nil"/>
            </w:tcBorders>
            <w:shd w:val="clear" w:color="auto" w:fill="auto"/>
            <w:noWrap/>
            <w:vAlign w:val="center"/>
            <w:hideMark/>
          </w:tcPr>
          <w:p w14:paraId="61B65E72" w14:textId="77777777" w:rsidR="005D38D3" w:rsidRPr="00925C94" w:rsidRDefault="005D38D3" w:rsidP="00F22F6C">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0</w:t>
            </w:r>
          </w:p>
        </w:tc>
        <w:tc>
          <w:tcPr>
            <w:tcW w:w="647" w:type="pct"/>
            <w:tcBorders>
              <w:top w:val="nil"/>
              <w:left w:val="nil"/>
              <w:bottom w:val="nil"/>
              <w:right w:val="nil"/>
            </w:tcBorders>
            <w:shd w:val="clear" w:color="auto" w:fill="auto"/>
            <w:noWrap/>
            <w:vAlign w:val="center"/>
            <w:hideMark/>
          </w:tcPr>
          <w:p w14:paraId="2C521BC6" w14:textId="77777777" w:rsidR="005D38D3" w:rsidRPr="00925C94" w:rsidRDefault="005D38D3" w:rsidP="00CF0671">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0</w:t>
            </w:r>
          </w:p>
        </w:tc>
        <w:tc>
          <w:tcPr>
            <w:tcW w:w="522" w:type="pct"/>
            <w:tcBorders>
              <w:top w:val="nil"/>
              <w:left w:val="nil"/>
              <w:bottom w:val="nil"/>
              <w:right w:val="nil"/>
            </w:tcBorders>
            <w:shd w:val="clear" w:color="000000" w:fill="F2DCDB"/>
            <w:noWrap/>
            <w:vAlign w:val="center"/>
            <w:hideMark/>
          </w:tcPr>
          <w:p w14:paraId="65004508" w14:textId="77777777" w:rsidR="005D38D3" w:rsidRPr="00925C94" w:rsidRDefault="005D38D3" w:rsidP="00CF0671">
            <w:pPr>
              <w:spacing w:before="0" w:after="0"/>
              <w:jc w:val="center"/>
              <w:rPr>
                <w:rFonts w:ascii="Calibri" w:hAnsi="Calibri" w:cs="Times New Roman"/>
                <w:b/>
                <w:bCs/>
                <w:sz w:val="20"/>
                <w:szCs w:val="20"/>
              </w:rPr>
            </w:pPr>
            <w:r w:rsidRPr="00925C94">
              <w:rPr>
                <w:rFonts w:ascii="Calibri" w:hAnsi="Calibri" w:cs="Times New Roman"/>
                <w:b/>
                <w:bCs/>
                <w:sz w:val="20"/>
                <w:szCs w:val="20"/>
              </w:rPr>
              <w:t>5</w:t>
            </w:r>
            <w:r w:rsidR="006B0C6A" w:rsidRPr="00925C94">
              <w:rPr>
                <w:rFonts w:ascii="Calibri" w:hAnsi="Calibri" w:cs="Times New Roman"/>
                <w:b/>
                <w:bCs/>
                <w:sz w:val="20"/>
                <w:szCs w:val="20"/>
              </w:rPr>
              <w:t>,</w:t>
            </w:r>
            <w:r w:rsidRPr="00925C94">
              <w:rPr>
                <w:rFonts w:ascii="Calibri" w:hAnsi="Calibri" w:cs="Times New Roman"/>
                <w:b/>
                <w:bCs/>
                <w:sz w:val="20"/>
                <w:szCs w:val="20"/>
              </w:rPr>
              <w:t>459</w:t>
            </w:r>
          </w:p>
        </w:tc>
        <w:tc>
          <w:tcPr>
            <w:tcW w:w="679" w:type="pct"/>
            <w:tcBorders>
              <w:top w:val="nil"/>
              <w:left w:val="nil"/>
              <w:bottom w:val="nil"/>
              <w:right w:val="single" w:sz="4" w:space="0" w:color="auto"/>
            </w:tcBorders>
            <w:shd w:val="clear" w:color="000000" w:fill="F2DCDB"/>
            <w:noWrap/>
            <w:vAlign w:val="center"/>
            <w:hideMark/>
          </w:tcPr>
          <w:p w14:paraId="56653665" w14:textId="77777777" w:rsidR="005D38D3" w:rsidRPr="00925C94" w:rsidRDefault="005D38D3" w:rsidP="00CF0671">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-22</w:t>
            </w:r>
          </w:p>
        </w:tc>
      </w:tr>
      <w:tr w:rsidR="005D38D3" w:rsidRPr="00925C94" w14:paraId="180ECB43" w14:textId="77777777" w:rsidTr="00A35C25">
        <w:trPr>
          <w:trHeight w:val="300"/>
        </w:trPr>
        <w:tc>
          <w:tcPr>
            <w:tcW w:w="1042" w:type="pct"/>
            <w:vMerge/>
            <w:tcBorders>
              <w:top w:val="nil"/>
              <w:left w:val="single" w:sz="4" w:space="0" w:color="auto"/>
              <w:bottom w:val="nil"/>
              <w:right w:val="nil"/>
            </w:tcBorders>
            <w:vAlign w:val="center"/>
            <w:hideMark/>
          </w:tcPr>
          <w:p w14:paraId="772E00DD" w14:textId="77777777" w:rsidR="005D38D3" w:rsidRPr="00925C94" w:rsidRDefault="005D38D3" w:rsidP="0065493C">
            <w:pPr>
              <w:spacing w:before="0" w:after="0"/>
              <w:jc w:val="center"/>
              <w:rPr>
                <w:rFonts w:ascii="Calibri" w:hAnsi="Calibri" w:cs="Times New Roman"/>
                <w:b/>
                <w:bCs/>
                <w:color w:val="000000"/>
                <w:sz w:val="20"/>
                <w:szCs w:val="20"/>
              </w:rPr>
            </w:pPr>
          </w:p>
        </w:tc>
        <w:tc>
          <w:tcPr>
            <w:tcW w:w="337" w:type="pct"/>
            <w:tcBorders>
              <w:top w:val="nil"/>
              <w:left w:val="single" w:sz="4" w:space="0" w:color="auto"/>
              <w:bottom w:val="nil"/>
              <w:right w:val="single" w:sz="4" w:space="0" w:color="auto"/>
            </w:tcBorders>
            <w:shd w:val="clear" w:color="000000" w:fill="F2F2F2"/>
            <w:noWrap/>
            <w:vAlign w:val="center"/>
            <w:hideMark/>
          </w:tcPr>
          <w:p w14:paraId="3AE41B0B"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w:t>
            </w:r>
          </w:p>
        </w:tc>
        <w:tc>
          <w:tcPr>
            <w:tcW w:w="419" w:type="pct"/>
            <w:tcBorders>
              <w:top w:val="nil"/>
              <w:left w:val="nil"/>
              <w:bottom w:val="nil"/>
              <w:right w:val="single" w:sz="4" w:space="0" w:color="auto"/>
            </w:tcBorders>
            <w:shd w:val="clear" w:color="000000" w:fill="F2F2F2"/>
            <w:noWrap/>
            <w:vAlign w:val="center"/>
            <w:hideMark/>
          </w:tcPr>
          <w:p w14:paraId="5BEE391B"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100%</w:t>
            </w:r>
          </w:p>
        </w:tc>
        <w:tc>
          <w:tcPr>
            <w:tcW w:w="391" w:type="pct"/>
            <w:tcBorders>
              <w:top w:val="nil"/>
              <w:left w:val="nil"/>
              <w:bottom w:val="nil"/>
              <w:right w:val="nil"/>
            </w:tcBorders>
            <w:shd w:val="clear" w:color="auto" w:fill="auto"/>
            <w:noWrap/>
            <w:vAlign w:val="center"/>
            <w:hideMark/>
          </w:tcPr>
          <w:p w14:paraId="5D119EEB"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99%</w:t>
            </w:r>
          </w:p>
        </w:tc>
        <w:tc>
          <w:tcPr>
            <w:tcW w:w="555" w:type="pct"/>
            <w:tcBorders>
              <w:top w:val="nil"/>
              <w:left w:val="nil"/>
              <w:bottom w:val="nil"/>
              <w:right w:val="nil"/>
            </w:tcBorders>
            <w:shd w:val="clear" w:color="auto" w:fill="auto"/>
            <w:noWrap/>
            <w:vAlign w:val="center"/>
            <w:hideMark/>
          </w:tcPr>
          <w:p w14:paraId="080A7C9C"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w:t>
            </w:r>
          </w:p>
        </w:tc>
        <w:tc>
          <w:tcPr>
            <w:tcW w:w="408" w:type="pct"/>
            <w:tcBorders>
              <w:top w:val="nil"/>
              <w:left w:val="nil"/>
              <w:bottom w:val="nil"/>
              <w:right w:val="nil"/>
            </w:tcBorders>
            <w:shd w:val="clear" w:color="auto" w:fill="auto"/>
            <w:noWrap/>
            <w:vAlign w:val="center"/>
            <w:hideMark/>
          </w:tcPr>
          <w:p w14:paraId="155B1AFB"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0%</w:t>
            </w:r>
          </w:p>
        </w:tc>
        <w:tc>
          <w:tcPr>
            <w:tcW w:w="647" w:type="pct"/>
            <w:tcBorders>
              <w:top w:val="nil"/>
              <w:left w:val="nil"/>
              <w:bottom w:val="nil"/>
              <w:right w:val="nil"/>
            </w:tcBorders>
            <w:shd w:val="clear" w:color="auto" w:fill="auto"/>
            <w:noWrap/>
            <w:vAlign w:val="center"/>
            <w:hideMark/>
          </w:tcPr>
          <w:p w14:paraId="6326CC66"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0%</w:t>
            </w:r>
          </w:p>
        </w:tc>
        <w:tc>
          <w:tcPr>
            <w:tcW w:w="522" w:type="pct"/>
            <w:tcBorders>
              <w:top w:val="nil"/>
              <w:left w:val="nil"/>
              <w:bottom w:val="nil"/>
              <w:right w:val="nil"/>
            </w:tcBorders>
            <w:shd w:val="clear" w:color="000000" w:fill="F2DCDB"/>
            <w:noWrap/>
            <w:vAlign w:val="center"/>
            <w:hideMark/>
          </w:tcPr>
          <w:p w14:paraId="627C4E41" w14:textId="77777777" w:rsidR="005D38D3" w:rsidRPr="00925C94" w:rsidRDefault="005D38D3" w:rsidP="00A35C25">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100%</w:t>
            </w:r>
          </w:p>
        </w:tc>
        <w:tc>
          <w:tcPr>
            <w:tcW w:w="679" w:type="pct"/>
            <w:tcBorders>
              <w:top w:val="nil"/>
              <w:left w:val="nil"/>
              <w:bottom w:val="nil"/>
              <w:right w:val="single" w:sz="4" w:space="0" w:color="auto"/>
            </w:tcBorders>
            <w:shd w:val="clear" w:color="000000" w:fill="F2DCDB"/>
            <w:noWrap/>
            <w:vAlign w:val="center"/>
            <w:hideMark/>
          </w:tcPr>
          <w:p w14:paraId="55D2EE5A" w14:textId="77777777" w:rsidR="005D38D3" w:rsidRPr="00925C94" w:rsidRDefault="005D38D3" w:rsidP="00A35C25">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0%</w:t>
            </w:r>
          </w:p>
        </w:tc>
      </w:tr>
      <w:tr w:rsidR="005D38D3" w:rsidRPr="00925C94" w14:paraId="7B807190" w14:textId="77777777" w:rsidTr="00A35C25">
        <w:trPr>
          <w:trHeight w:val="300"/>
        </w:trPr>
        <w:tc>
          <w:tcPr>
            <w:tcW w:w="1042" w:type="pct"/>
            <w:vMerge w:val="restart"/>
            <w:tcBorders>
              <w:top w:val="nil"/>
              <w:left w:val="single" w:sz="4" w:space="0" w:color="auto"/>
              <w:bottom w:val="nil"/>
              <w:right w:val="single" w:sz="4" w:space="0" w:color="auto"/>
            </w:tcBorders>
            <w:shd w:val="clear" w:color="000000" w:fill="F2F2F2"/>
            <w:vAlign w:val="center"/>
            <w:hideMark/>
          </w:tcPr>
          <w:p w14:paraId="0A9897A5" w14:textId="77777777" w:rsidR="005D38D3" w:rsidRPr="00925C94" w:rsidRDefault="005D38D3" w:rsidP="00A35C25">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Mackay-Whitsundays</w:t>
            </w:r>
          </w:p>
        </w:tc>
        <w:tc>
          <w:tcPr>
            <w:tcW w:w="337" w:type="pct"/>
            <w:tcBorders>
              <w:top w:val="nil"/>
              <w:left w:val="nil"/>
              <w:bottom w:val="nil"/>
              <w:right w:val="single" w:sz="4" w:space="0" w:color="auto"/>
            </w:tcBorders>
            <w:shd w:val="clear" w:color="000000" w:fill="F2F2F2"/>
            <w:noWrap/>
            <w:vAlign w:val="center"/>
            <w:hideMark/>
          </w:tcPr>
          <w:p w14:paraId="1AFE414D" w14:textId="77777777" w:rsidR="005D38D3" w:rsidRPr="00925C94" w:rsidRDefault="005D38D3" w:rsidP="00A35C25">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area</w:t>
            </w:r>
          </w:p>
        </w:tc>
        <w:tc>
          <w:tcPr>
            <w:tcW w:w="419" w:type="pct"/>
            <w:tcBorders>
              <w:top w:val="nil"/>
              <w:left w:val="nil"/>
              <w:bottom w:val="nil"/>
              <w:right w:val="single" w:sz="4" w:space="0" w:color="auto"/>
            </w:tcBorders>
            <w:shd w:val="clear" w:color="000000" w:fill="F2F2F2"/>
            <w:noWrap/>
            <w:vAlign w:val="center"/>
            <w:hideMark/>
          </w:tcPr>
          <w:p w14:paraId="271BEED5" w14:textId="77777777" w:rsidR="005D38D3" w:rsidRPr="00925C94" w:rsidRDefault="005D38D3" w:rsidP="007754E4">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220</w:t>
            </w:r>
          </w:p>
        </w:tc>
        <w:tc>
          <w:tcPr>
            <w:tcW w:w="391" w:type="pct"/>
            <w:tcBorders>
              <w:top w:val="nil"/>
              <w:left w:val="nil"/>
              <w:bottom w:val="nil"/>
              <w:right w:val="nil"/>
            </w:tcBorders>
            <w:shd w:val="clear" w:color="auto" w:fill="auto"/>
            <w:noWrap/>
            <w:vAlign w:val="center"/>
            <w:hideMark/>
          </w:tcPr>
          <w:p w14:paraId="75A61C45" w14:textId="77777777" w:rsidR="005D38D3" w:rsidRPr="00925C94" w:rsidRDefault="005D38D3" w:rsidP="00B755E6">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0</w:t>
            </w:r>
          </w:p>
        </w:tc>
        <w:tc>
          <w:tcPr>
            <w:tcW w:w="555" w:type="pct"/>
            <w:tcBorders>
              <w:top w:val="nil"/>
              <w:left w:val="nil"/>
              <w:bottom w:val="nil"/>
              <w:right w:val="nil"/>
            </w:tcBorders>
            <w:shd w:val="clear" w:color="auto" w:fill="auto"/>
            <w:noWrap/>
            <w:vAlign w:val="center"/>
            <w:hideMark/>
          </w:tcPr>
          <w:p w14:paraId="00977A6E" w14:textId="77777777" w:rsidR="005D38D3" w:rsidRPr="00925C94" w:rsidRDefault="005D38D3" w:rsidP="00B755E6">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98</w:t>
            </w:r>
          </w:p>
        </w:tc>
        <w:tc>
          <w:tcPr>
            <w:tcW w:w="408" w:type="pct"/>
            <w:tcBorders>
              <w:top w:val="nil"/>
              <w:left w:val="nil"/>
              <w:bottom w:val="nil"/>
              <w:right w:val="nil"/>
            </w:tcBorders>
            <w:shd w:val="clear" w:color="auto" w:fill="auto"/>
            <w:noWrap/>
            <w:vAlign w:val="center"/>
            <w:hideMark/>
          </w:tcPr>
          <w:p w14:paraId="4E408F13" w14:textId="77777777" w:rsidR="005D38D3" w:rsidRPr="00925C94" w:rsidRDefault="005D38D3" w:rsidP="00F22F6C">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122</w:t>
            </w:r>
          </w:p>
        </w:tc>
        <w:tc>
          <w:tcPr>
            <w:tcW w:w="647" w:type="pct"/>
            <w:tcBorders>
              <w:top w:val="nil"/>
              <w:left w:val="nil"/>
              <w:bottom w:val="nil"/>
              <w:right w:val="nil"/>
            </w:tcBorders>
            <w:shd w:val="clear" w:color="auto" w:fill="auto"/>
            <w:noWrap/>
            <w:vAlign w:val="center"/>
            <w:hideMark/>
          </w:tcPr>
          <w:p w14:paraId="1DBD9FD3" w14:textId="77777777" w:rsidR="005D38D3" w:rsidRPr="00925C94" w:rsidRDefault="005D38D3" w:rsidP="00CF0671">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0</w:t>
            </w:r>
          </w:p>
        </w:tc>
        <w:tc>
          <w:tcPr>
            <w:tcW w:w="522" w:type="pct"/>
            <w:tcBorders>
              <w:top w:val="nil"/>
              <w:left w:val="nil"/>
              <w:bottom w:val="nil"/>
              <w:right w:val="nil"/>
            </w:tcBorders>
            <w:shd w:val="clear" w:color="000000" w:fill="F2DCDB"/>
            <w:noWrap/>
            <w:vAlign w:val="center"/>
            <w:hideMark/>
          </w:tcPr>
          <w:p w14:paraId="0EA93161" w14:textId="77777777" w:rsidR="005D38D3" w:rsidRPr="00925C94" w:rsidRDefault="005D38D3" w:rsidP="00CF0671">
            <w:pPr>
              <w:spacing w:before="0" w:after="0"/>
              <w:jc w:val="center"/>
              <w:rPr>
                <w:rFonts w:ascii="Calibri" w:hAnsi="Calibri" w:cs="Times New Roman"/>
                <w:b/>
                <w:bCs/>
                <w:sz w:val="20"/>
                <w:szCs w:val="20"/>
              </w:rPr>
            </w:pPr>
            <w:r w:rsidRPr="00925C94">
              <w:rPr>
                <w:rFonts w:ascii="Calibri" w:hAnsi="Calibri" w:cs="Times New Roman"/>
                <w:b/>
                <w:bCs/>
                <w:sz w:val="20"/>
                <w:szCs w:val="20"/>
              </w:rPr>
              <w:t>220</w:t>
            </w:r>
          </w:p>
        </w:tc>
        <w:tc>
          <w:tcPr>
            <w:tcW w:w="679" w:type="pct"/>
            <w:tcBorders>
              <w:top w:val="nil"/>
              <w:left w:val="nil"/>
              <w:bottom w:val="nil"/>
              <w:right w:val="single" w:sz="4" w:space="0" w:color="auto"/>
            </w:tcBorders>
            <w:shd w:val="clear" w:color="000000" w:fill="F2DCDB"/>
            <w:noWrap/>
            <w:vAlign w:val="center"/>
            <w:hideMark/>
          </w:tcPr>
          <w:p w14:paraId="0BD813E8" w14:textId="77777777" w:rsidR="005D38D3" w:rsidRPr="00925C94" w:rsidRDefault="005D38D3" w:rsidP="00CF0671">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1</w:t>
            </w:r>
          </w:p>
        </w:tc>
      </w:tr>
      <w:tr w:rsidR="005D38D3" w:rsidRPr="00925C94" w14:paraId="26289306" w14:textId="77777777" w:rsidTr="00A35C25">
        <w:trPr>
          <w:trHeight w:val="300"/>
        </w:trPr>
        <w:tc>
          <w:tcPr>
            <w:tcW w:w="1042" w:type="pct"/>
            <w:vMerge/>
            <w:tcBorders>
              <w:top w:val="nil"/>
              <w:left w:val="single" w:sz="4" w:space="0" w:color="auto"/>
              <w:bottom w:val="nil"/>
              <w:right w:val="single" w:sz="4" w:space="0" w:color="auto"/>
            </w:tcBorders>
            <w:vAlign w:val="center"/>
            <w:hideMark/>
          </w:tcPr>
          <w:p w14:paraId="099189B1" w14:textId="77777777" w:rsidR="005D38D3" w:rsidRPr="00925C94" w:rsidRDefault="005D38D3" w:rsidP="0065493C">
            <w:pPr>
              <w:spacing w:before="0" w:after="0"/>
              <w:jc w:val="center"/>
              <w:rPr>
                <w:rFonts w:ascii="Calibri" w:hAnsi="Calibri" w:cs="Times New Roman"/>
                <w:b/>
                <w:bCs/>
                <w:color w:val="000000"/>
                <w:sz w:val="20"/>
                <w:szCs w:val="20"/>
              </w:rPr>
            </w:pPr>
          </w:p>
        </w:tc>
        <w:tc>
          <w:tcPr>
            <w:tcW w:w="337" w:type="pct"/>
            <w:tcBorders>
              <w:top w:val="nil"/>
              <w:left w:val="nil"/>
              <w:bottom w:val="nil"/>
              <w:right w:val="single" w:sz="4" w:space="0" w:color="auto"/>
            </w:tcBorders>
            <w:shd w:val="clear" w:color="000000" w:fill="F2F2F2"/>
            <w:noWrap/>
            <w:vAlign w:val="center"/>
            <w:hideMark/>
          </w:tcPr>
          <w:p w14:paraId="2F5BFFD4"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w:t>
            </w:r>
          </w:p>
        </w:tc>
        <w:tc>
          <w:tcPr>
            <w:tcW w:w="419" w:type="pct"/>
            <w:tcBorders>
              <w:top w:val="nil"/>
              <w:left w:val="nil"/>
              <w:bottom w:val="nil"/>
              <w:right w:val="single" w:sz="4" w:space="0" w:color="auto"/>
            </w:tcBorders>
            <w:shd w:val="clear" w:color="000000" w:fill="F2F2F2"/>
            <w:noWrap/>
            <w:vAlign w:val="center"/>
            <w:hideMark/>
          </w:tcPr>
          <w:p w14:paraId="77722827"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100%</w:t>
            </w:r>
          </w:p>
        </w:tc>
        <w:tc>
          <w:tcPr>
            <w:tcW w:w="391" w:type="pct"/>
            <w:tcBorders>
              <w:top w:val="nil"/>
              <w:left w:val="nil"/>
              <w:bottom w:val="nil"/>
              <w:right w:val="nil"/>
            </w:tcBorders>
            <w:shd w:val="clear" w:color="auto" w:fill="auto"/>
            <w:noWrap/>
            <w:vAlign w:val="center"/>
            <w:hideMark/>
          </w:tcPr>
          <w:p w14:paraId="717B4C96"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0%</w:t>
            </w:r>
          </w:p>
        </w:tc>
        <w:tc>
          <w:tcPr>
            <w:tcW w:w="555" w:type="pct"/>
            <w:tcBorders>
              <w:top w:val="nil"/>
              <w:left w:val="nil"/>
              <w:bottom w:val="nil"/>
              <w:right w:val="nil"/>
            </w:tcBorders>
            <w:shd w:val="clear" w:color="auto" w:fill="auto"/>
            <w:noWrap/>
            <w:vAlign w:val="center"/>
            <w:hideMark/>
          </w:tcPr>
          <w:p w14:paraId="22361067"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44%</w:t>
            </w:r>
          </w:p>
        </w:tc>
        <w:tc>
          <w:tcPr>
            <w:tcW w:w="408" w:type="pct"/>
            <w:tcBorders>
              <w:top w:val="nil"/>
              <w:left w:val="nil"/>
              <w:bottom w:val="nil"/>
              <w:right w:val="nil"/>
            </w:tcBorders>
            <w:shd w:val="clear" w:color="auto" w:fill="auto"/>
            <w:noWrap/>
            <w:vAlign w:val="center"/>
            <w:hideMark/>
          </w:tcPr>
          <w:p w14:paraId="0F200747"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55%</w:t>
            </w:r>
          </w:p>
        </w:tc>
        <w:tc>
          <w:tcPr>
            <w:tcW w:w="647" w:type="pct"/>
            <w:tcBorders>
              <w:top w:val="nil"/>
              <w:left w:val="nil"/>
              <w:bottom w:val="nil"/>
              <w:right w:val="nil"/>
            </w:tcBorders>
            <w:shd w:val="clear" w:color="auto" w:fill="auto"/>
            <w:noWrap/>
            <w:vAlign w:val="center"/>
            <w:hideMark/>
          </w:tcPr>
          <w:p w14:paraId="5AC3E9AF"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0%</w:t>
            </w:r>
          </w:p>
        </w:tc>
        <w:tc>
          <w:tcPr>
            <w:tcW w:w="522" w:type="pct"/>
            <w:tcBorders>
              <w:top w:val="nil"/>
              <w:left w:val="nil"/>
              <w:bottom w:val="nil"/>
              <w:right w:val="nil"/>
            </w:tcBorders>
            <w:shd w:val="clear" w:color="000000" w:fill="F2DCDB"/>
            <w:noWrap/>
            <w:vAlign w:val="center"/>
            <w:hideMark/>
          </w:tcPr>
          <w:p w14:paraId="28E8D5F0" w14:textId="77777777" w:rsidR="005D38D3" w:rsidRPr="00925C94" w:rsidRDefault="005D38D3" w:rsidP="00A35C25">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100%</w:t>
            </w:r>
          </w:p>
        </w:tc>
        <w:tc>
          <w:tcPr>
            <w:tcW w:w="679" w:type="pct"/>
            <w:tcBorders>
              <w:top w:val="nil"/>
              <w:left w:val="nil"/>
              <w:bottom w:val="nil"/>
              <w:right w:val="single" w:sz="4" w:space="0" w:color="auto"/>
            </w:tcBorders>
            <w:shd w:val="clear" w:color="000000" w:fill="F2DCDB"/>
            <w:noWrap/>
            <w:vAlign w:val="center"/>
            <w:hideMark/>
          </w:tcPr>
          <w:p w14:paraId="0764193B" w14:textId="77777777" w:rsidR="005D38D3" w:rsidRPr="00925C94" w:rsidRDefault="005D38D3" w:rsidP="00A35C25">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0%</w:t>
            </w:r>
          </w:p>
        </w:tc>
      </w:tr>
      <w:tr w:rsidR="005D38D3" w:rsidRPr="00925C94" w14:paraId="6C2C976B" w14:textId="77777777" w:rsidTr="00A35C25">
        <w:trPr>
          <w:trHeight w:val="300"/>
        </w:trPr>
        <w:tc>
          <w:tcPr>
            <w:tcW w:w="1042" w:type="pct"/>
            <w:vMerge w:val="restart"/>
            <w:tcBorders>
              <w:top w:val="nil"/>
              <w:left w:val="single" w:sz="4" w:space="0" w:color="auto"/>
              <w:bottom w:val="nil"/>
              <w:right w:val="nil"/>
            </w:tcBorders>
            <w:shd w:val="clear" w:color="000000" w:fill="F2F2F2"/>
            <w:noWrap/>
            <w:vAlign w:val="center"/>
            <w:hideMark/>
          </w:tcPr>
          <w:p w14:paraId="7D9D158F" w14:textId="77777777" w:rsidR="005D38D3" w:rsidRPr="00925C94" w:rsidRDefault="005D38D3" w:rsidP="00A35C25">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Fitzroy</w:t>
            </w:r>
          </w:p>
        </w:tc>
        <w:tc>
          <w:tcPr>
            <w:tcW w:w="337" w:type="pct"/>
            <w:tcBorders>
              <w:top w:val="nil"/>
              <w:left w:val="single" w:sz="4" w:space="0" w:color="auto"/>
              <w:bottom w:val="nil"/>
              <w:right w:val="single" w:sz="4" w:space="0" w:color="auto"/>
            </w:tcBorders>
            <w:shd w:val="clear" w:color="000000" w:fill="F2F2F2"/>
            <w:noWrap/>
            <w:vAlign w:val="center"/>
            <w:hideMark/>
          </w:tcPr>
          <w:p w14:paraId="0E50FAA0" w14:textId="77777777" w:rsidR="005D38D3" w:rsidRPr="00925C94" w:rsidRDefault="005D38D3" w:rsidP="00A35C25">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area</w:t>
            </w:r>
          </w:p>
        </w:tc>
        <w:tc>
          <w:tcPr>
            <w:tcW w:w="419" w:type="pct"/>
            <w:tcBorders>
              <w:top w:val="nil"/>
              <w:left w:val="nil"/>
              <w:bottom w:val="nil"/>
              <w:right w:val="single" w:sz="4" w:space="0" w:color="auto"/>
            </w:tcBorders>
            <w:shd w:val="clear" w:color="000000" w:fill="F2F2F2"/>
            <w:noWrap/>
            <w:vAlign w:val="center"/>
            <w:hideMark/>
          </w:tcPr>
          <w:p w14:paraId="53AB8059" w14:textId="77777777" w:rsidR="005D38D3" w:rsidRPr="00925C94" w:rsidRDefault="005D38D3" w:rsidP="007754E4">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5</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560</w:t>
            </w:r>
          </w:p>
        </w:tc>
        <w:tc>
          <w:tcPr>
            <w:tcW w:w="391" w:type="pct"/>
            <w:tcBorders>
              <w:top w:val="nil"/>
              <w:left w:val="nil"/>
              <w:bottom w:val="nil"/>
              <w:right w:val="nil"/>
            </w:tcBorders>
            <w:shd w:val="clear" w:color="auto" w:fill="auto"/>
            <w:noWrap/>
            <w:vAlign w:val="center"/>
            <w:hideMark/>
          </w:tcPr>
          <w:p w14:paraId="7567C752" w14:textId="77777777" w:rsidR="005D38D3" w:rsidRPr="00925C94" w:rsidRDefault="005D38D3" w:rsidP="00B755E6">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970</w:t>
            </w:r>
          </w:p>
        </w:tc>
        <w:tc>
          <w:tcPr>
            <w:tcW w:w="555" w:type="pct"/>
            <w:tcBorders>
              <w:top w:val="nil"/>
              <w:left w:val="nil"/>
              <w:bottom w:val="nil"/>
              <w:right w:val="nil"/>
            </w:tcBorders>
            <w:shd w:val="clear" w:color="auto" w:fill="auto"/>
            <w:noWrap/>
            <w:vAlign w:val="center"/>
            <w:hideMark/>
          </w:tcPr>
          <w:p w14:paraId="295691B2" w14:textId="77777777" w:rsidR="005D38D3" w:rsidRPr="00925C94" w:rsidRDefault="005D38D3" w:rsidP="00B755E6">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307</w:t>
            </w:r>
          </w:p>
        </w:tc>
        <w:tc>
          <w:tcPr>
            <w:tcW w:w="408" w:type="pct"/>
            <w:tcBorders>
              <w:top w:val="nil"/>
              <w:left w:val="nil"/>
              <w:bottom w:val="nil"/>
              <w:right w:val="nil"/>
            </w:tcBorders>
            <w:shd w:val="clear" w:color="auto" w:fill="auto"/>
            <w:noWrap/>
            <w:vAlign w:val="center"/>
            <w:hideMark/>
          </w:tcPr>
          <w:p w14:paraId="79202BB5" w14:textId="77777777" w:rsidR="005D38D3" w:rsidRPr="00925C94" w:rsidRDefault="005D38D3" w:rsidP="00F22F6C">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282</w:t>
            </w:r>
          </w:p>
        </w:tc>
        <w:tc>
          <w:tcPr>
            <w:tcW w:w="647" w:type="pct"/>
            <w:tcBorders>
              <w:top w:val="nil"/>
              <w:left w:val="nil"/>
              <w:bottom w:val="nil"/>
              <w:right w:val="nil"/>
            </w:tcBorders>
            <w:shd w:val="clear" w:color="auto" w:fill="auto"/>
            <w:noWrap/>
            <w:vAlign w:val="center"/>
            <w:hideMark/>
          </w:tcPr>
          <w:p w14:paraId="6239BAFC" w14:textId="77777777" w:rsidR="005D38D3" w:rsidRPr="00925C94" w:rsidRDefault="005D38D3" w:rsidP="00CF0671">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0</w:t>
            </w:r>
          </w:p>
        </w:tc>
        <w:tc>
          <w:tcPr>
            <w:tcW w:w="522" w:type="pct"/>
            <w:tcBorders>
              <w:top w:val="nil"/>
              <w:left w:val="nil"/>
              <w:bottom w:val="nil"/>
              <w:right w:val="nil"/>
            </w:tcBorders>
            <w:shd w:val="clear" w:color="000000" w:fill="F2DCDB"/>
            <w:noWrap/>
            <w:vAlign w:val="center"/>
            <w:hideMark/>
          </w:tcPr>
          <w:p w14:paraId="5BC735AE" w14:textId="77777777" w:rsidR="005D38D3" w:rsidRPr="00925C94" w:rsidRDefault="005D38D3" w:rsidP="00CF0671">
            <w:pPr>
              <w:spacing w:before="0" w:after="0"/>
              <w:jc w:val="center"/>
              <w:rPr>
                <w:rFonts w:ascii="Calibri" w:hAnsi="Calibri" w:cs="Times New Roman"/>
                <w:b/>
                <w:bCs/>
                <w:sz w:val="20"/>
                <w:szCs w:val="20"/>
              </w:rPr>
            </w:pPr>
            <w:r w:rsidRPr="00925C94">
              <w:rPr>
                <w:rFonts w:ascii="Calibri" w:hAnsi="Calibri" w:cs="Times New Roman"/>
                <w:b/>
                <w:bCs/>
                <w:sz w:val="20"/>
                <w:szCs w:val="20"/>
              </w:rPr>
              <w:t>5</w:t>
            </w:r>
            <w:r w:rsidR="006B0C6A" w:rsidRPr="00925C94">
              <w:rPr>
                <w:rFonts w:ascii="Calibri" w:hAnsi="Calibri" w:cs="Times New Roman"/>
                <w:b/>
                <w:bCs/>
                <w:sz w:val="20"/>
                <w:szCs w:val="20"/>
              </w:rPr>
              <w:t>,</w:t>
            </w:r>
            <w:r w:rsidRPr="00925C94">
              <w:rPr>
                <w:rFonts w:ascii="Calibri" w:hAnsi="Calibri" w:cs="Times New Roman"/>
                <w:b/>
                <w:bCs/>
                <w:sz w:val="20"/>
                <w:szCs w:val="20"/>
              </w:rPr>
              <w:t>560</w:t>
            </w:r>
          </w:p>
        </w:tc>
        <w:tc>
          <w:tcPr>
            <w:tcW w:w="679" w:type="pct"/>
            <w:tcBorders>
              <w:top w:val="nil"/>
              <w:left w:val="nil"/>
              <w:bottom w:val="nil"/>
              <w:right w:val="single" w:sz="4" w:space="0" w:color="auto"/>
            </w:tcBorders>
            <w:shd w:val="clear" w:color="000000" w:fill="F2DCDB"/>
            <w:noWrap/>
            <w:vAlign w:val="center"/>
            <w:hideMark/>
          </w:tcPr>
          <w:p w14:paraId="04632FC7" w14:textId="77777777" w:rsidR="005D38D3" w:rsidRPr="00925C94" w:rsidRDefault="005D38D3" w:rsidP="00CF0671">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-6</w:t>
            </w:r>
          </w:p>
        </w:tc>
      </w:tr>
      <w:tr w:rsidR="005D38D3" w:rsidRPr="00925C94" w14:paraId="564CB087" w14:textId="77777777" w:rsidTr="00A35C25">
        <w:trPr>
          <w:trHeight w:val="300"/>
        </w:trPr>
        <w:tc>
          <w:tcPr>
            <w:tcW w:w="1042" w:type="pct"/>
            <w:vMerge/>
            <w:tcBorders>
              <w:top w:val="nil"/>
              <w:left w:val="single" w:sz="4" w:space="0" w:color="auto"/>
              <w:bottom w:val="nil"/>
              <w:right w:val="nil"/>
            </w:tcBorders>
            <w:vAlign w:val="center"/>
            <w:hideMark/>
          </w:tcPr>
          <w:p w14:paraId="05B9D192" w14:textId="77777777" w:rsidR="005D38D3" w:rsidRPr="00925C94" w:rsidRDefault="005D38D3" w:rsidP="0065493C">
            <w:pPr>
              <w:spacing w:before="0" w:after="0"/>
              <w:jc w:val="center"/>
              <w:rPr>
                <w:rFonts w:ascii="Calibri" w:hAnsi="Calibri" w:cs="Times New Roman"/>
                <w:b/>
                <w:bCs/>
                <w:color w:val="000000"/>
                <w:sz w:val="20"/>
                <w:szCs w:val="20"/>
              </w:rPr>
            </w:pPr>
          </w:p>
        </w:tc>
        <w:tc>
          <w:tcPr>
            <w:tcW w:w="337" w:type="pct"/>
            <w:tcBorders>
              <w:top w:val="nil"/>
              <w:left w:val="single" w:sz="4" w:space="0" w:color="auto"/>
              <w:bottom w:val="nil"/>
              <w:right w:val="single" w:sz="4" w:space="0" w:color="auto"/>
            </w:tcBorders>
            <w:shd w:val="clear" w:color="000000" w:fill="F2F2F2"/>
            <w:noWrap/>
            <w:vAlign w:val="center"/>
            <w:hideMark/>
          </w:tcPr>
          <w:p w14:paraId="44A97E85"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w:t>
            </w:r>
          </w:p>
        </w:tc>
        <w:tc>
          <w:tcPr>
            <w:tcW w:w="419" w:type="pct"/>
            <w:tcBorders>
              <w:top w:val="nil"/>
              <w:left w:val="nil"/>
              <w:bottom w:val="nil"/>
              <w:right w:val="single" w:sz="4" w:space="0" w:color="auto"/>
            </w:tcBorders>
            <w:shd w:val="clear" w:color="000000" w:fill="F2F2F2"/>
            <w:noWrap/>
            <w:vAlign w:val="center"/>
            <w:hideMark/>
          </w:tcPr>
          <w:p w14:paraId="35677BCD"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100%</w:t>
            </w:r>
          </w:p>
        </w:tc>
        <w:tc>
          <w:tcPr>
            <w:tcW w:w="391" w:type="pct"/>
            <w:tcBorders>
              <w:top w:val="nil"/>
              <w:left w:val="nil"/>
              <w:bottom w:val="nil"/>
              <w:right w:val="nil"/>
            </w:tcBorders>
            <w:shd w:val="clear" w:color="auto" w:fill="auto"/>
            <w:noWrap/>
            <w:vAlign w:val="center"/>
            <w:hideMark/>
          </w:tcPr>
          <w:p w14:paraId="5E0525E3"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53%</w:t>
            </w:r>
          </w:p>
        </w:tc>
        <w:tc>
          <w:tcPr>
            <w:tcW w:w="555" w:type="pct"/>
            <w:tcBorders>
              <w:top w:val="nil"/>
              <w:left w:val="nil"/>
              <w:bottom w:val="nil"/>
              <w:right w:val="nil"/>
            </w:tcBorders>
            <w:shd w:val="clear" w:color="auto" w:fill="auto"/>
            <w:noWrap/>
            <w:vAlign w:val="center"/>
            <w:hideMark/>
          </w:tcPr>
          <w:p w14:paraId="068B5B12"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42%</w:t>
            </w:r>
          </w:p>
        </w:tc>
        <w:tc>
          <w:tcPr>
            <w:tcW w:w="408" w:type="pct"/>
            <w:tcBorders>
              <w:top w:val="nil"/>
              <w:left w:val="nil"/>
              <w:bottom w:val="nil"/>
              <w:right w:val="nil"/>
            </w:tcBorders>
            <w:shd w:val="clear" w:color="auto" w:fill="auto"/>
            <w:noWrap/>
            <w:vAlign w:val="center"/>
            <w:hideMark/>
          </w:tcPr>
          <w:p w14:paraId="2B3180B5"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5%</w:t>
            </w:r>
          </w:p>
        </w:tc>
        <w:tc>
          <w:tcPr>
            <w:tcW w:w="647" w:type="pct"/>
            <w:tcBorders>
              <w:top w:val="nil"/>
              <w:left w:val="nil"/>
              <w:bottom w:val="nil"/>
              <w:right w:val="nil"/>
            </w:tcBorders>
            <w:shd w:val="clear" w:color="auto" w:fill="auto"/>
            <w:noWrap/>
            <w:vAlign w:val="center"/>
            <w:hideMark/>
          </w:tcPr>
          <w:p w14:paraId="252357F4"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0%</w:t>
            </w:r>
          </w:p>
        </w:tc>
        <w:tc>
          <w:tcPr>
            <w:tcW w:w="522" w:type="pct"/>
            <w:tcBorders>
              <w:top w:val="nil"/>
              <w:left w:val="nil"/>
              <w:bottom w:val="nil"/>
              <w:right w:val="nil"/>
            </w:tcBorders>
            <w:shd w:val="clear" w:color="000000" w:fill="F2DCDB"/>
            <w:noWrap/>
            <w:vAlign w:val="center"/>
            <w:hideMark/>
          </w:tcPr>
          <w:p w14:paraId="57F1E7F5" w14:textId="77777777" w:rsidR="005D38D3" w:rsidRPr="00925C94" w:rsidRDefault="005D38D3" w:rsidP="00A35C25">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100%</w:t>
            </w:r>
          </w:p>
        </w:tc>
        <w:tc>
          <w:tcPr>
            <w:tcW w:w="679" w:type="pct"/>
            <w:tcBorders>
              <w:top w:val="nil"/>
              <w:left w:val="nil"/>
              <w:bottom w:val="nil"/>
              <w:right w:val="single" w:sz="4" w:space="0" w:color="auto"/>
            </w:tcBorders>
            <w:shd w:val="clear" w:color="000000" w:fill="F2DCDB"/>
            <w:noWrap/>
            <w:vAlign w:val="center"/>
            <w:hideMark/>
          </w:tcPr>
          <w:p w14:paraId="765C844F" w14:textId="77777777" w:rsidR="005D38D3" w:rsidRPr="00925C94" w:rsidRDefault="005D38D3" w:rsidP="00A35C25">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0%</w:t>
            </w:r>
          </w:p>
        </w:tc>
      </w:tr>
      <w:tr w:rsidR="005D38D3" w:rsidRPr="00925C94" w14:paraId="7E2532E5" w14:textId="77777777" w:rsidTr="00A35C25">
        <w:trPr>
          <w:trHeight w:val="300"/>
        </w:trPr>
        <w:tc>
          <w:tcPr>
            <w:tcW w:w="1042" w:type="pct"/>
            <w:vMerge w:val="restart"/>
            <w:tcBorders>
              <w:top w:val="nil"/>
              <w:left w:val="single" w:sz="4" w:space="0" w:color="auto"/>
              <w:bottom w:val="single" w:sz="4" w:space="0" w:color="000000"/>
              <w:right w:val="single" w:sz="4" w:space="0" w:color="auto"/>
            </w:tcBorders>
            <w:shd w:val="clear" w:color="000000" w:fill="F2F2F2"/>
            <w:vAlign w:val="center"/>
            <w:hideMark/>
          </w:tcPr>
          <w:p w14:paraId="571CFF30" w14:textId="77777777" w:rsidR="005D38D3" w:rsidRPr="00925C94" w:rsidRDefault="005D38D3" w:rsidP="00A35C25">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Burnett-Mary</w:t>
            </w:r>
          </w:p>
        </w:tc>
        <w:tc>
          <w:tcPr>
            <w:tcW w:w="337" w:type="pct"/>
            <w:tcBorders>
              <w:top w:val="nil"/>
              <w:left w:val="nil"/>
              <w:bottom w:val="nil"/>
              <w:right w:val="single" w:sz="4" w:space="0" w:color="auto"/>
            </w:tcBorders>
            <w:shd w:val="clear" w:color="000000" w:fill="F2F2F2"/>
            <w:noWrap/>
            <w:vAlign w:val="center"/>
            <w:hideMark/>
          </w:tcPr>
          <w:p w14:paraId="0E76AD9B" w14:textId="77777777" w:rsidR="005D38D3" w:rsidRPr="00925C94" w:rsidRDefault="005D38D3" w:rsidP="00A35C25">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area</w:t>
            </w:r>
          </w:p>
        </w:tc>
        <w:tc>
          <w:tcPr>
            <w:tcW w:w="419" w:type="pct"/>
            <w:tcBorders>
              <w:top w:val="nil"/>
              <w:left w:val="nil"/>
              <w:bottom w:val="nil"/>
              <w:right w:val="single" w:sz="4" w:space="0" w:color="auto"/>
            </w:tcBorders>
            <w:shd w:val="clear" w:color="000000" w:fill="F2F2F2"/>
            <w:noWrap/>
            <w:vAlign w:val="center"/>
            <w:hideMark/>
          </w:tcPr>
          <w:p w14:paraId="79EECCA0" w14:textId="77777777" w:rsidR="005D38D3" w:rsidRPr="00925C94" w:rsidRDefault="005D38D3" w:rsidP="007754E4">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6</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301</w:t>
            </w:r>
          </w:p>
        </w:tc>
        <w:tc>
          <w:tcPr>
            <w:tcW w:w="391" w:type="pct"/>
            <w:tcBorders>
              <w:top w:val="nil"/>
              <w:left w:val="nil"/>
              <w:right w:val="nil"/>
            </w:tcBorders>
            <w:shd w:val="clear" w:color="auto" w:fill="auto"/>
            <w:noWrap/>
            <w:vAlign w:val="center"/>
            <w:hideMark/>
          </w:tcPr>
          <w:p w14:paraId="592D149A" w14:textId="77777777" w:rsidR="005D38D3" w:rsidRPr="00925C94" w:rsidRDefault="005D38D3" w:rsidP="00B755E6">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666</w:t>
            </w:r>
          </w:p>
        </w:tc>
        <w:tc>
          <w:tcPr>
            <w:tcW w:w="555" w:type="pct"/>
            <w:tcBorders>
              <w:top w:val="nil"/>
              <w:left w:val="nil"/>
              <w:right w:val="nil"/>
            </w:tcBorders>
            <w:shd w:val="clear" w:color="auto" w:fill="auto"/>
            <w:noWrap/>
            <w:vAlign w:val="center"/>
            <w:hideMark/>
          </w:tcPr>
          <w:p w14:paraId="317C492A" w14:textId="77777777" w:rsidR="005D38D3" w:rsidRPr="00925C94" w:rsidRDefault="005D38D3" w:rsidP="00B755E6">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296</w:t>
            </w:r>
          </w:p>
        </w:tc>
        <w:tc>
          <w:tcPr>
            <w:tcW w:w="408" w:type="pct"/>
            <w:tcBorders>
              <w:top w:val="nil"/>
              <w:left w:val="nil"/>
              <w:right w:val="nil"/>
            </w:tcBorders>
            <w:shd w:val="clear" w:color="auto" w:fill="auto"/>
            <w:noWrap/>
            <w:vAlign w:val="center"/>
            <w:hideMark/>
          </w:tcPr>
          <w:p w14:paraId="080F9558" w14:textId="77777777" w:rsidR="005D38D3" w:rsidRPr="00925C94" w:rsidRDefault="005D38D3" w:rsidP="00F22F6C">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17</w:t>
            </w:r>
          </w:p>
        </w:tc>
        <w:tc>
          <w:tcPr>
            <w:tcW w:w="647" w:type="pct"/>
            <w:tcBorders>
              <w:top w:val="nil"/>
              <w:left w:val="nil"/>
              <w:right w:val="nil"/>
            </w:tcBorders>
            <w:shd w:val="clear" w:color="auto" w:fill="auto"/>
            <w:noWrap/>
            <w:vAlign w:val="center"/>
            <w:hideMark/>
          </w:tcPr>
          <w:p w14:paraId="58E11693" w14:textId="77777777" w:rsidR="005D38D3" w:rsidRPr="00925C94" w:rsidRDefault="005D38D3" w:rsidP="00CF0671">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0</w:t>
            </w:r>
          </w:p>
        </w:tc>
        <w:tc>
          <w:tcPr>
            <w:tcW w:w="522" w:type="pct"/>
            <w:tcBorders>
              <w:top w:val="nil"/>
              <w:left w:val="nil"/>
              <w:right w:val="nil"/>
            </w:tcBorders>
            <w:shd w:val="clear" w:color="000000" w:fill="F2DCDB"/>
            <w:noWrap/>
            <w:vAlign w:val="center"/>
            <w:hideMark/>
          </w:tcPr>
          <w:p w14:paraId="4E2BFBCA" w14:textId="77777777" w:rsidR="005D38D3" w:rsidRPr="00925C94" w:rsidRDefault="005D38D3" w:rsidP="00CF0671">
            <w:pPr>
              <w:spacing w:before="0" w:after="0"/>
              <w:jc w:val="center"/>
              <w:rPr>
                <w:rFonts w:ascii="Calibri" w:hAnsi="Calibri" w:cs="Times New Roman"/>
                <w:b/>
                <w:bCs/>
                <w:sz w:val="20"/>
                <w:szCs w:val="20"/>
              </w:rPr>
            </w:pPr>
            <w:r w:rsidRPr="00925C94">
              <w:rPr>
                <w:rFonts w:ascii="Calibri" w:hAnsi="Calibri" w:cs="Times New Roman"/>
                <w:b/>
                <w:bCs/>
                <w:sz w:val="20"/>
                <w:szCs w:val="20"/>
              </w:rPr>
              <w:t>4</w:t>
            </w:r>
            <w:r w:rsidR="006B0C6A" w:rsidRPr="00925C94">
              <w:rPr>
                <w:rFonts w:ascii="Calibri" w:hAnsi="Calibri" w:cs="Times New Roman"/>
                <w:b/>
                <w:bCs/>
                <w:sz w:val="20"/>
                <w:szCs w:val="20"/>
              </w:rPr>
              <w:t>,</w:t>
            </w:r>
            <w:r w:rsidRPr="00925C94">
              <w:rPr>
                <w:rFonts w:ascii="Calibri" w:hAnsi="Calibri" w:cs="Times New Roman"/>
                <w:b/>
                <w:bCs/>
                <w:sz w:val="20"/>
                <w:szCs w:val="20"/>
              </w:rPr>
              <w:t>979</w:t>
            </w:r>
          </w:p>
        </w:tc>
        <w:tc>
          <w:tcPr>
            <w:tcW w:w="679" w:type="pct"/>
            <w:tcBorders>
              <w:top w:val="nil"/>
              <w:left w:val="nil"/>
              <w:right w:val="single" w:sz="4" w:space="0" w:color="auto"/>
            </w:tcBorders>
            <w:shd w:val="clear" w:color="000000" w:fill="F2DCDB"/>
            <w:noWrap/>
            <w:vAlign w:val="center"/>
            <w:hideMark/>
          </w:tcPr>
          <w:p w14:paraId="08674DED" w14:textId="77777777" w:rsidR="005D38D3" w:rsidRPr="00925C94" w:rsidRDefault="005D38D3" w:rsidP="00CF0671">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1321</w:t>
            </w:r>
          </w:p>
        </w:tc>
      </w:tr>
      <w:tr w:rsidR="005D38D3" w:rsidRPr="00925C94" w14:paraId="2D340CBB" w14:textId="77777777" w:rsidTr="00A35C25">
        <w:trPr>
          <w:trHeight w:val="300"/>
        </w:trPr>
        <w:tc>
          <w:tcPr>
            <w:tcW w:w="1042" w:type="pct"/>
            <w:vMerge/>
            <w:tcBorders>
              <w:top w:val="nil"/>
              <w:left w:val="single" w:sz="4" w:space="0" w:color="auto"/>
              <w:bottom w:val="single" w:sz="4" w:space="0" w:color="000000"/>
              <w:right w:val="single" w:sz="4" w:space="0" w:color="auto"/>
            </w:tcBorders>
            <w:vAlign w:val="center"/>
            <w:hideMark/>
          </w:tcPr>
          <w:p w14:paraId="741E6510" w14:textId="77777777" w:rsidR="005D38D3" w:rsidRPr="00925C94" w:rsidRDefault="005D38D3" w:rsidP="0065493C">
            <w:pPr>
              <w:spacing w:before="0" w:after="0"/>
              <w:jc w:val="center"/>
              <w:rPr>
                <w:rFonts w:ascii="Calibri" w:hAnsi="Calibri" w:cs="Times New Roman"/>
                <w:b/>
                <w:bCs/>
                <w:color w:val="000000"/>
                <w:sz w:val="20"/>
                <w:szCs w:val="20"/>
              </w:rPr>
            </w:pPr>
          </w:p>
        </w:tc>
        <w:tc>
          <w:tcPr>
            <w:tcW w:w="337" w:type="pct"/>
            <w:tcBorders>
              <w:top w:val="nil"/>
              <w:left w:val="nil"/>
              <w:bottom w:val="single" w:sz="4" w:space="0" w:color="auto"/>
              <w:right w:val="single" w:sz="4" w:space="0" w:color="auto"/>
            </w:tcBorders>
            <w:shd w:val="clear" w:color="000000" w:fill="F2F2F2"/>
            <w:noWrap/>
            <w:vAlign w:val="center"/>
            <w:hideMark/>
          </w:tcPr>
          <w:p w14:paraId="4D1809FA"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w:t>
            </w:r>
          </w:p>
        </w:tc>
        <w:tc>
          <w:tcPr>
            <w:tcW w:w="419" w:type="pct"/>
            <w:tcBorders>
              <w:top w:val="nil"/>
              <w:left w:val="nil"/>
              <w:bottom w:val="single" w:sz="4" w:space="0" w:color="auto"/>
              <w:right w:val="single" w:sz="4" w:space="0" w:color="auto"/>
            </w:tcBorders>
            <w:shd w:val="clear" w:color="000000" w:fill="F2F2F2"/>
            <w:noWrap/>
            <w:vAlign w:val="center"/>
            <w:hideMark/>
          </w:tcPr>
          <w:p w14:paraId="2E439CB4"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100%</w:t>
            </w:r>
          </w:p>
        </w:tc>
        <w:tc>
          <w:tcPr>
            <w:tcW w:w="391" w:type="pct"/>
            <w:tcBorders>
              <w:top w:val="nil"/>
              <w:left w:val="nil"/>
              <w:bottom w:val="single" w:sz="4" w:space="0" w:color="auto"/>
              <w:right w:val="nil"/>
            </w:tcBorders>
            <w:shd w:val="clear" w:color="auto" w:fill="auto"/>
            <w:noWrap/>
            <w:vAlign w:val="center"/>
            <w:hideMark/>
          </w:tcPr>
          <w:p w14:paraId="72DF79E8"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42%</w:t>
            </w:r>
          </w:p>
        </w:tc>
        <w:tc>
          <w:tcPr>
            <w:tcW w:w="555" w:type="pct"/>
            <w:tcBorders>
              <w:top w:val="nil"/>
              <w:left w:val="nil"/>
              <w:bottom w:val="single" w:sz="4" w:space="0" w:color="auto"/>
              <w:right w:val="nil"/>
            </w:tcBorders>
            <w:shd w:val="clear" w:color="auto" w:fill="auto"/>
            <w:noWrap/>
            <w:vAlign w:val="center"/>
            <w:hideMark/>
          </w:tcPr>
          <w:p w14:paraId="0254B54B"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36%</w:t>
            </w:r>
          </w:p>
        </w:tc>
        <w:tc>
          <w:tcPr>
            <w:tcW w:w="408" w:type="pct"/>
            <w:tcBorders>
              <w:top w:val="nil"/>
              <w:left w:val="nil"/>
              <w:bottom w:val="single" w:sz="4" w:space="0" w:color="auto"/>
              <w:right w:val="nil"/>
            </w:tcBorders>
            <w:shd w:val="clear" w:color="auto" w:fill="auto"/>
            <w:noWrap/>
            <w:vAlign w:val="center"/>
            <w:hideMark/>
          </w:tcPr>
          <w:p w14:paraId="06BBA30A"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0%</w:t>
            </w:r>
          </w:p>
        </w:tc>
        <w:tc>
          <w:tcPr>
            <w:tcW w:w="647" w:type="pct"/>
            <w:tcBorders>
              <w:top w:val="nil"/>
              <w:left w:val="nil"/>
              <w:bottom w:val="single" w:sz="4" w:space="0" w:color="auto"/>
              <w:right w:val="nil"/>
            </w:tcBorders>
            <w:shd w:val="clear" w:color="auto" w:fill="auto"/>
            <w:noWrap/>
            <w:vAlign w:val="center"/>
            <w:hideMark/>
          </w:tcPr>
          <w:p w14:paraId="676A713A"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0%</w:t>
            </w:r>
          </w:p>
        </w:tc>
        <w:tc>
          <w:tcPr>
            <w:tcW w:w="522" w:type="pct"/>
            <w:tcBorders>
              <w:top w:val="nil"/>
              <w:left w:val="nil"/>
              <w:bottom w:val="single" w:sz="4" w:space="0" w:color="auto"/>
              <w:right w:val="nil"/>
            </w:tcBorders>
            <w:shd w:val="clear" w:color="000000" w:fill="F2DCDB"/>
            <w:noWrap/>
            <w:vAlign w:val="center"/>
            <w:hideMark/>
          </w:tcPr>
          <w:p w14:paraId="7986B08C" w14:textId="77777777" w:rsidR="005D38D3" w:rsidRPr="00925C94" w:rsidRDefault="005D38D3" w:rsidP="00A35C25">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79%</w:t>
            </w:r>
          </w:p>
        </w:tc>
        <w:tc>
          <w:tcPr>
            <w:tcW w:w="679" w:type="pct"/>
            <w:tcBorders>
              <w:top w:val="nil"/>
              <w:left w:val="nil"/>
              <w:bottom w:val="single" w:sz="4" w:space="0" w:color="auto"/>
              <w:right w:val="single" w:sz="4" w:space="0" w:color="auto"/>
            </w:tcBorders>
            <w:shd w:val="clear" w:color="000000" w:fill="F2DCDB"/>
            <w:noWrap/>
            <w:vAlign w:val="center"/>
            <w:hideMark/>
          </w:tcPr>
          <w:p w14:paraId="3F2FF0C2" w14:textId="77777777" w:rsidR="005D38D3" w:rsidRPr="00925C94" w:rsidRDefault="005D38D3" w:rsidP="00A35C25">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21%</w:t>
            </w:r>
          </w:p>
        </w:tc>
      </w:tr>
      <w:tr w:rsidR="005D38D3" w:rsidRPr="00925C94" w14:paraId="3E8FC9FC" w14:textId="77777777" w:rsidTr="00A35C25">
        <w:trPr>
          <w:trHeight w:val="300"/>
        </w:trPr>
        <w:tc>
          <w:tcPr>
            <w:tcW w:w="1042" w:type="pct"/>
            <w:tcBorders>
              <w:top w:val="nil"/>
              <w:left w:val="nil"/>
              <w:bottom w:val="nil"/>
              <w:right w:val="nil"/>
            </w:tcBorders>
            <w:shd w:val="clear" w:color="auto" w:fill="auto"/>
            <w:noWrap/>
            <w:vAlign w:val="center"/>
            <w:hideMark/>
          </w:tcPr>
          <w:p w14:paraId="40D93BFF" w14:textId="77777777" w:rsidR="005D38D3" w:rsidRPr="00925C94" w:rsidRDefault="005D38D3" w:rsidP="00A35C25">
            <w:pPr>
              <w:spacing w:before="0" w:after="0"/>
              <w:jc w:val="center"/>
              <w:rPr>
                <w:rFonts w:ascii="Calibri" w:hAnsi="Calibri" w:cs="Times New Roman"/>
                <w:b/>
                <w:bCs/>
                <w:color w:val="000000"/>
                <w:sz w:val="20"/>
                <w:szCs w:val="20"/>
              </w:rPr>
            </w:pPr>
          </w:p>
        </w:tc>
        <w:tc>
          <w:tcPr>
            <w:tcW w:w="337" w:type="pct"/>
            <w:tcBorders>
              <w:top w:val="nil"/>
              <w:left w:val="nil"/>
              <w:bottom w:val="nil"/>
              <w:right w:val="nil"/>
            </w:tcBorders>
            <w:shd w:val="clear" w:color="auto" w:fill="auto"/>
            <w:noWrap/>
            <w:vAlign w:val="center"/>
            <w:hideMark/>
          </w:tcPr>
          <w:p w14:paraId="68DF8C36" w14:textId="77777777" w:rsidR="005D38D3" w:rsidRPr="00925C94" w:rsidRDefault="005D38D3" w:rsidP="00A35C25">
            <w:pPr>
              <w:spacing w:before="0" w:after="0"/>
              <w:jc w:val="center"/>
              <w:rPr>
                <w:rFonts w:ascii="Calibri" w:hAnsi="Calibri" w:cs="Times New Roman"/>
                <w:color w:val="000000"/>
                <w:sz w:val="20"/>
                <w:szCs w:val="20"/>
              </w:rPr>
            </w:pPr>
          </w:p>
        </w:tc>
        <w:tc>
          <w:tcPr>
            <w:tcW w:w="419" w:type="pct"/>
            <w:tcBorders>
              <w:top w:val="nil"/>
              <w:left w:val="nil"/>
              <w:bottom w:val="nil"/>
              <w:right w:val="nil"/>
            </w:tcBorders>
            <w:shd w:val="clear" w:color="auto" w:fill="auto"/>
            <w:noWrap/>
            <w:vAlign w:val="center"/>
            <w:hideMark/>
          </w:tcPr>
          <w:p w14:paraId="6312E701" w14:textId="77777777" w:rsidR="005D38D3" w:rsidRPr="00925C94" w:rsidRDefault="005D38D3" w:rsidP="007754E4">
            <w:pPr>
              <w:spacing w:before="0" w:after="0"/>
              <w:jc w:val="center"/>
              <w:rPr>
                <w:rFonts w:ascii="Calibri" w:hAnsi="Calibri" w:cs="Times New Roman"/>
                <w:color w:val="000000"/>
                <w:sz w:val="20"/>
                <w:szCs w:val="20"/>
              </w:rPr>
            </w:pPr>
          </w:p>
        </w:tc>
        <w:tc>
          <w:tcPr>
            <w:tcW w:w="391" w:type="pct"/>
            <w:tcBorders>
              <w:top w:val="single" w:sz="4" w:space="0" w:color="auto"/>
              <w:left w:val="nil"/>
              <w:bottom w:val="nil"/>
              <w:right w:val="nil"/>
            </w:tcBorders>
            <w:shd w:val="clear" w:color="auto" w:fill="auto"/>
            <w:noWrap/>
            <w:vAlign w:val="center"/>
            <w:hideMark/>
          </w:tcPr>
          <w:p w14:paraId="67350713" w14:textId="77777777" w:rsidR="005D38D3" w:rsidRPr="00925C94" w:rsidRDefault="005D38D3" w:rsidP="00B755E6">
            <w:pPr>
              <w:spacing w:before="0" w:after="0"/>
              <w:jc w:val="center"/>
              <w:rPr>
                <w:rFonts w:ascii="Calibri" w:hAnsi="Calibri" w:cs="Times New Roman"/>
                <w:color w:val="000000"/>
                <w:sz w:val="20"/>
                <w:szCs w:val="20"/>
              </w:rPr>
            </w:pPr>
          </w:p>
        </w:tc>
        <w:tc>
          <w:tcPr>
            <w:tcW w:w="555" w:type="pct"/>
            <w:tcBorders>
              <w:top w:val="single" w:sz="4" w:space="0" w:color="auto"/>
              <w:left w:val="nil"/>
              <w:bottom w:val="nil"/>
              <w:right w:val="nil"/>
            </w:tcBorders>
            <w:shd w:val="clear" w:color="auto" w:fill="auto"/>
            <w:noWrap/>
            <w:vAlign w:val="center"/>
            <w:hideMark/>
          </w:tcPr>
          <w:p w14:paraId="785D4B73" w14:textId="77777777" w:rsidR="005D38D3" w:rsidRPr="00925C94" w:rsidRDefault="005D38D3" w:rsidP="00B755E6">
            <w:pPr>
              <w:spacing w:before="0" w:after="0"/>
              <w:jc w:val="center"/>
              <w:rPr>
                <w:rFonts w:ascii="Calibri" w:hAnsi="Calibri" w:cs="Times New Roman"/>
                <w:color w:val="000000"/>
                <w:sz w:val="20"/>
                <w:szCs w:val="20"/>
              </w:rPr>
            </w:pPr>
          </w:p>
        </w:tc>
        <w:tc>
          <w:tcPr>
            <w:tcW w:w="408" w:type="pct"/>
            <w:tcBorders>
              <w:top w:val="single" w:sz="4" w:space="0" w:color="auto"/>
              <w:left w:val="nil"/>
              <w:bottom w:val="nil"/>
              <w:right w:val="nil"/>
            </w:tcBorders>
            <w:shd w:val="clear" w:color="auto" w:fill="auto"/>
            <w:noWrap/>
            <w:vAlign w:val="center"/>
            <w:hideMark/>
          </w:tcPr>
          <w:p w14:paraId="2E247C08" w14:textId="77777777" w:rsidR="005D38D3" w:rsidRPr="00925C94" w:rsidRDefault="005D38D3" w:rsidP="00F22F6C">
            <w:pPr>
              <w:spacing w:before="0" w:after="0"/>
              <w:jc w:val="center"/>
              <w:rPr>
                <w:rFonts w:ascii="Calibri" w:hAnsi="Calibri" w:cs="Times New Roman"/>
                <w:color w:val="000000"/>
                <w:sz w:val="20"/>
                <w:szCs w:val="20"/>
              </w:rPr>
            </w:pPr>
          </w:p>
        </w:tc>
        <w:tc>
          <w:tcPr>
            <w:tcW w:w="647" w:type="pct"/>
            <w:tcBorders>
              <w:top w:val="single" w:sz="4" w:space="0" w:color="auto"/>
              <w:left w:val="nil"/>
              <w:bottom w:val="nil"/>
              <w:right w:val="nil"/>
            </w:tcBorders>
            <w:shd w:val="clear" w:color="auto" w:fill="auto"/>
            <w:noWrap/>
            <w:vAlign w:val="center"/>
            <w:hideMark/>
          </w:tcPr>
          <w:p w14:paraId="48B6FF1F" w14:textId="77777777" w:rsidR="005D38D3" w:rsidRPr="00925C94" w:rsidRDefault="005D38D3" w:rsidP="00CF0671">
            <w:pPr>
              <w:spacing w:before="0" w:after="0"/>
              <w:jc w:val="center"/>
              <w:rPr>
                <w:rFonts w:ascii="Calibri" w:hAnsi="Calibri" w:cs="Times New Roman"/>
                <w:color w:val="000000"/>
                <w:sz w:val="20"/>
                <w:szCs w:val="20"/>
              </w:rPr>
            </w:pPr>
          </w:p>
        </w:tc>
        <w:tc>
          <w:tcPr>
            <w:tcW w:w="522" w:type="pct"/>
            <w:tcBorders>
              <w:top w:val="single" w:sz="4" w:space="0" w:color="auto"/>
              <w:left w:val="nil"/>
              <w:bottom w:val="nil"/>
              <w:right w:val="nil"/>
            </w:tcBorders>
            <w:shd w:val="clear" w:color="auto" w:fill="auto"/>
            <w:noWrap/>
            <w:vAlign w:val="center"/>
            <w:hideMark/>
          </w:tcPr>
          <w:p w14:paraId="2F66154A" w14:textId="77777777" w:rsidR="005D38D3" w:rsidRPr="00925C94" w:rsidRDefault="005D38D3" w:rsidP="00CF0671">
            <w:pPr>
              <w:spacing w:before="0" w:after="0"/>
              <w:jc w:val="center"/>
              <w:rPr>
                <w:rFonts w:ascii="Calibri" w:hAnsi="Calibri" w:cs="Times New Roman"/>
                <w:color w:val="000000"/>
                <w:sz w:val="20"/>
                <w:szCs w:val="20"/>
              </w:rPr>
            </w:pPr>
          </w:p>
        </w:tc>
        <w:tc>
          <w:tcPr>
            <w:tcW w:w="679" w:type="pct"/>
            <w:tcBorders>
              <w:top w:val="single" w:sz="4" w:space="0" w:color="auto"/>
              <w:left w:val="nil"/>
              <w:bottom w:val="nil"/>
              <w:right w:val="nil"/>
            </w:tcBorders>
            <w:shd w:val="clear" w:color="auto" w:fill="auto"/>
            <w:noWrap/>
            <w:vAlign w:val="center"/>
            <w:hideMark/>
          </w:tcPr>
          <w:p w14:paraId="7A4B873B" w14:textId="77777777" w:rsidR="005D38D3" w:rsidRPr="00925C94" w:rsidRDefault="005D38D3" w:rsidP="00CF0671">
            <w:pPr>
              <w:spacing w:before="0" w:after="0"/>
              <w:jc w:val="center"/>
              <w:rPr>
                <w:rFonts w:ascii="Calibri" w:hAnsi="Calibri" w:cs="Times New Roman"/>
                <w:color w:val="000000"/>
                <w:sz w:val="20"/>
                <w:szCs w:val="20"/>
              </w:rPr>
            </w:pPr>
          </w:p>
        </w:tc>
      </w:tr>
      <w:tr w:rsidR="005D38D3" w:rsidRPr="00925C94" w14:paraId="4E325662" w14:textId="77777777" w:rsidTr="00A35C25">
        <w:trPr>
          <w:trHeight w:val="300"/>
        </w:trPr>
        <w:tc>
          <w:tcPr>
            <w:tcW w:w="1042" w:type="pct"/>
            <w:tcBorders>
              <w:top w:val="nil"/>
              <w:left w:val="nil"/>
              <w:bottom w:val="nil"/>
              <w:right w:val="nil"/>
            </w:tcBorders>
            <w:shd w:val="clear" w:color="auto" w:fill="auto"/>
            <w:noWrap/>
            <w:vAlign w:val="center"/>
            <w:hideMark/>
          </w:tcPr>
          <w:p w14:paraId="2D44A396" w14:textId="77777777" w:rsidR="005D38D3" w:rsidRPr="00925C94" w:rsidRDefault="005D38D3" w:rsidP="00A35C25">
            <w:pPr>
              <w:spacing w:before="0" w:after="0"/>
              <w:jc w:val="center"/>
              <w:rPr>
                <w:rFonts w:ascii="Calibri" w:hAnsi="Calibri" w:cs="Times New Roman"/>
                <w:color w:val="000000"/>
                <w:sz w:val="20"/>
                <w:szCs w:val="20"/>
              </w:rPr>
            </w:pPr>
          </w:p>
        </w:tc>
        <w:tc>
          <w:tcPr>
            <w:tcW w:w="337" w:type="pct"/>
            <w:tcBorders>
              <w:top w:val="nil"/>
              <w:left w:val="nil"/>
              <w:bottom w:val="nil"/>
              <w:right w:val="nil"/>
            </w:tcBorders>
            <w:shd w:val="clear" w:color="auto" w:fill="auto"/>
            <w:noWrap/>
            <w:vAlign w:val="center"/>
            <w:hideMark/>
          </w:tcPr>
          <w:p w14:paraId="3D447F91" w14:textId="77777777" w:rsidR="005D38D3" w:rsidRPr="00925C94" w:rsidRDefault="005D38D3" w:rsidP="00A35C25">
            <w:pPr>
              <w:spacing w:before="0" w:after="0"/>
              <w:jc w:val="center"/>
              <w:rPr>
                <w:rFonts w:ascii="Calibri" w:hAnsi="Calibri" w:cs="Times New Roman"/>
                <w:color w:val="000000"/>
                <w:sz w:val="20"/>
                <w:szCs w:val="20"/>
              </w:rPr>
            </w:pPr>
          </w:p>
        </w:tc>
        <w:tc>
          <w:tcPr>
            <w:tcW w:w="419" w:type="pct"/>
            <w:tcBorders>
              <w:top w:val="nil"/>
              <w:left w:val="nil"/>
              <w:bottom w:val="nil"/>
              <w:right w:val="nil"/>
            </w:tcBorders>
            <w:shd w:val="clear" w:color="auto" w:fill="auto"/>
            <w:noWrap/>
            <w:vAlign w:val="center"/>
            <w:hideMark/>
          </w:tcPr>
          <w:p w14:paraId="07DEC1DC" w14:textId="77777777" w:rsidR="005D38D3" w:rsidRPr="00925C94" w:rsidRDefault="005D38D3" w:rsidP="007754E4">
            <w:pPr>
              <w:spacing w:before="0" w:after="0"/>
              <w:jc w:val="center"/>
              <w:rPr>
                <w:rFonts w:ascii="Calibri" w:hAnsi="Calibri" w:cs="Times New Roman"/>
                <w:color w:val="000000"/>
                <w:sz w:val="20"/>
                <w:szCs w:val="20"/>
              </w:rPr>
            </w:pPr>
          </w:p>
        </w:tc>
        <w:tc>
          <w:tcPr>
            <w:tcW w:w="2001" w:type="pct"/>
            <w:gridSpan w:val="4"/>
            <w:tcBorders>
              <w:top w:val="single" w:sz="4" w:space="0" w:color="auto"/>
              <w:left w:val="single" w:sz="4" w:space="0" w:color="auto"/>
              <w:bottom w:val="single" w:sz="4" w:space="0" w:color="auto"/>
              <w:right w:val="nil"/>
            </w:tcBorders>
            <w:shd w:val="clear" w:color="000000" w:fill="F2F2F2"/>
            <w:noWrap/>
            <w:vAlign w:val="center"/>
            <w:hideMark/>
          </w:tcPr>
          <w:p w14:paraId="07BFC2C8" w14:textId="77777777" w:rsidR="005D38D3" w:rsidRPr="00925C94" w:rsidRDefault="005D38D3" w:rsidP="00B755E6">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Risk category</w:t>
            </w:r>
          </w:p>
        </w:tc>
        <w:tc>
          <w:tcPr>
            <w:tcW w:w="522" w:type="pct"/>
            <w:vMerge w:val="restart"/>
            <w:tcBorders>
              <w:top w:val="single" w:sz="4" w:space="0" w:color="auto"/>
              <w:left w:val="nil"/>
              <w:bottom w:val="single" w:sz="4" w:space="0" w:color="000000"/>
              <w:right w:val="nil"/>
            </w:tcBorders>
            <w:shd w:val="clear" w:color="000000" w:fill="F2DCDB"/>
            <w:vAlign w:val="center"/>
            <w:hideMark/>
          </w:tcPr>
          <w:p w14:paraId="62A02C6D" w14:textId="77777777" w:rsidR="005D38D3" w:rsidRPr="00925C94" w:rsidRDefault="005D38D3" w:rsidP="00B755E6">
            <w:pPr>
              <w:spacing w:before="0" w:after="0"/>
              <w:jc w:val="center"/>
              <w:rPr>
                <w:rFonts w:ascii="Calibri" w:hAnsi="Calibri" w:cs="Times New Roman"/>
                <w:b/>
                <w:bCs/>
                <w:sz w:val="20"/>
                <w:szCs w:val="20"/>
              </w:rPr>
            </w:pPr>
            <w:r w:rsidRPr="00925C94">
              <w:rPr>
                <w:sz w:val="20"/>
                <w:szCs w:val="20"/>
              </w:rPr>
              <w:t>TOT exposed</w:t>
            </w:r>
          </w:p>
        </w:tc>
        <w:tc>
          <w:tcPr>
            <w:tcW w:w="679" w:type="pct"/>
            <w:vMerge w:val="restart"/>
            <w:tcBorders>
              <w:top w:val="single" w:sz="4" w:space="0" w:color="auto"/>
              <w:left w:val="nil"/>
              <w:bottom w:val="single" w:sz="4" w:space="0" w:color="000000"/>
              <w:right w:val="single" w:sz="4" w:space="0" w:color="auto"/>
            </w:tcBorders>
            <w:shd w:val="clear" w:color="000000" w:fill="F2DCDB"/>
            <w:vAlign w:val="center"/>
            <w:hideMark/>
          </w:tcPr>
          <w:p w14:paraId="35D52D29" w14:textId="77777777" w:rsidR="005D38D3" w:rsidRPr="00925C94" w:rsidRDefault="005D38D3" w:rsidP="00F22F6C">
            <w:pPr>
              <w:spacing w:before="0" w:after="0"/>
              <w:jc w:val="center"/>
              <w:rPr>
                <w:rFonts w:ascii="Calibri" w:hAnsi="Calibri" w:cs="Times New Roman"/>
                <w:b/>
                <w:bCs/>
                <w:sz w:val="20"/>
                <w:szCs w:val="20"/>
              </w:rPr>
            </w:pPr>
            <w:r w:rsidRPr="00925C94">
              <w:rPr>
                <w:sz w:val="20"/>
                <w:szCs w:val="20"/>
              </w:rPr>
              <w:t>TOT non exposed</w:t>
            </w:r>
          </w:p>
        </w:tc>
      </w:tr>
      <w:tr w:rsidR="005D38D3" w:rsidRPr="00925C94" w14:paraId="24820AF1" w14:textId="77777777" w:rsidTr="00A35C25">
        <w:trPr>
          <w:trHeight w:val="300"/>
        </w:trPr>
        <w:tc>
          <w:tcPr>
            <w:tcW w:w="1379" w:type="pct"/>
            <w:gridSpan w:val="2"/>
            <w:tcBorders>
              <w:top w:val="single" w:sz="4" w:space="0" w:color="auto"/>
              <w:left w:val="single" w:sz="4" w:space="0" w:color="auto"/>
              <w:bottom w:val="single" w:sz="4" w:space="0" w:color="auto"/>
              <w:right w:val="single" w:sz="4" w:space="0" w:color="000000"/>
            </w:tcBorders>
            <w:shd w:val="clear" w:color="000000" w:fill="F2F2F2"/>
            <w:noWrap/>
            <w:vAlign w:val="center"/>
            <w:hideMark/>
          </w:tcPr>
          <w:p w14:paraId="7C28DB4B" w14:textId="55481D7C" w:rsidR="005D38D3" w:rsidRPr="00925C94" w:rsidRDefault="005D38D3" w:rsidP="00A35C25">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Seagrass tot</w:t>
            </w:r>
            <w:r w:rsidR="007D36C8">
              <w:rPr>
                <w:rFonts w:ascii="Calibri" w:hAnsi="Calibri" w:cs="Times New Roman"/>
                <w:b/>
                <w:bCs/>
                <w:color w:val="000000"/>
                <w:sz w:val="20"/>
                <w:szCs w:val="20"/>
              </w:rPr>
              <w:t>al</w:t>
            </w:r>
          </w:p>
        </w:tc>
        <w:tc>
          <w:tcPr>
            <w:tcW w:w="419" w:type="pct"/>
            <w:tcBorders>
              <w:top w:val="single" w:sz="4" w:space="0" w:color="auto"/>
              <w:left w:val="nil"/>
              <w:bottom w:val="nil"/>
              <w:right w:val="single" w:sz="4" w:space="0" w:color="auto"/>
            </w:tcBorders>
            <w:shd w:val="clear" w:color="000000" w:fill="F2F2F2"/>
            <w:noWrap/>
            <w:vAlign w:val="center"/>
            <w:hideMark/>
          </w:tcPr>
          <w:p w14:paraId="4671C974" w14:textId="77777777" w:rsidR="005D38D3" w:rsidRPr="00925C94" w:rsidRDefault="005D38D3" w:rsidP="00A35C25">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Tot</w:t>
            </w:r>
          </w:p>
        </w:tc>
        <w:tc>
          <w:tcPr>
            <w:tcW w:w="391" w:type="pct"/>
            <w:tcBorders>
              <w:top w:val="nil"/>
              <w:left w:val="nil"/>
              <w:bottom w:val="nil"/>
              <w:right w:val="nil"/>
            </w:tcBorders>
            <w:shd w:val="clear" w:color="000000" w:fill="0070C0"/>
            <w:noWrap/>
            <w:vAlign w:val="center"/>
            <w:hideMark/>
          </w:tcPr>
          <w:p w14:paraId="164A2EB3" w14:textId="77777777" w:rsidR="005D38D3" w:rsidRPr="00925C94" w:rsidRDefault="005D38D3" w:rsidP="007754E4">
            <w:pPr>
              <w:spacing w:before="0" w:after="0"/>
              <w:jc w:val="center"/>
              <w:rPr>
                <w:rFonts w:ascii="Calibri" w:hAnsi="Calibri" w:cs="Times New Roman"/>
                <w:b/>
                <w:bCs/>
                <w:color w:val="FFFFFF"/>
                <w:sz w:val="20"/>
                <w:szCs w:val="20"/>
              </w:rPr>
            </w:pPr>
            <w:r w:rsidRPr="00925C94">
              <w:rPr>
                <w:rFonts w:ascii="Calibri" w:hAnsi="Calibri" w:cs="Times New Roman"/>
                <w:b/>
                <w:bCs/>
                <w:color w:val="FFFFFF"/>
                <w:sz w:val="20"/>
                <w:szCs w:val="20"/>
              </w:rPr>
              <w:t>I</w:t>
            </w:r>
          </w:p>
        </w:tc>
        <w:tc>
          <w:tcPr>
            <w:tcW w:w="555" w:type="pct"/>
            <w:tcBorders>
              <w:top w:val="nil"/>
              <w:left w:val="nil"/>
              <w:bottom w:val="nil"/>
              <w:right w:val="nil"/>
            </w:tcBorders>
            <w:shd w:val="clear" w:color="000000" w:fill="00B050"/>
            <w:noWrap/>
            <w:vAlign w:val="center"/>
            <w:hideMark/>
          </w:tcPr>
          <w:p w14:paraId="36EE4E69" w14:textId="77777777" w:rsidR="005D38D3" w:rsidRPr="00925C94" w:rsidRDefault="005D38D3" w:rsidP="00B755E6">
            <w:pPr>
              <w:spacing w:before="0" w:after="0"/>
              <w:jc w:val="center"/>
              <w:rPr>
                <w:rFonts w:ascii="Calibri" w:hAnsi="Calibri" w:cs="Times New Roman"/>
                <w:b/>
                <w:bCs/>
                <w:color w:val="FFFFFF"/>
                <w:sz w:val="20"/>
                <w:szCs w:val="20"/>
              </w:rPr>
            </w:pPr>
            <w:r w:rsidRPr="00925C94">
              <w:rPr>
                <w:rFonts w:ascii="Calibri" w:hAnsi="Calibri" w:cs="Times New Roman"/>
                <w:b/>
                <w:bCs/>
                <w:color w:val="FFFFFF"/>
                <w:sz w:val="20"/>
                <w:szCs w:val="20"/>
              </w:rPr>
              <w:t>II</w:t>
            </w:r>
          </w:p>
        </w:tc>
        <w:tc>
          <w:tcPr>
            <w:tcW w:w="408" w:type="pct"/>
            <w:tcBorders>
              <w:top w:val="nil"/>
              <w:left w:val="nil"/>
              <w:bottom w:val="nil"/>
              <w:right w:val="nil"/>
            </w:tcBorders>
            <w:shd w:val="clear" w:color="000000" w:fill="FF0000"/>
            <w:noWrap/>
            <w:vAlign w:val="center"/>
            <w:hideMark/>
          </w:tcPr>
          <w:p w14:paraId="6F42F3A0" w14:textId="77777777" w:rsidR="005D38D3" w:rsidRPr="00925C94" w:rsidRDefault="005D38D3" w:rsidP="00B755E6">
            <w:pPr>
              <w:spacing w:before="0" w:after="0"/>
              <w:jc w:val="center"/>
              <w:rPr>
                <w:rFonts w:ascii="Calibri" w:hAnsi="Calibri" w:cs="Times New Roman"/>
                <w:b/>
                <w:bCs/>
                <w:color w:val="FFFFFF"/>
                <w:sz w:val="20"/>
                <w:szCs w:val="20"/>
              </w:rPr>
            </w:pPr>
            <w:r w:rsidRPr="00925C94">
              <w:rPr>
                <w:rFonts w:ascii="Calibri" w:hAnsi="Calibri" w:cs="Times New Roman"/>
                <w:b/>
                <w:bCs/>
                <w:color w:val="FFFFFF"/>
                <w:sz w:val="20"/>
                <w:szCs w:val="20"/>
              </w:rPr>
              <w:t>III</w:t>
            </w:r>
          </w:p>
        </w:tc>
        <w:tc>
          <w:tcPr>
            <w:tcW w:w="647" w:type="pct"/>
            <w:tcBorders>
              <w:top w:val="nil"/>
              <w:left w:val="nil"/>
              <w:bottom w:val="nil"/>
              <w:right w:val="nil"/>
            </w:tcBorders>
            <w:shd w:val="clear" w:color="000000" w:fill="C00000"/>
            <w:noWrap/>
            <w:vAlign w:val="center"/>
            <w:hideMark/>
          </w:tcPr>
          <w:p w14:paraId="76892706" w14:textId="77777777" w:rsidR="005D38D3" w:rsidRPr="00925C94" w:rsidRDefault="005D38D3" w:rsidP="00F22F6C">
            <w:pPr>
              <w:spacing w:before="0" w:after="0"/>
              <w:jc w:val="center"/>
              <w:rPr>
                <w:rFonts w:ascii="Calibri" w:hAnsi="Calibri" w:cs="Times New Roman"/>
                <w:b/>
                <w:bCs/>
                <w:color w:val="FFFFFF"/>
                <w:sz w:val="20"/>
                <w:szCs w:val="20"/>
              </w:rPr>
            </w:pPr>
            <w:r w:rsidRPr="00925C94">
              <w:rPr>
                <w:rFonts w:ascii="Calibri" w:hAnsi="Calibri" w:cs="Times New Roman"/>
                <w:b/>
                <w:bCs/>
                <w:color w:val="FFFFFF"/>
                <w:sz w:val="20"/>
                <w:szCs w:val="20"/>
              </w:rPr>
              <w:t>IV</w:t>
            </w:r>
          </w:p>
        </w:tc>
        <w:tc>
          <w:tcPr>
            <w:tcW w:w="522" w:type="pct"/>
            <w:vMerge/>
            <w:tcBorders>
              <w:top w:val="single" w:sz="4" w:space="0" w:color="auto"/>
              <w:left w:val="nil"/>
              <w:bottom w:val="single" w:sz="4" w:space="0" w:color="000000"/>
              <w:right w:val="nil"/>
            </w:tcBorders>
            <w:vAlign w:val="center"/>
            <w:hideMark/>
          </w:tcPr>
          <w:p w14:paraId="06AB1296" w14:textId="77777777" w:rsidR="005D38D3" w:rsidRPr="00925C94" w:rsidRDefault="005D38D3" w:rsidP="0065493C">
            <w:pPr>
              <w:spacing w:before="0" w:after="0"/>
              <w:jc w:val="center"/>
              <w:rPr>
                <w:rFonts w:ascii="Calibri" w:hAnsi="Calibri" w:cs="Times New Roman"/>
                <w:b/>
                <w:bCs/>
                <w:sz w:val="20"/>
                <w:szCs w:val="20"/>
              </w:rPr>
            </w:pPr>
          </w:p>
        </w:tc>
        <w:tc>
          <w:tcPr>
            <w:tcW w:w="679" w:type="pct"/>
            <w:vMerge/>
            <w:tcBorders>
              <w:top w:val="single" w:sz="4" w:space="0" w:color="auto"/>
              <w:left w:val="nil"/>
              <w:bottom w:val="single" w:sz="4" w:space="0" w:color="000000"/>
              <w:right w:val="single" w:sz="4" w:space="0" w:color="auto"/>
            </w:tcBorders>
            <w:vAlign w:val="center"/>
            <w:hideMark/>
          </w:tcPr>
          <w:p w14:paraId="6BF4AC47" w14:textId="77777777" w:rsidR="005D38D3" w:rsidRPr="00925C94" w:rsidRDefault="005D38D3" w:rsidP="0065493C">
            <w:pPr>
              <w:spacing w:before="0" w:after="0"/>
              <w:jc w:val="center"/>
              <w:rPr>
                <w:rFonts w:ascii="Calibri" w:hAnsi="Calibri" w:cs="Times New Roman"/>
                <w:b/>
                <w:bCs/>
                <w:sz w:val="20"/>
                <w:szCs w:val="20"/>
              </w:rPr>
            </w:pPr>
          </w:p>
        </w:tc>
      </w:tr>
      <w:tr w:rsidR="005D38D3" w:rsidRPr="00925C94" w14:paraId="69C53505" w14:textId="77777777" w:rsidTr="00A35C25">
        <w:trPr>
          <w:trHeight w:val="300"/>
        </w:trPr>
        <w:tc>
          <w:tcPr>
            <w:tcW w:w="1042" w:type="pct"/>
            <w:vMerge w:val="restart"/>
            <w:tcBorders>
              <w:top w:val="single" w:sz="4" w:space="0" w:color="auto"/>
              <w:left w:val="single" w:sz="4" w:space="0" w:color="auto"/>
              <w:bottom w:val="double" w:sz="6" w:space="0" w:color="000000"/>
              <w:right w:val="nil"/>
            </w:tcBorders>
            <w:shd w:val="clear" w:color="000000" w:fill="F2F2F2"/>
            <w:noWrap/>
            <w:vAlign w:val="center"/>
            <w:hideMark/>
          </w:tcPr>
          <w:p w14:paraId="2BEA8FCD" w14:textId="77777777" w:rsidR="005D38D3" w:rsidRPr="00925C94" w:rsidRDefault="005D38D3" w:rsidP="00A35C25">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GBR</w:t>
            </w:r>
          </w:p>
        </w:tc>
        <w:tc>
          <w:tcPr>
            <w:tcW w:w="337" w:type="pct"/>
            <w:tcBorders>
              <w:top w:val="single" w:sz="4" w:space="0" w:color="auto"/>
              <w:left w:val="single" w:sz="4" w:space="0" w:color="auto"/>
              <w:bottom w:val="nil"/>
              <w:right w:val="single" w:sz="4" w:space="0" w:color="auto"/>
            </w:tcBorders>
            <w:shd w:val="clear" w:color="000000" w:fill="F2F2F2"/>
            <w:noWrap/>
            <w:vAlign w:val="center"/>
            <w:hideMark/>
          </w:tcPr>
          <w:p w14:paraId="609B738D" w14:textId="77777777" w:rsidR="005D38D3" w:rsidRPr="00925C94" w:rsidRDefault="005D38D3" w:rsidP="00A35C25">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area</w:t>
            </w:r>
          </w:p>
        </w:tc>
        <w:tc>
          <w:tcPr>
            <w:tcW w:w="419" w:type="pct"/>
            <w:tcBorders>
              <w:top w:val="single" w:sz="4" w:space="0" w:color="auto"/>
              <w:left w:val="nil"/>
              <w:bottom w:val="nil"/>
              <w:right w:val="single" w:sz="4" w:space="0" w:color="auto"/>
            </w:tcBorders>
            <w:shd w:val="clear" w:color="000000" w:fill="F2F2F2"/>
            <w:noWrap/>
            <w:vAlign w:val="center"/>
            <w:hideMark/>
          </w:tcPr>
          <w:p w14:paraId="46ACDE62" w14:textId="77777777" w:rsidR="005D38D3" w:rsidRPr="00925C94" w:rsidRDefault="005D38D3" w:rsidP="007754E4">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35447</w:t>
            </w:r>
          </w:p>
        </w:tc>
        <w:tc>
          <w:tcPr>
            <w:tcW w:w="391" w:type="pct"/>
            <w:tcBorders>
              <w:top w:val="single" w:sz="4" w:space="0" w:color="auto"/>
              <w:left w:val="nil"/>
              <w:bottom w:val="nil"/>
              <w:right w:val="nil"/>
            </w:tcBorders>
            <w:shd w:val="clear" w:color="auto" w:fill="auto"/>
            <w:noWrap/>
            <w:vAlign w:val="center"/>
            <w:hideMark/>
          </w:tcPr>
          <w:p w14:paraId="70DC4099" w14:textId="77777777" w:rsidR="005D38D3" w:rsidRPr="00925C94" w:rsidRDefault="005D38D3" w:rsidP="00B755E6">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15</w:t>
            </w:r>
            <w:r w:rsidR="00CE2946" w:rsidRPr="00925C94">
              <w:rPr>
                <w:rFonts w:ascii="Calibri" w:hAnsi="Calibri" w:cs="Times New Roman"/>
                <w:b/>
                <w:bCs/>
                <w:color w:val="000000"/>
                <w:sz w:val="20"/>
                <w:szCs w:val="20"/>
              </w:rPr>
              <w:t>,</w:t>
            </w:r>
            <w:r w:rsidRPr="00925C94">
              <w:rPr>
                <w:rFonts w:ascii="Calibri" w:hAnsi="Calibri" w:cs="Times New Roman"/>
                <w:b/>
                <w:bCs/>
                <w:color w:val="000000"/>
                <w:sz w:val="20"/>
                <w:szCs w:val="20"/>
              </w:rPr>
              <w:t>046</w:t>
            </w:r>
          </w:p>
        </w:tc>
        <w:tc>
          <w:tcPr>
            <w:tcW w:w="555" w:type="pct"/>
            <w:tcBorders>
              <w:top w:val="single" w:sz="4" w:space="0" w:color="auto"/>
              <w:left w:val="nil"/>
              <w:bottom w:val="nil"/>
              <w:right w:val="nil"/>
            </w:tcBorders>
            <w:shd w:val="clear" w:color="auto" w:fill="auto"/>
            <w:noWrap/>
            <w:vAlign w:val="center"/>
            <w:hideMark/>
          </w:tcPr>
          <w:p w14:paraId="4CA7161B" w14:textId="77777777" w:rsidR="005D38D3" w:rsidRPr="00925C94" w:rsidRDefault="005D38D3" w:rsidP="00B755E6">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15</w:t>
            </w:r>
            <w:r w:rsidR="006B0C6A" w:rsidRPr="00925C94">
              <w:rPr>
                <w:rFonts w:ascii="Calibri" w:hAnsi="Calibri" w:cs="Times New Roman"/>
                <w:b/>
                <w:bCs/>
                <w:color w:val="000000"/>
                <w:sz w:val="20"/>
                <w:szCs w:val="20"/>
              </w:rPr>
              <w:t>,</w:t>
            </w:r>
            <w:r w:rsidRPr="00925C94">
              <w:rPr>
                <w:rFonts w:ascii="Calibri" w:hAnsi="Calibri" w:cs="Times New Roman"/>
                <w:b/>
                <w:bCs/>
                <w:color w:val="000000"/>
                <w:sz w:val="20"/>
                <w:szCs w:val="20"/>
              </w:rPr>
              <w:t>738</w:t>
            </w:r>
          </w:p>
        </w:tc>
        <w:tc>
          <w:tcPr>
            <w:tcW w:w="408" w:type="pct"/>
            <w:tcBorders>
              <w:top w:val="single" w:sz="4" w:space="0" w:color="auto"/>
              <w:left w:val="nil"/>
              <w:bottom w:val="nil"/>
              <w:right w:val="nil"/>
            </w:tcBorders>
            <w:shd w:val="clear" w:color="auto" w:fill="auto"/>
            <w:noWrap/>
            <w:vAlign w:val="center"/>
            <w:hideMark/>
          </w:tcPr>
          <w:p w14:paraId="4107F2A2" w14:textId="77777777" w:rsidR="005D38D3" w:rsidRPr="00925C94" w:rsidRDefault="005D38D3" w:rsidP="00F22F6C">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2</w:t>
            </w:r>
            <w:r w:rsidR="006B0C6A" w:rsidRPr="00925C94">
              <w:rPr>
                <w:rFonts w:ascii="Calibri" w:hAnsi="Calibri" w:cs="Times New Roman"/>
                <w:b/>
                <w:bCs/>
                <w:color w:val="000000"/>
                <w:sz w:val="20"/>
                <w:szCs w:val="20"/>
              </w:rPr>
              <w:t>,</w:t>
            </w:r>
            <w:r w:rsidRPr="00925C94">
              <w:rPr>
                <w:rFonts w:ascii="Calibri" w:hAnsi="Calibri" w:cs="Times New Roman"/>
                <w:b/>
                <w:bCs/>
                <w:color w:val="000000"/>
                <w:sz w:val="20"/>
                <w:szCs w:val="20"/>
              </w:rPr>
              <w:t>695</w:t>
            </w:r>
          </w:p>
        </w:tc>
        <w:tc>
          <w:tcPr>
            <w:tcW w:w="647" w:type="pct"/>
            <w:tcBorders>
              <w:top w:val="single" w:sz="4" w:space="0" w:color="auto"/>
              <w:left w:val="nil"/>
              <w:bottom w:val="nil"/>
              <w:right w:val="nil"/>
            </w:tcBorders>
            <w:shd w:val="clear" w:color="auto" w:fill="auto"/>
            <w:noWrap/>
            <w:vAlign w:val="center"/>
            <w:hideMark/>
          </w:tcPr>
          <w:p w14:paraId="68F40F1C" w14:textId="77777777" w:rsidR="005D38D3" w:rsidRPr="00925C94" w:rsidRDefault="005D38D3" w:rsidP="00CF0671">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344</w:t>
            </w:r>
          </w:p>
        </w:tc>
        <w:tc>
          <w:tcPr>
            <w:tcW w:w="522" w:type="pct"/>
            <w:tcBorders>
              <w:top w:val="nil"/>
              <w:left w:val="nil"/>
              <w:bottom w:val="nil"/>
              <w:right w:val="nil"/>
            </w:tcBorders>
            <w:shd w:val="clear" w:color="000000" w:fill="F2DCDB"/>
            <w:noWrap/>
            <w:vAlign w:val="center"/>
            <w:hideMark/>
          </w:tcPr>
          <w:p w14:paraId="75F49257" w14:textId="77777777" w:rsidR="005D38D3" w:rsidRPr="00925C94" w:rsidRDefault="005D38D3" w:rsidP="00CF0671">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33</w:t>
            </w:r>
            <w:r w:rsidR="006B0C6A" w:rsidRPr="00925C94">
              <w:rPr>
                <w:rFonts w:ascii="Calibri" w:hAnsi="Calibri" w:cs="Times New Roman"/>
                <w:b/>
                <w:bCs/>
                <w:color w:val="000000"/>
                <w:sz w:val="20"/>
                <w:szCs w:val="20"/>
              </w:rPr>
              <w:t>,</w:t>
            </w:r>
            <w:r w:rsidRPr="00925C94">
              <w:rPr>
                <w:rFonts w:ascii="Calibri" w:hAnsi="Calibri" w:cs="Times New Roman"/>
                <w:b/>
                <w:bCs/>
                <w:color w:val="000000"/>
                <w:sz w:val="20"/>
                <w:szCs w:val="20"/>
              </w:rPr>
              <w:t>823</w:t>
            </w:r>
          </w:p>
        </w:tc>
        <w:tc>
          <w:tcPr>
            <w:tcW w:w="679" w:type="pct"/>
            <w:tcBorders>
              <w:top w:val="nil"/>
              <w:left w:val="nil"/>
              <w:bottom w:val="nil"/>
              <w:right w:val="single" w:sz="4" w:space="0" w:color="auto"/>
            </w:tcBorders>
            <w:shd w:val="clear" w:color="000000" w:fill="F2DCDB"/>
            <w:noWrap/>
            <w:vAlign w:val="center"/>
            <w:hideMark/>
          </w:tcPr>
          <w:p w14:paraId="429F0665" w14:textId="77777777" w:rsidR="005D38D3" w:rsidRPr="00925C94" w:rsidRDefault="005D38D3" w:rsidP="00CF0671">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1</w:t>
            </w:r>
            <w:r w:rsidR="006B0C6A" w:rsidRPr="00925C94">
              <w:rPr>
                <w:rFonts w:ascii="Calibri" w:hAnsi="Calibri" w:cs="Times New Roman"/>
                <w:b/>
                <w:bCs/>
                <w:color w:val="000000"/>
                <w:sz w:val="20"/>
                <w:szCs w:val="20"/>
              </w:rPr>
              <w:t>,</w:t>
            </w:r>
            <w:r w:rsidRPr="00925C94">
              <w:rPr>
                <w:rFonts w:ascii="Calibri" w:hAnsi="Calibri" w:cs="Times New Roman"/>
                <w:b/>
                <w:bCs/>
                <w:color w:val="000000"/>
                <w:sz w:val="20"/>
                <w:szCs w:val="20"/>
              </w:rPr>
              <w:t>624</w:t>
            </w:r>
          </w:p>
        </w:tc>
      </w:tr>
      <w:tr w:rsidR="005D38D3" w:rsidRPr="00925C94" w14:paraId="4EB86159" w14:textId="77777777" w:rsidTr="00A35C25">
        <w:trPr>
          <w:trHeight w:val="315"/>
        </w:trPr>
        <w:tc>
          <w:tcPr>
            <w:tcW w:w="1042" w:type="pct"/>
            <w:vMerge/>
            <w:tcBorders>
              <w:top w:val="single" w:sz="4" w:space="0" w:color="auto"/>
              <w:left w:val="single" w:sz="4" w:space="0" w:color="auto"/>
              <w:bottom w:val="double" w:sz="6" w:space="0" w:color="000000"/>
              <w:right w:val="nil"/>
            </w:tcBorders>
            <w:vAlign w:val="center"/>
            <w:hideMark/>
          </w:tcPr>
          <w:p w14:paraId="4D8FE2F9" w14:textId="77777777" w:rsidR="005D38D3" w:rsidRPr="00925C94" w:rsidRDefault="005D38D3" w:rsidP="0065493C">
            <w:pPr>
              <w:spacing w:before="0" w:after="0"/>
              <w:jc w:val="center"/>
              <w:rPr>
                <w:rFonts w:ascii="Calibri" w:hAnsi="Calibri" w:cs="Times New Roman"/>
                <w:b/>
                <w:bCs/>
                <w:color w:val="000000"/>
                <w:sz w:val="20"/>
                <w:szCs w:val="20"/>
              </w:rPr>
            </w:pPr>
          </w:p>
        </w:tc>
        <w:tc>
          <w:tcPr>
            <w:tcW w:w="337" w:type="pct"/>
            <w:tcBorders>
              <w:top w:val="nil"/>
              <w:left w:val="single" w:sz="4" w:space="0" w:color="auto"/>
              <w:bottom w:val="double" w:sz="6" w:space="0" w:color="auto"/>
              <w:right w:val="single" w:sz="4" w:space="0" w:color="auto"/>
            </w:tcBorders>
            <w:shd w:val="clear" w:color="000000" w:fill="F2F2F2"/>
            <w:noWrap/>
            <w:vAlign w:val="center"/>
            <w:hideMark/>
          </w:tcPr>
          <w:p w14:paraId="2403425A" w14:textId="77777777" w:rsidR="005D38D3" w:rsidRPr="00925C94" w:rsidRDefault="005D38D3" w:rsidP="00A35C25">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w:t>
            </w:r>
          </w:p>
        </w:tc>
        <w:tc>
          <w:tcPr>
            <w:tcW w:w="419" w:type="pct"/>
            <w:tcBorders>
              <w:top w:val="nil"/>
              <w:left w:val="nil"/>
              <w:bottom w:val="double" w:sz="6" w:space="0" w:color="auto"/>
              <w:right w:val="single" w:sz="4" w:space="0" w:color="auto"/>
            </w:tcBorders>
            <w:shd w:val="clear" w:color="000000" w:fill="F2F2F2"/>
            <w:noWrap/>
            <w:vAlign w:val="center"/>
            <w:hideMark/>
          </w:tcPr>
          <w:p w14:paraId="2C152CA5" w14:textId="77777777" w:rsidR="005D38D3" w:rsidRPr="00925C94" w:rsidRDefault="005D38D3" w:rsidP="00A35C25">
            <w:pPr>
              <w:spacing w:before="0" w:after="0"/>
              <w:jc w:val="center"/>
              <w:rPr>
                <w:rFonts w:ascii="Calibri" w:hAnsi="Calibri" w:cs="Times New Roman"/>
                <w:b/>
                <w:bCs/>
                <w:i/>
                <w:iCs/>
                <w:color w:val="000000"/>
                <w:sz w:val="20"/>
                <w:szCs w:val="20"/>
              </w:rPr>
            </w:pPr>
            <w:r w:rsidRPr="00925C94">
              <w:rPr>
                <w:rFonts w:ascii="Calibri" w:hAnsi="Calibri" w:cs="Times New Roman"/>
                <w:b/>
                <w:bCs/>
                <w:i/>
                <w:iCs/>
                <w:color w:val="000000"/>
                <w:sz w:val="20"/>
                <w:szCs w:val="20"/>
              </w:rPr>
              <w:t>100%</w:t>
            </w:r>
          </w:p>
        </w:tc>
        <w:tc>
          <w:tcPr>
            <w:tcW w:w="391" w:type="pct"/>
            <w:tcBorders>
              <w:top w:val="nil"/>
              <w:left w:val="nil"/>
              <w:bottom w:val="double" w:sz="6" w:space="0" w:color="auto"/>
              <w:right w:val="nil"/>
            </w:tcBorders>
            <w:shd w:val="clear" w:color="auto" w:fill="auto"/>
            <w:noWrap/>
            <w:vAlign w:val="center"/>
            <w:hideMark/>
          </w:tcPr>
          <w:p w14:paraId="435E8763"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42%</w:t>
            </w:r>
          </w:p>
        </w:tc>
        <w:tc>
          <w:tcPr>
            <w:tcW w:w="555" w:type="pct"/>
            <w:tcBorders>
              <w:top w:val="nil"/>
              <w:left w:val="nil"/>
              <w:bottom w:val="double" w:sz="6" w:space="0" w:color="auto"/>
              <w:right w:val="nil"/>
            </w:tcBorders>
            <w:shd w:val="clear" w:color="auto" w:fill="auto"/>
            <w:noWrap/>
            <w:vAlign w:val="center"/>
            <w:hideMark/>
          </w:tcPr>
          <w:p w14:paraId="1C7CCBD1"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44%</w:t>
            </w:r>
          </w:p>
        </w:tc>
        <w:tc>
          <w:tcPr>
            <w:tcW w:w="408" w:type="pct"/>
            <w:tcBorders>
              <w:top w:val="nil"/>
              <w:left w:val="nil"/>
              <w:bottom w:val="double" w:sz="6" w:space="0" w:color="auto"/>
              <w:right w:val="nil"/>
            </w:tcBorders>
            <w:shd w:val="clear" w:color="auto" w:fill="auto"/>
            <w:noWrap/>
            <w:vAlign w:val="center"/>
            <w:hideMark/>
          </w:tcPr>
          <w:p w14:paraId="7AA3C526"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8%</w:t>
            </w:r>
          </w:p>
        </w:tc>
        <w:tc>
          <w:tcPr>
            <w:tcW w:w="647" w:type="pct"/>
            <w:tcBorders>
              <w:top w:val="nil"/>
              <w:left w:val="nil"/>
              <w:bottom w:val="double" w:sz="6" w:space="0" w:color="auto"/>
              <w:right w:val="nil"/>
            </w:tcBorders>
            <w:shd w:val="clear" w:color="auto" w:fill="auto"/>
            <w:noWrap/>
            <w:vAlign w:val="center"/>
            <w:hideMark/>
          </w:tcPr>
          <w:p w14:paraId="77CF33CB"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w:t>
            </w:r>
          </w:p>
        </w:tc>
        <w:tc>
          <w:tcPr>
            <w:tcW w:w="522" w:type="pct"/>
            <w:tcBorders>
              <w:top w:val="nil"/>
              <w:left w:val="nil"/>
              <w:bottom w:val="double" w:sz="6" w:space="0" w:color="auto"/>
              <w:right w:val="nil"/>
            </w:tcBorders>
            <w:shd w:val="clear" w:color="000000" w:fill="F2DCDB"/>
            <w:noWrap/>
            <w:vAlign w:val="center"/>
            <w:hideMark/>
          </w:tcPr>
          <w:p w14:paraId="6302EFA6" w14:textId="77777777" w:rsidR="005D38D3" w:rsidRPr="00925C94" w:rsidRDefault="005D38D3" w:rsidP="00A35C25">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95%</w:t>
            </w:r>
          </w:p>
        </w:tc>
        <w:tc>
          <w:tcPr>
            <w:tcW w:w="679" w:type="pct"/>
            <w:tcBorders>
              <w:top w:val="nil"/>
              <w:left w:val="nil"/>
              <w:bottom w:val="double" w:sz="6" w:space="0" w:color="auto"/>
              <w:right w:val="single" w:sz="4" w:space="0" w:color="auto"/>
            </w:tcBorders>
            <w:shd w:val="clear" w:color="000000" w:fill="F2DCDB"/>
            <w:noWrap/>
            <w:vAlign w:val="center"/>
            <w:hideMark/>
          </w:tcPr>
          <w:p w14:paraId="02B0ABB8" w14:textId="77777777" w:rsidR="005D38D3" w:rsidRPr="00925C94" w:rsidRDefault="005D38D3" w:rsidP="00A35C25">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5%</w:t>
            </w:r>
          </w:p>
        </w:tc>
      </w:tr>
      <w:tr w:rsidR="005D38D3" w:rsidRPr="00925C94" w14:paraId="0EE7D615" w14:textId="77777777" w:rsidTr="00A35C25">
        <w:trPr>
          <w:trHeight w:val="315"/>
        </w:trPr>
        <w:tc>
          <w:tcPr>
            <w:tcW w:w="1042" w:type="pct"/>
            <w:vMerge w:val="restart"/>
            <w:tcBorders>
              <w:top w:val="nil"/>
              <w:left w:val="single" w:sz="4" w:space="0" w:color="auto"/>
              <w:bottom w:val="nil"/>
              <w:right w:val="nil"/>
            </w:tcBorders>
            <w:shd w:val="clear" w:color="000000" w:fill="F2F2F2"/>
            <w:noWrap/>
            <w:vAlign w:val="center"/>
            <w:hideMark/>
          </w:tcPr>
          <w:p w14:paraId="127B7352" w14:textId="77777777" w:rsidR="005D38D3" w:rsidRPr="00925C94" w:rsidRDefault="005D38D3" w:rsidP="00A35C25">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Cape York</w:t>
            </w:r>
          </w:p>
        </w:tc>
        <w:tc>
          <w:tcPr>
            <w:tcW w:w="337" w:type="pct"/>
            <w:tcBorders>
              <w:top w:val="nil"/>
              <w:left w:val="single" w:sz="4" w:space="0" w:color="auto"/>
              <w:bottom w:val="nil"/>
              <w:right w:val="single" w:sz="4" w:space="0" w:color="auto"/>
            </w:tcBorders>
            <w:shd w:val="clear" w:color="000000" w:fill="F2F2F2"/>
            <w:noWrap/>
            <w:vAlign w:val="center"/>
            <w:hideMark/>
          </w:tcPr>
          <w:p w14:paraId="2503CF0E" w14:textId="77777777" w:rsidR="005D38D3" w:rsidRPr="00925C94" w:rsidRDefault="005D38D3" w:rsidP="00A35C25">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area</w:t>
            </w:r>
          </w:p>
        </w:tc>
        <w:tc>
          <w:tcPr>
            <w:tcW w:w="419" w:type="pct"/>
            <w:tcBorders>
              <w:top w:val="nil"/>
              <w:left w:val="nil"/>
              <w:bottom w:val="nil"/>
              <w:right w:val="single" w:sz="4" w:space="0" w:color="auto"/>
            </w:tcBorders>
            <w:shd w:val="clear" w:color="000000" w:fill="F2F2F2"/>
            <w:noWrap/>
            <w:vAlign w:val="center"/>
            <w:hideMark/>
          </w:tcPr>
          <w:p w14:paraId="1E2B23C1" w14:textId="77777777" w:rsidR="005D38D3" w:rsidRPr="00925C94" w:rsidRDefault="005D38D3" w:rsidP="007754E4">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11</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896</w:t>
            </w:r>
          </w:p>
        </w:tc>
        <w:tc>
          <w:tcPr>
            <w:tcW w:w="391" w:type="pct"/>
            <w:tcBorders>
              <w:top w:val="nil"/>
              <w:left w:val="nil"/>
              <w:bottom w:val="nil"/>
              <w:right w:val="nil"/>
            </w:tcBorders>
            <w:shd w:val="clear" w:color="auto" w:fill="auto"/>
            <w:noWrap/>
            <w:vAlign w:val="center"/>
            <w:hideMark/>
          </w:tcPr>
          <w:p w14:paraId="78076A84" w14:textId="77777777" w:rsidR="005D38D3" w:rsidRPr="00925C94" w:rsidRDefault="005D38D3" w:rsidP="00B755E6">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013</w:t>
            </w:r>
          </w:p>
        </w:tc>
        <w:tc>
          <w:tcPr>
            <w:tcW w:w="555" w:type="pct"/>
            <w:tcBorders>
              <w:top w:val="nil"/>
              <w:left w:val="nil"/>
              <w:bottom w:val="nil"/>
              <w:right w:val="nil"/>
            </w:tcBorders>
            <w:shd w:val="clear" w:color="auto" w:fill="auto"/>
            <w:noWrap/>
            <w:vAlign w:val="center"/>
            <w:hideMark/>
          </w:tcPr>
          <w:p w14:paraId="4F8E4E20" w14:textId="77777777" w:rsidR="005D38D3" w:rsidRPr="00925C94" w:rsidRDefault="005D38D3" w:rsidP="00B755E6">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8</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385</w:t>
            </w:r>
          </w:p>
        </w:tc>
        <w:tc>
          <w:tcPr>
            <w:tcW w:w="408" w:type="pct"/>
            <w:tcBorders>
              <w:top w:val="nil"/>
              <w:left w:val="nil"/>
              <w:bottom w:val="nil"/>
              <w:right w:val="nil"/>
            </w:tcBorders>
            <w:shd w:val="clear" w:color="auto" w:fill="auto"/>
            <w:noWrap/>
            <w:vAlign w:val="center"/>
            <w:hideMark/>
          </w:tcPr>
          <w:p w14:paraId="21580B5A" w14:textId="77777777" w:rsidR="005D38D3" w:rsidRPr="00925C94" w:rsidRDefault="005D38D3" w:rsidP="00F22F6C">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1</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348</w:t>
            </w:r>
          </w:p>
        </w:tc>
        <w:tc>
          <w:tcPr>
            <w:tcW w:w="647" w:type="pct"/>
            <w:tcBorders>
              <w:top w:val="nil"/>
              <w:left w:val="nil"/>
              <w:bottom w:val="nil"/>
              <w:right w:val="nil"/>
            </w:tcBorders>
            <w:shd w:val="clear" w:color="auto" w:fill="auto"/>
            <w:noWrap/>
            <w:vAlign w:val="center"/>
            <w:hideMark/>
          </w:tcPr>
          <w:p w14:paraId="49B83A7C" w14:textId="77777777" w:rsidR="005D38D3" w:rsidRPr="00925C94" w:rsidRDefault="005D38D3" w:rsidP="00CF0671">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56</w:t>
            </w:r>
          </w:p>
        </w:tc>
        <w:tc>
          <w:tcPr>
            <w:tcW w:w="522" w:type="pct"/>
            <w:tcBorders>
              <w:top w:val="nil"/>
              <w:left w:val="nil"/>
              <w:bottom w:val="nil"/>
              <w:right w:val="nil"/>
            </w:tcBorders>
            <w:shd w:val="clear" w:color="000000" w:fill="F2DCDB"/>
            <w:noWrap/>
            <w:vAlign w:val="center"/>
            <w:hideMark/>
          </w:tcPr>
          <w:p w14:paraId="3BA88921" w14:textId="77777777" w:rsidR="005D38D3" w:rsidRPr="00925C94" w:rsidRDefault="005D38D3" w:rsidP="00CF0671">
            <w:pPr>
              <w:spacing w:before="0" w:after="0"/>
              <w:jc w:val="center"/>
              <w:rPr>
                <w:rFonts w:ascii="Calibri" w:hAnsi="Calibri" w:cs="Times New Roman"/>
                <w:b/>
                <w:bCs/>
                <w:sz w:val="20"/>
                <w:szCs w:val="20"/>
              </w:rPr>
            </w:pPr>
            <w:r w:rsidRPr="00925C94">
              <w:rPr>
                <w:rFonts w:ascii="Calibri" w:hAnsi="Calibri" w:cs="Times New Roman"/>
                <w:b/>
                <w:bCs/>
                <w:sz w:val="20"/>
                <w:szCs w:val="20"/>
              </w:rPr>
              <w:t>11</w:t>
            </w:r>
            <w:r w:rsidR="006B0C6A" w:rsidRPr="00925C94">
              <w:rPr>
                <w:rFonts w:ascii="Calibri" w:hAnsi="Calibri" w:cs="Times New Roman"/>
                <w:b/>
                <w:bCs/>
                <w:sz w:val="20"/>
                <w:szCs w:val="20"/>
              </w:rPr>
              <w:t>,</w:t>
            </w:r>
            <w:r w:rsidRPr="00925C94">
              <w:rPr>
                <w:rFonts w:ascii="Calibri" w:hAnsi="Calibri" w:cs="Times New Roman"/>
                <w:b/>
                <w:bCs/>
                <w:sz w:val="20"/>
                <w:szCs w:val="20"/>
              </w:rPr>
              <w:t>803</w:t>
            </w:r>
          </w:p>
        </w:tc>
        <w:tc>
          <w:tcPr>
            <w:tcW w:w="679" w:type="pct"/>
            <w:tcBorders>
              <w:top w:val="nil"/>
              <w:left w:val="nil"/>
              <w:bottom w:val="nil"/>
              <w:right w:val="single" w:sz="4" w:space="0" w:color="auto"/>
            </w:tcBorders>
            <w:shd w:val="clear" w:color="000000" w:fill="F2DCDB"/>
            <w:noWrap/>
            <w:vAlign w:val="center"/>
            <w:hideMark/>
          </w:tcPr>
          <w:p w14:paraId="4BA187E9" w14:textId="77777777" w:rsidR="005D38D3" w:rsidRPr="00925C94" w:rsidRDefault="005D38D3" w:rsidP="00CF0671">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94</w:t>
            </w:r>
          </w:p>
        </w:tc>
      </w:tr>
      <w:tr w:rsidR="005D38D3" w:rsidRPr="00925C94" w14:paraId="1E005E29" w14:textId="77777777" w:rsidTr="00A35C25">
        <w:trPr>
          <w:trHeight w:val="300"/>
        </w:trPr>
        <w:tc>
          <w:tcPr>
            <w:tcW w:w="1042" w:type="pct"/>
            <w:vMerge/>
            <w:tcBorders>
              <w:top w:val="nil"/>
              <w:left w:val="single" w:sz="4" w:space="0" w:color="auto"/>
              <w:bottom w:val="nil"/>
              <w:right w:val="nil"/>
            </w:tcBorders>
            <w:vAlign w:val="center"/>
            <w:hideMark/>
          </w:tcPr>
          <w:p w14:paraId="6F0C8E56" w14:textId="77777777" w:rsidR="005D38D3" w:rsidRPr="00925C94" w:rsidRDefault="005D38D3" w:rsidP="0065493C">
            <w:pPr>
              <w:spacing w:before="0" w:after="0"/>
              <w:jc w:val="center"/>
              <w:rPr>
                <w:rFonts w:ascii="Calibri" w:hAnsi="Calibri" w:cs="Times New Roman"/>
                <w:b/>
                <w:bCs/>
                <w:color w:val="000000"/>
                <w:sz w:val="20"/>
                <w:szCs w:val="20"/>
              </w:rPr>
            </w:pPr>
          </w:p>
        </w:tc>
        <w:tc>
          <w:tcPr>
            <w:tcW w:w="337" w:type="pct"/>
            <w:tcBorders>
              <w:top w:val="nil"/>
              <w:left w:val="single" w:sz="4" w:space="0" w:color="auto"/>
              <w:bottom w:val="nil"/>
              <w:right w:val="single" w:sz="4" w:space="0" w:color="auto"/>
            </w:tcBorders>
            <w:shd w:val="clear" w:color="000000" w:fill="F2F2F2"/>
            <w:noWrap/>
            <w:vAlign w:val="center"/>
            <w:hideMark/>
          </w:tcPr>
          <w:p w14:paraId="4FBD679C"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w:t>
            </w:r>
          </w:p>
        </w:tc>
        <w:tc>
          <w:tcPr>
            <w:tcW w:w="419" w:type="pct"/>
            <w:tcBorders>
              <w:top w:val="nil"/>
              <w:left w:val="nil"/>
              <w:bottom w:val="nil"/>
              <w:right w:val="single" w:sz="4" w:space="0" w:color="auto"/>
            </w:tcBorders>
            <w:shd w:val="clear" w:color="000000" w:fill="F2F2F2"/>
            <w:noWrap/>
            <w:vAlign w:val="center"/>
            <w:hideMark/>
          </w:tcPr>
          <w:p w14:paraId="303CBAF1"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100%</w:t>
            </w:r>
          </w:p>
        </w:tc>
        <w:tc>
          <w:tcPr>
            <w:tcW w:w="391" w:type="pct"/>
            <w:tcBorders>
              <w:top w:val="nil"/>
              <w:left w:val="nil"/>
              <w:bottom w:val="nil"/>
              <w:right w:val="nil"/>
            </w:tcBorders>
            <w:shd w:val="clear" w:color="auto" w:fill="auto"/>
            <w:noWrap/>
            <w:vAlign w:val="center"/>
            <w:hideMark/>
          </w:tcPr>
          <w:p w14:paraId="24DC7F47"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17%</w:t>
            </w:r>
          </w:p>
        </w:tc>
        <w:tc>
          <w:tcPr>
            <w:tcW w:w="555" w:type="pct"/>
            <w:tcBorders>
              <w:top w:val="nil"/>
              <w:left w:val="nil"/>
              <w:bottom w:val="nil"/>
              <w:right w:val="nil"/>
            </w:tcBorders>
            <w:shd w:val="clear" w:color="auto" w:fill="auto"/>
            <w:noWrap/>
            <w:vAlign w:val="center"/>
            <w:hideMark/>
          </w:tcPr>
          <w:p w14:paraId="3A0B8476"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70%</w:t>
            </w:r>
          </w:p>
        </w:tc>
        <w:tc>
          <w:tcPr>
            <w:tcW w:w="408" w:type="pct"/>
            <w:tcBorders>
              <w:top w:val="nil"/>
              <w:left w:val="nil"/>
              <w:bottom w:val="nil"/>
              <w:right w:val="nil"/>
            </w:tcBorders>
            <w:shd w:val="clear" w:color="auto" w:fill="auto"/>
            <w:noWrap/>
            <w:vAlign w:val="center"/>
            <w:hideMark/>
          </w:tcPr>
          <w:p w14:paraId="66E56926"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11%</w:t>
            </w:r>
          </w:p>
        </w:tc>
        <w:tc>
          <w:tcPr>
            <w:tcW w:w="647" w:type="pct"/>
            <w:tcBorders>
              <w:top w:val="nil"/>
              <w:left w:val="nil"/>
              <w:bottom w:val="nil"/>
              <w:right w:val="nil"/>
            </w:tcBorders>
            <w:shd w:val="clear" w:color="auto" w:fill="auto"/>
            <w:noWrap/>
            <w:vAlign w:val="center"/>
            <w:hideMark/>
          </w:tcPr>
          <w:p w14:paraId="09FFBF2F"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0%</w:t>
            </w:r>
          </w:p>
        </w:tc>
        <w:tc>
          <w:tcPr>
            <w:tcW w:w="522" w:type="pct"/>
            <w:tcBorders>
              <w:top w:val="nil"/>
              <w:left w:val="nil"/>
              <w:bottom w:val="nil"/>
              <w:right w:val="nil"/>
            </w:tcBorders>
            <w:shd w:val="clear" w:color="000000" w:fill="F2DCDB"/>
            <w:noWrap/>
            <w:vAlign w:val="center"/>
            <w:hideMark/>
          </w:tcPr>
          <w:p w14:paraId="33562286" w14:textId="77777777" w:rsidR="005D38D3" w:rsidRPr="00925C94" w:rsidRDefault="005D38D3" w:rsidP="00A35C25">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99%</w:t>
            </w:r>
          </w:p>
        </w:tc>
        <w:tc>
          <w:tcPr>
            <w:tcW w:w="679" w:type="pct"/>
            <w:tcBorders>
              <w:top w:val="nil"/>
              <w:left w:val="nil"/>
              <w:bottom w:val="nil"/>
              <w:right w:val="single" w:sz="4" w:space="0" w:color="auto"/>
            </w:tcBorders>
            <w:shd w:val="clear" w:color="000000" w:fill="F2DCDB"/>
            <w:noWrap/>
            <w:vAlign w:val="center"/>
            <w:hideMark/>
          </w:tcPr>
          <w:p w14:paraId="0A774E38" w14:textId="77777777" w:rsidR="005D38D3" w:rsidRPr="00925C94" w:rsidRDefault="005D38D3" w:rsidP="00A35C25">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1%</w:t>
            </w:r>
          </w:p>
        </w:tc>
      </w:tr>
      <w:tr w:rsidR="005D38D3" w:rsidRPr="00925C94" w14:paraId="759F877F" w14:textId="77777777" w:rsidTr="00A35C25">
        <w:trPr>
          <w:trHeight w:val="300"/>
        </w:trPr>
        <w:tc>
          <w:tcPr>
            <w:tcW w:w="1042" w:type="pct"/>
            <w:vMerge w:val="restart"/>
            <w:tcBorders>
              <w:top w:val="nil"/>
              <w:left w:val="single" w:sz="4" w:space="0" w:color="auto"/>
              <w:bottom w:val="nil"/>
              <w:right w:val="nil"/>
            </w:tcBorders>
            <w:shd w:val="clear" w:color="000000" w:fill="F2F2F2"/>
            <w:noWrap/>
            <w:vAlign w:val="center"/>
            <w:hideMark/>
          </w:tcPr>
          <w:p w14:paraId="0F291DFE" w14:textId="77777777" w:rsidR="005D38D3" w:rsidRPr="00925C94" w:rsidRDefault="005D38D3" w:rsidP="00A35C25">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Wet Tropics</w:t>
            </w:r>
          </w:p>
        </w:tc>
        <w:tc>
          <w:tcPr>
            <w:tcW w:w="337" w:type="pct"/>
            <w:tcBorders>
              <w:top w:val="nil"/>
              <w:left w:val="single" w:sz="4" w:space="0" w:color="auto"/>
              <w:bottom w:val="nil"/>
              <w:right w:val="single" w:sz="4" w:space="0" w:color="auto"/>
            </w:tcBorders>
            <w:shd w:val="clear" w:color="000000" w:fill="F2F2F2"/>
            <w:noWrap/>
            <w:vAlign w:val="center"/>
            <w:hideMark/>
          </w:tcPr>
          <w:p w14:paraId="37705D9C" w14:textId="77777777" w:rsidR="005D38D3" w:rsidRPr="00925C94" w:rsidRDefault="005D38D3" w:rsidP="00A35C25">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area</w:t>
            </w:r>
          </w:p>
        </w:tc>
        <w:tc>
          <w:tcPr>
            <w:tcW w:w="419" w:type="pct"/>
            <w:tcBorders>
              <w:top w:val="nil"/>
              <w:left w:val="nil"/>
              <w:bottom w:val="nil"/>
              <w:right w:val="single" w:sz="4" w:space="0" w:color="auto"/>
            </w:tcBorders>
            <w:shd w:val="clear" w:color="000000" w:fill="F2F2F2"/>
            <w:noWrap/>
            <w:vAlign w:val="center"/>
            <w:hideMark/>
          </w:tcPr>
          <w:p w14:paraId="6CC3F652" w14:textId="77777777" w:rsidR="005D38D3" w:rsidRPr="00925C94" w:rsidRDefault="005D38D3" w:rsidP="007754E4">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4</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865</w:t>
            </w:r>
          </w:p>
        </w:tc>
        <w:tc>
          <w:tcPr>
            <w:tcW w:w="391" w:type="pct"/>
            <w:tcBorders>
              <w:top w:val="nil"/>
              <w:left w:val="nil"/>
              <w:bottom w:val="nil"/>
              <w:right w:val="nil"/>
            </w:tcBorders>
            <w:shd w:val="clear" w:color="auto" w:fill="auto"/>
            <w:noWrap/>
            <w:vAlign w:val="center"/>
            <w:hideMark/>
          </w:tcPr>
          <w:p w14:paraId="34CDA106" w14:textId="77777777" w:rsidR="005D38D3" w:rsidRPr="00925C94" w:rsidRDefault="005D38D3" w:rsidP="00B755E6">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018</w:t>
            </w:r>
          </w:p>
        </w:tc>
        <w:tc>
          <w:tcPr>
            <w:tcW w:w="555" w:type="pct"/>
            <w:tcBorders>
              <w:top w:val="nil"/>
              <w:left w:val="nil"/>
              <w:bottom w:val="nil"/>
              <w:right w:val="nil"/>
            </w:tcBorders>
            <w:shd w:val="clear" w:color="auto" w:fill="auto"/>
            <w:noWrap/>
            <w:vAlign w:val="center"/>
            <w:hideMark/>
          </w:tcPr>
          <w:p w14:paraId="4FA7391F" w14:textId="77777777" w:rsidR="005D38D3" w:rsidRPr="00925C94" w:rsidRDefault="005D38D3" w:rsidP="00B755E6">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488</w:t>
            </w:r>
          </w:p>
        </w:tc>
        <w:tc>
          <w:tcPr>
            <w:tcW w:w="408" w:type="pct"/>
            <w:tcBorders>
              <w:top w:val="nil"/>
              <w:left w:val="nil"/>
              <w:bottom w:val="nil"/>
              <w:right w:val="nil"/>
            </w:tcBorders>
            <w:shd w:val="clear" w:color="auto" w:fill="auto"/>
            <w:noWrap/>
            <w:vAlign w:val="center"/>
            <w:hideMark/>
          </w:tcPr>
          <w:p w14:paraId="5D474136" w14:textId="77777777" w:rsidR="005D38D3" w:rsidRPr="00925C94" w:rsidRDefault="005D38D3" w:rsidP="00F22F6C">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141</w:t>
            </w:r>
          </w:p>
        </w:tc>
        <w:tc>
          <w:tcPr>
            <w:tcW w:w="647" w:type="pct"/>
            <w:tcBorders>
              <w:top w:val="nil"/>
              <w:left w:val="nil"/>
              <w:bottom w:val="nil"/>
              <w:right w:val="nil"/>
            </w:tcBorders>
            <w:shd w:val="clear" w:color="auto" w:fill="auto"/>
            <w:noWrap/>
            <w:vAlign w:val="center"/>
            <w:hideMark/>
          </w:tcPr>
          <w:p w14:paraId="119DA47D" w14:textId="77777777" w:rsidR="005D38D3" w:rsidRPr="00925C94" w:rsidRDefault="005D38D3" w:rsidP="00CF0671">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35</w:t>
            </w:r>
          </w:p>
        </w:tc>
        <w:tc>
          <w:tcPr>
            <w:tcW w:w="522" w:type="pct"/>
            <w:tcBorders>
              <w:top w:val="nil"/>
              <w:left w:val="nil"/>
              <w:bottom w:val="nil"/>
              <w:right w:val="nil"/>
            </w:tcBorders>
            <w:shd w:val="clear" w:color="000000" w:fill="F2DCDB"/>
            <w:noWrap/>
            <w:vAlign w:val="center"/>
            <w:hideMark/>
          </w:tcPr>
          <w:p w14:paraId="67BC0A27" w14:textId="77777777" w:rsidR="005D38D3" w:rsidRPr="00925C94" w:rsidRDefault="005D38D3" w:rsidP="00CF0671">
            <w:pPr>
              <w:spacing w:before="0" w:after="0"/>
              <w:jc w:val="center"/>
              <w:rPr>
                <w:rFonts w:ascii="Calibri" w:hAnsi="Calibri" w:cs="Times New Roman"/>
                <w:b/>
                <w:bCs/>
                <w:sz w:val="20"/>
                <w:szCs w:val="20"/>
              </w:rPr>
            </w:pPr>
            <w:r w:rsidRPr="00925C94">
              <w:rPr>
                <w:rFonts w:ascii="Calibri" w:hAnsi="Calibri" w:cs="Times New Roman"/>
                <w:b/>
                <w:bCs/>
                <w:sz w:val="20"/>
                <w:szCs w:val="20"/>
              </w:rPr>
              <w:t>4</w:t>
            </w:r>
            <w:r w:rsidR="006B0C6A" w:rsidRPr="00925C94">
              <w:rPr>
                <w:rFonts w:ascii="Calibri" w:hAnsi="Calibri" w:cs="Times New Roman"/>
                <w:b/>
                <w:bCs/>
                <w:sz w:val="20"/>
                <w:szCs w:val="20"/>
              </w:rPr>
              <w:t>,</w:t>
            </w:r>
            <w:r w:rsidRPr="00925C94">
              <w:rPr>
                <w:rFonts w:ascii="Calibri" w:hAnsi="Calibri" w:cs="Times New Roman"/>
                <w:b/>
                <w:bCs/>
                <w:sz w:val="20"/>
                <w:szCs w:val="20"/>
              </w:rPr>
              <w:t>682</w:t>
            </w:r>
          </w:p>
        </w:tc>
        <w:tc>
          <w:tcPr>
            <w:tcW w:w="679" w:type="pct"/>
            <w:tcBorders>
              <w:top w:val="nil"/>
              <w:left w:val="nil"/>
              <w:bottom w:val="nil"/>
              <w:right w:val="single" w:sz="4" w:space="0" w:color="auto"/>
            </w:tcBorders>
            <w:shd w:val="clear" w:color="000000" w:fill="F2DCDB"/>
            <w:noWrap/>
            <w:vAlign w:val="center"/>
            <w:hideMark/>
          </w:tcPr>
          <w:p w14:paraId="33DE6398" w14:textId="77777777" w:rsidR="005D38D3" w:rsidRPr="00925C94" w:rsidRDefault="005D38D3" w:rsidP="00CF0671">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184</w:t>
            </w:r>
          </w:p>
        </w:tc>
      </w:tr>
      <w:tr w:rsidR="005D38D3" w:rsidRPr="00925C94" w14:paraId="6BC8BC08" w14:textId="77777777" w:rsidTr="00A35C25">
        <w:trPr>
          <w:trHeight w:val="300"/>
        </w:trPr>
        <w:tc>
          <w:tcPr>
            <w:tcW w:w="1042" w:type="pct"/>
            <w:vMerge/>
            <w:tcBorders>
              <w:top w:val="nil"/>
              <w:left w:val="single" w:sz="4" w:space="0" w:color="auto"/>
              <w:bottom w:val="nil"/>
              <w:right w:val="nil"/>
            </w:tcBorders>
            <w:vAlign w:val="center"/>
            <w:hideMark/>
          </w:tcPr>
          <w:p w14:paraId="041E05B5" w14:textId="77777777" w:rsidR="005D38D3" w:rsidRPr="00925C94" w:rsidRDefault="005D38D3" w:rsidP="0065493C">
            <w:pPr>
              <w:spacing w:before="0" w:after="0"/>
              <w:jc w:val="center"/>
              <w:rPr>
                <w:rFonts w:ascii="Calibri" w:hAnsi="Calibri" w:cs="Times New Roman"/>
                <w:b/>
                <w:bCs/>
                <w:color w:val="000000"/>
                <w:sz w:val="20"/>
                <w:szCs w:val="20"/>
              </w:rPr>
            </w:pPr>
          </w:p>
        </w:tc>
        <w:tc>
          <w:tcPr>
            <w:tcW w:w="337" w:type="pct"/>
            <w:tcBorders>
              <w:top w:val="nil"/>
              <w:left w:val="single" w:sz="4" w:space="0" w:color="auto"/>
              <w:bottom w:val="nil"/>
              <w:right w:val="single" w:sz="4" w:space="0" w:color="auto"/>
            </w:tcBorders>
            <w:shd w:val="clear" w:color="000000" w:fill="F2F2F2"/>
            <w:noWrap/>
            <w:vAlign w:val="center"/>
            <w:hideMark/>
          </w:tcPr>
          <w:p w14:paraId="0ECD99E5"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w:t>
            </w:r>
          </w:p>
        </w:tc>
        <w:tc>
          <w:tcPr>
            <w:tcW w:w="419" w:type="pct"/>
            <w:tcBorders>
              <w:top w:val="nil"/>
              <w:left w:val="nil"/>
              <w:bottom w:val="nil"/>
              <w:right w:val="single" w:sz="4" w:space="0" w:color="auto"/>
            </w:tcBorders>
            <w:shd w:val="clear" w:color="000000" w:fill="F2F2F2"/>
            <w:noWrap/>
            <w:vAlign w:val="center"/>
            <w:hideMark/>
          </w:tcPr>
          <w:p w14:paraId="00958EF5"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100%</w:t>
            </w:r>
          </w:p>
        </w:tc>
        <w:tc>
          <w:tcPr>
            <w:tcW w:w="391" w:type="pct"/>
            <w:tcBorders>
              <w:top w:val="nil"/>
              <w:left w:val="nil"/>
              <w:bottom w:val="nil"/>
              <w:right w:val="nil"/>
            </w:tcBorders>
            <w:shd w:val="clear" w:color="auto" w:fill="auto"/>
            <w:noWrap/>
            <w:vAlign w:val="center"/>
            <w:hideMark/>
          </w:tcPr>
          <w:p w14:paraId="0499F94A"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41%</w:t>
            </w:r>
          </w:p>
        </w:tc>
        <w:tc>
          <w:tcPr>
            <w:tcW w:w="555" w:type="pct"/>
            <w:tcBorders>
              <w:top w:val="nil"/>
              <w:left w:val="nil"/>
              <w:bottom w:val="nil"/>
              <w:right w:val="nil"/>
            </w:tcBorders>
            <w:shd w:val="clear" w:color="auto" w:fill="auto"/>
            <w:noWrap/>
            <w:vAlign w:val="center"/>
            <w:hideMark/>
          </w:tcPr>
          <w:p w14:paraId="21FD4CC6"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51%</w:t>
            </w:r>
          </w:p>
        </w:tc>
        <w:tc>
          <w:tcPr>
            <w:tcW w:w="408" w:type="pct"/>
            <w:tcBorders>
              <w:top w:val="nil"/>
              <w:left w:val="nil"/>
              <w:bottom w:val="nil"/>
              <w:right w:val="nil"/>
            </w:tcBorders>
            <w:shd w:val="clear" w:color="auto" w:fill="auto"/>
            <w:noWrap/>
            <w:vAlign w:val="center"/>
            <w:hideMark/>
          </w:tcPr>
          <w:p w14:paraId="0D771272"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3%</w:t>
            </w:r>
          </w:p>
        </w:tc>
        <w:tc>
          <w:tcPr>
            <w:tcW w:w="647" w:type="pct"/>
            <w:tcBorders>
              <w:top w:val="nil"/>
              <w:left w:val="nil"/>
              <w:bottom w:val="nil"/>
              <w:right w:val="nil"/>
            </w:tcBorders>
            <w:shd w:val="clear" w:color="auto" w:fill="auto"/>
            <w:noWrap/>
            <w:vAlign w:val="center"/>
            <w:hideMark/>
          </w:tcPr>
          <w:p w14:paraId="2C0B50AE"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w:t>
            </w:r>
          </w:p>
        </w:tc>
        <w:tc>
          <w:tcPr>
            <w:tcW w:w="522" w:type="pct"/>
            <w:tcBorders>
              <w:top w:val="nil"/>
              <w:left w:val="nil"/>
              <w:bottom w:val="nil"/>
              <w:right w:val="nil"/>
            </w:tcBorders>
            <w:shd w:val="clear" w:color="000000" w:fill="F2DCDB"/>
            <w:noWrap/>
            <w:vAlign w:val="center"/>
            <w:hideMark/>
          </w:tcPr>
          <w:p w14:paraId="4922FA51" w14:textId="77777777" w:rsidR="005D38D3" w:rsidRPr="00925C94" w:rsidRDefault="005D38D3" w:rsidP="00A35C25">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96%</w:t>
            </w:r>
          </w:p>
        </w:tc>
        <w:tc>
          <w:tcPr>
            <w:tcW w:w="679" w:type="pct"/>
            <w:tcBorders>
              <w:top w:val="nil"/>
              <w:left w:val="nil"/>
              <w:bottom w:val="nil"/>
              <w:right w:val="single" w:sz="4" w:space="0" w:color="auto"/>
            </w:tcBorders>
            <w:shd w:val="clear" w:color="000000" w:fill="F2DCDB"/>
            <w:noWrap/>
            <w:vAlign w:val="center"/>
            <w:hideMark/>
          </w:tcPr>
          <w:p w14:paraId="5DE9C21D" w14:textId="77777777" w:rsidR="005D38D3" w:rsidRPr="00925C94" w:rsidRDefault="005D38D3" w:rsidP="00A35C25">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4%</w:t>
            </w:r>
          </w:p>
        </w:tc>
      </w:tr>
      <w:tr w:rsidR="005D38D3" w:rsidRPr="00925C94" w14:paraId="6EE0C891" w14:textId="77777777" w:rsidTr="00A35C25">
        <w:trPr>
          <w:trHeight w:val="300"/>
        </w:trPr>
        <w:tc>
          <w:tcPr>
            <w:tcW w:w="1042" w:type="pct"/>
            <w:vMerge w:val="restart"/>
            <w:tcBorders>
              <w:top w:val="nil"/>
              <w:left w:val="single" w:sz="4" w:space="0" w:color="auto"/>
              <w:bottom w:val="nil"/>
              <w:right w:val="nil"/>
            </w:tcBorders>
            <w:shd w:val="clear" w:color="000000" w:fill="F2F2F2"/>
            <w:noWrap/>
            <w:vAlign w:val="center"/>
            <w:hideMark/>
          </w:tcPr>
          <w:p w14:paraId="0EE27585" w14:textId="77777777" w:rsidR="005D38D3" w:rsidRPr="00925C94" w:rsidRDefault="005D38D3" w:rsidP="00A35C25">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Burdekin</w:t>
            </w:r>
          </w:p>
        </w:tc>
        <w:tc>
          <w:tcPr>
            <w:tcW w:w="337" w:type="pct"/>
            <w:tcBorders>
              <w:top w:val="nil"/>
              <w:left w:val="single" w:sz="4" w:space="0" w:color="auto"/>
              <w:bottom w:val="nil"/>
              <w:right w:val="single" w:sz="4" w:space="0" w:color="auto"/>
            </w:tcBorders>
            <w:shd w:val="clear" w:color="000000" w:fill="F2F2F2"/>
            <w:noWrap/>
            <w:vAlign w:val="center"/>
            <w:hideMark/>
          </w:tcPr>
          <w:p w14:paraId="20C33779" w14:textId="77777777" w:rsidR="005D38D3" w:rsidRPr="00925C94" w:rsidRDefault="005D38D3" w:rsidP="00A35C25">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area</w:t>
            </w:r>
          </w:p>
        </w:tc>
        <w:tc>
          <w:tcPr>
            <w:tcW w:w="419" w:type="pct"/>
            <w:tcBorders>
              <w:top w:val="nil"/>
              <w:left w:val="nil"/>
              <w:bottom w:val="nil"/>
              <w:right w:val="single" w:sz="4" w:space="0" w:color="auto"/>
            </w:tcBorders>
            <w:shd w:val="clear" w:color="000000" w:fill="F2F2F2"/>
            <w:noWrap/>
            <w:vAlign w:val="center"/>
            <w:hideMark/>
          </w:tcPr>
          <w:p w14:paraId="7C33F3B8" w14:textId="77777777" w:rsidR="005D38D3" w:rsidRPr="00925C94" w:rsidRDefault="005D38D3" w:rsidP="007754E4">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6</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066</w:t>
            </w:r>
          </w:p>
        </w:tc>
        <w:tc>
          <w:tcPr>
            <w:tcW w:w="391" w:type="pct"/>
            <w:tcBorders>
              <w:top w:val="nil"/>
              <w:left w:val="nil"/>
              <w:bottom w:val="nil"/>
              <w:right w:val="nil"/>
            </w:tcBorders>
            <w:shd w:val="clear" w:color="auto" w:fill="auto"/>
            <w:noWrap/>
            <w:vAlign w:val="center"/>
            <w:hideMark/>
          </w:tcPr>
          <w:p w14:paraId="7019E715" w14:textId="77777777" w:rsidR="005D38D3" w:rsidRPr="00925C94" w:rsidRDefault="005D38D3" w:rsidP="00B755E6">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5</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380</w:t>
            </w:r>
          </w:p>
        </w:tc>
        <w:tc>
          <w:tcPr>
            <w:tcW w:w="555" w:type="pct"/>
            <w:tcBorders>
              <w:top w:val="nil"/>
              <w:left w:val="nil"/>
              <w:bottom w:val="nil"/>
              <w:right w:val="nil"/>
            </w:tcBorders>
            <w:shd w:val="clear" w:color="auto" w:fill="auto"/>
            <w:noWrap/>
            <w:vAlign w:val="center"/>
            <w:hideMark/>
          </w:tcPr>
          <w:p w14:paraId="2CC2F99B" w14:textId="77777777" w:rsidR="005D38D3" w:rsidRPr="00925C94" w:rsidRDefault="005D38D3" w:rsidP="00B755E6">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156</w:t>
            </w:r>
          </w:p>
        </w:tc>
        <w:tc>
          <w:tcPr>
            <w:tcW w:w="408" w:type="pct"/>
            <w:tcBorders>
              <w:top w:val="nil"/>
              <w:left w:val="nil"/>
              <w:bottom w:val="nil"/>
              <w:right w:val="nil"/>
            </w:tcBorders>
            <w:shd w:val="clear" w:color="auto" w:fill="auto"/>
            <w:noWrap/>
            <w:vAlign w:val="center"/>
            <w:hideMark/>
          </w:tcPr>
          <w:p w14:paraId="4EEE7537" w14:textId="77777777" w:rsidR="005D38D3" w:rsidRPr="00925C94" w:rsidRDefault="005D38D3" w:rsidP="00F22F6C">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429</w:t>
            </w:r>
          </w:p>
        </w:tc>
        <w:tc>
          <w:tcPr>
            <w:tcW w:w="647" w:type="pct"/>
            <w:tcBorders>
              <w:top w:val="nil"/>
              <w:left w:val="nil"/>
              <w:bottom w:val="nil"/>
              <w:right w:val="nil"/>
            </w:tcBorders>
            <w:shd w:val="clear" w:color="auto" w:fill="auto"/>
            <w:noWrap/>
            <w:vAlign w:val="center"/>
            <w:hideMark/>
          </w:tcPr>
          <w:p w14:paraId="2D13AAE1" w14:textId="77777777" w:rsidR="005D38D3" w:rsidRPr="00925C94" w:rsidRDefault="005D38D3" w:rsidP="00CF0671">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101</w:t>
            </w:r>
          </w:p>
        </w:tc>
        <w:tc>
          <w:tcPr>
            <w:tcW w:w="522" w:type="pct"/>
            <w:tcBorders>
              <w:top w:val="nil"/>
              <w:left w:val="nil"/>
              <w:bottom w:val="nil"/>
              <w:right w:val="nil"/>
            </w:tcBorders>
            <w:shd w:val="clear" w:color="000000" w:fill="F2DCDB"/>
            <w:noWrap/>
            <w:vAlign w:val="center"/>
            <w:hideMark/>
          </w:tcPr>
          <w:p w14:paraId="668F42CB" w14:textId="77777777" w:rsidR="005D38D3" w:rsidRPr="00925C94" w:rsidRDefault="005D38D3" w:rsidP="00CF0671">
            <w:pPr>
              <w:spacing w:before="0" w:after="0"/>
              <w:jc w:val="center"/>
              <w:rPr>
                <w:rFonts w:ascii="Calibri" w:hAnsi="Calibri" w:cs="Times New Roman"/>
                <w:b/>
                <w:bCs/>
                <w:sz w:val="20"/>
                <w:szCs w:val="20"/>
              </w:rPr>
            </w:pPr>
            <w:r w:rsidRPr="00925C94">
              <w:rPr>
                <w:rFonts w:ascii="Calibri" w:hAnsi="Calibri" w:cs="Times New Roman"/>
                <w:b/>
                <w:bCs/>
                <w:sz w:val="20"/>
                <w:szCs w:val="20"/>
              </w:rPr>
              <w:t>6</w:t>
            </w:r>
            <w:r w:rsidR="006B0C6A" w:rsidRPr="00925C94">
              <w:rPr>
                <w:rFonts w:ascii="Calibri" w:hAnsi="Calibri" w:cs="Times New Roman"/>
                <w:b/>
                <w:bCs/>
                <w:sz w:val="20"/>
                <w:szCs w:val="20"/>
              </w:rPr>
              <w:t>,</w:t>
            </w:r>
            <w:r w:rsidRPr="00925C94">
              <w:rPr>
                <w:rFonts w:ascii="Calibri" w:hAnsi="Calibri" w:cs="Times New Roman"/>
                <w:b/>
                <w:bCs/>
                <w:sz w:val="20"/>
                <w:szCs w:val="20"/>
              </w:rPr>
              <w:t>066</w:t>
            </w:r>
          </w:p>
        </w:tc>
        <w:tc>
          <w:tcPr>
            <w:tcW w:w="679" w:type="pct"/>
            <w:tcBorders>
              <w:top w:val="nil"/>
              <w:left w:val="nil"/>
              <w:bottom w:val="nil"/>
              <w:right w:val="single" w:sz="4" w:space="0" w:color="auto"/>
            </w:tcBorders>
            <w:shd w:val="clear" w:color="000000" w:fill="F2DCDB"/>
            <w:noWrap/>
            <w:vAlign w:val="center"/>
            <w:hideMark/>
          </w:tcPr>
          <w:p w14:paraId="21024369" w14:textId="77777777" w:rsidR="005D38D3" w:rsidRPr="00925C94" w:rsidRDefault="005D38D3" w:rsidP="00CF0671">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-8</w:t>
            </w:r>
          </w:p>
        </w:tc>
      </w:tr>
      <w:tr w:rsidR="005D38D3" w:rsidRPr="00925C94" w14:paraId="45FCB936" w14:textId="77777777" w:rsidTr="00A35C25">
        <w:trPr>
          <w:trHeight w:val="300"/>
        </w:trPr>
        <w:tc>
          <w:tcPr>
            <w:tcW w:w="1042" w:type="pct"/>
            <w:vMerge/>
            <w:tcBorders>
              <w:top w:val="nil"/>
              <w:left w:val="single" w:sz="4" w:space="0" w:color="auto"/>
              <w:bottom w:val="nil"/>
              <w:right w:val="nil"/>
            </w:tcBorders>
            <w:vAlign w:val="center"/>
            <w:hideMark/>
          </w:tcPr>
          <w:p w14:paraId="407B5012" w14:textId="77777777" w:rsidR="005D38D3" w:rsidRPr="00925C94" w:rsidRDefault="005D38D3" w:rsidP="0065493C">
            <w:pPr>
              <w:spacing w:before="0" w:after="0"/>
              <w:jc w:val="center"/>
              <w:rPr>
                <w:rFonts w:ascii="Calibri" w:hAnsi="Calibri" w:cs="Times New Roman"/>
                <w:b/>
                <w:bCs/>
                <w:color w:val="000000"/>
                <w:sz w:val="20"/>
                <w:szCs w:val="20"/>
              </w:rPr>
            </w:pPr>
          </w:p>
        </w:tc>
        <w:tc>
          <w:tcPr>
            <w:tcW w:w="337" w:type="pct"/>
            <w:tcBorders>
              <w:top w:val="nil"/>
              <w:left w:val="single" w:sz="4" w:space="0" w:color="auto"/>
              <w:bottom w:val="nil"/>
              <w:right w:val="single" w:sz="4" w:space="0" w:color="auto"/>
            </w:tcBorders>
            <w:shd w:val="clear" w:color="000000" w:fill="F2F2F2"/>
            <w:noWrap/>
            <w:vAlign w:val="center"/>
            <w:hideMark/>
          </w:tcPr>
          <w:p w14:paraId="55BBA3DF"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w:t>
            </w:r>
          </w:p>
        </w:tc>
        <w:tc>
          <w:tcPr>
            <w:tcW w:w="419" w:type="pct"/>
            <w:tcBorders>
              <w:top w:val="nil"/>
              <w:left w:val="nil"/>
              <w:bottom w:val="nil"/>
              <w:right w:val="single" w:sz="4" w:space="0" w:color="auto"/>
            </w:tcBorders>
            <w:shd w:val="clear" w:color="000000" w:fill="F2F2F2"/>
            <w:noWrap/>
            <w:vAlign w:val="center"/>
            <w:hideMark/>
          </w:tcPr>
          <w:p w14:paraId="1A8A79FB"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100%</w:t>
            </w:r>
          </w:p>
        </w:tc>
        <w:tc>
          <w:tcPr>
            <w:tcW w:w="391" w:type="pct"/>
            <w:tcBorders>
              <w:top w:val="nil"/>
              <w:left w:val="nil"/>
              <w:bottom w:val="nil"/>
              <w:right w:val="nil"/>
            </w:tcBorders>
            <w:shd w:val="clear" w:color="auto" w:fill="auto"/>
            <w:noWrap/>
            <w:vAlign w:val="center"/>
            <w:hideMark/>
          </w:tcPr>
          <w:p w14:paraId="4D764F1A"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89%</w:t>
            </w:r>
          </w:p>
        </w:tc>
        <w:tc>
          <w:tcPr>
            <w:tcW w:w="555" w:type="pct"/>
            <w:tcBorders>
              <w:top w:val="nil"/>
              <w:left w:val="nil"/>
              <w:bottom w:val="nil"/>
              <w:right w:val="nil"/>
            </w:tcBorders>
            <w:shd w:val="clear" w:color="auto" w:fill="auto"/>
            <w:noWrap/>
            <w:vAlign w:val="center"/>
            <w:hideMark/>
          </w:tcPr>
          <w:p w14:paraId="4EC565C5"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3%</w:t>
            </w:r>
          </w:p>
        </w:tc>
        <w:tc>
          <w:tcPr>
            <w:tcW w:w="408" w:type="pct"/>
            <w:tcBorders>
              <w:top w:val="nil"/>
              <w:left w:val="nil"/>
              <w:bottom w:val="nil"/>
              <w:right w:val="nil"/>
            </w:tcBorders>
            <w:shd w:val="clear" w:color="auto" w:fill="auto"/>
            <w:noWrap/>
            <w:vAlign w:val="center"/>
            <w:hideMark/>
          </w:tcPr>
          <w:p w14:paraId="05DE21CB"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7%</w:t>
            </w:r>
          </w:p>
        </w:tc>
        <w:tc>
          <w:tcPr>
            <w:tcW w:w="647" w:type="pct"/>
            <w:tcBorders>
              <w:top w:val="nil"/>
              <w:left w:val="nil"/>
              <w:bottom w:val="nil"/>
              <w:right w:val="nil"/>
            </w:tcBorders>
            <w:shd w:val="clear" w:color="auto" w:fill="auto"/>
            <w:noWrap/>
            <w:vAlign w:val="center"/>
            <w:hideMark/>
          </w:tcPr>
          <w:p w14:paraId="35C31973"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2%</w:t>
            </w:r>
          </w:p>
        </w:tc>
        <w:tc>
          <w:tcPr>
            <w:tcW w:w="522" w:type="pct"/>
            <w:tcBorders>
              <w:top w:val="nil"/>
              <w:left w:val="nil"/>
              <w:bottom w:val="nil"/>
              <w:right w:val="nil"/>
            </w:tcBorders>
            <w:shd w:val="clear" w:color="000000" w:fill="F2DCDB"/>
            <w:noWrap/>
            <w:vAlign w:val="center"/>
            <w:hideMark/>
          </w:tcPr>
          <w:p w14:paraId="18B42D2B" w14:textId="77777777" w:rsidR="005D38D3" w:rsidRPr="00925C94" w:rsidRDefault="005D38D3" w:rsidP="00A35C25">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100%</w:t>
            </w:r>
          </w:p>
        </w:tc>
        <w:tc>
          <w:tcPr>
            <w:tcW w:w="679" w:type="pct"/>
            <w:tcBorders>
              <w:top w:val="nil"/>
              <w:left w:val="nil"/>
              <w:bottom w:val="nil"/>
              <w:right w:val="single" w:sz="4" w:space="0" w:color="auto"/>
            </w:tcBorders>
            <w:shd w:val="clear" w:color="000000" w:fill="F2DCDB"/>
            <w:noWrap/>
            <w:vAlign w:val="center"/>
            <w:hideMark/>
          </w:tcPr>
          <w:p w14:paraId="53357CAC" w14:textId="77777777" w:rsidR="005D38D3" w:rsidRPr="00925C94" w:rsidRDefault="005D38D3" w:rsidP="00A35C25">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0%</w:t>
            </w:r>
          </w:p>
        </w:tc>
      </w:tr>
      <w:tr w:rsidR="005D38D3" w:rsidRPr="00925C94" w14:paraId="65A36EE1" w14:textId="77777777" w:rsidTr="00A35C25">
        <w:trPr>
          <w:trHeight w:val="300"/>
        </w:trPr>
        <w:tc>
          <w:tcPr>
            <w:tcW w:w="1042" w:type="pct"/>
            <w:vMerge w:val="restart"/>
            <w:tcBorders>
              <w:top w:val="nil"/>
              <w:left w:val="single" w:sz="4" w:space="0" w:color="auto"/>
              <w:bottom w:val="nil"/>
              <w:right w:val="single" w:sz="4" w:space="0" w:color="auto"/>
            </w:tcBorders>
            <w:shd w:val="clear" w:color="000000" w:fill="F2F2F2"/>
            <w:vAlign w:val="center"/>
            <w:hideMark/>
          </w:tcPr>
          <w:p w14:paraId="0B5A2795" w14:textId="77777777" w:rsidR="005D38D3" w:rsidRPr="00925C94" w:rsidRDefault="005D38D3" w:rsidP="00A35C25">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Mackay-Whitsundays</w:t>
            </w:r>
          </w:p>
        </w:tc>
        <w:tc>
          <w:tcPr>
            <w:tcW w:w="337" w:type="pct"/>
            <w:tcBorders>
              <w:top w:val="nil"/>
              <w:left w:val="nil"/>
              <w:bottom w:val="nil"/>
              <w:right w:val="single" w:sz="4" w:space="0" w:color="auto"/>
            </w:tcBorders>
            <w:shd w:val="clear" w:color="000000" w:fill="F2F2F2"/>
            <w:noWrap/>
            <w:vAlign w:val="center"/>
            <w:hideMark/>
          </w:tcPr>
          <w:p w14:paraId="1CAD463D" w14:textId="77777777" w:rsidR="005D38D3" w:rsidRPr="00925C94" w:rsidRDefault="005D38D3" w:rsidP="00A35C25">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area</w:t>
            </w:r>
          </w:p>
        </w:tc>
        <w:tc>
          <w:tcPr>
            <w:tcW w:w="419" w:type="pct"/>
            <w:tcBorders>
              <w:top w:val="nil"/>
              <w:left w:val="nil"/>
              <w:bottom w:val="nil"/>
              <w:right w:val="single" w:sz="4" w:space="0" w:color="auto"/>
            </w:tcBorders>
            <w:shd w:val="clear" w:color="000000" w:fill="F2F2F2"/>
            <w:noWrap/>
            <w:vAlign w:val="center"/>
            <w:hideMark/>
          </w:tcPr>
          <w:p w14:paraId="3E6C5419" w14:textId="77777777" w:rsidR="005D38D3" w:rsidRPr="00925C94" w:rsidRDefault="005D38D3" w:rsidP="007754E4">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451</w:t>
            </w:r>
          </w:p>
        </w:tc>
        <w:tc>
          <w:tcPr>
            <w:tcW w:w="391" w:type="pct"/>
            <w:tcBorders>
              <w:top w:val="nil"/>
              <w:left w:val="nil"/>
              <w:bottom w:val="nil"/>
              <w:right w:val="nil"/>
            </w:tcBorders>
            <w:shd w:val="clear" w:color="auto" w:fill="auto"/>
            <w:noWrap/>
            <w:vAlign w:val="center"/>
            <w:hideMark/>
          </w:tcPr>
          <w:p w14:paraId="5CE316ED" w14:textId="77777777" w:rsidR="005D38D3" w:rsidRPr="00925C94" w:rsidRDefault="005D38D3" w:rsidP="00B755E6">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0</w:t>
            </w:r>
          </w:p>
        </w:tc>
        <w:tc>
          <w:tcPr>
            <w:tcW w:w="555" w:type="pct"/>
            <w:tcBorders>
              <w:top w:val="nil"/>
              <w:left w:val="nil"/>
              <w:bottom w:val="nil"/>
              <w:right w:val="nil"/>
            </w:tcBorders>
            <w:shd w:val="clear" w:color="auto" w:fill="auto"/>
            <w:noWrap/>
            <w:vAlign w:val="center"/>
            <w:hideMark/>
          </w:tcPr>
          <w:p w14:paraId="0EF365C1" w14:textId="77777777" w:rsidR="005D38D3" w:rsidRPr="00925C94" w:rsidRDefault="005D38D3" w:rsidP="00B755E6">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103</w:t>
            </w:r>
          </w:p>
        </w:tc>
        <w:tc>
          <w:tcPr>
            <w:tcW w:w="408" w:type="pct"/>
            <w:tcBorders>
              <w:top w:val="nil"/>
              <w:left w:val="nil"/>
              <w:bottom w:val="nil"/>
              <w:right w:val="nil"/>
            </w:tcBorders>
            <w:shd w:val="clear" w:color="auto" w:fill="auto"/>
            <w:noWrap/>
            <w:vAlign w:val="center"/>
            <w:hideMark/>
          </w:tcPr>
          <w:p w14:paraId="2A9366EB" w14:textId="77777777" w:rsidR="005D38D3" w:rsidRPr="00925C94" w:rsidRDefault="005D38D3" w:rsidP="00F22F6C">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294</w:t>
            </w:r>
          </w:p>
        </w:tc>
        <w:tc>
          <w:tcPr>
            <w:tcW w:w="647" w:type="pct"/>
            <w:tcBorders>
              <w:top w:val="nil"/>
              <w:left w:val="nil"/>
              <w:bottom w:val="nil"/>
              <w:right w:val="nil"/>
            </w:tcBorders>
            <w:shd w:val="clear" w:color="auto" w:fill="auto"/>
            <w:noWrap/>
            <w:vAlign w:val="center"/>
            <w:hideMark/>
          </w:tcPr>
          <w:p w14:paraId="73E01BFC" w14:textId="77777777" w:rsidR="005D38D3" w:rsidRPr="00925C94" w:rsidRDefault="005D38D3" w:rsidP="00CF0671">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34</w:t>
            </w:r>
          </w:p>
        </w:tc>
        <w:tc>
          <w:tcPr>
            <w:tcW w:w="522" w:type="pct"/>
            <w:tcBorders>
              <w:top w:val="nil"/>
              <w:left w:val="nil"/>
              <w:bottom w:val="nil"/>
              <w:right w:val="nil"/>
            </w:tcBorders>
            <w:shd w:val="clear" w:color="000000" w:fill="F2DCDB"/>
            <w:noWrap/>
            <w:vAlign w:val="center"/>
            <w:hideMark/>
          </w:tcPr>
          <w:p w14:paraId="779E91D9" w14:textId="77777777" w:rsidR="005D38D3" w:rsidRPr="00925C94" w:rsidRDefault="005D38D3" w:rsidP="00CF0671">
            <w:pPr>
              <w:spacing w:before="0" w:after="0"/>
              <w:jc w:val="center"/>
              <w:rPr>
                <w:rFonts w:ascii="Calibri" w:hAnsi="Calibri" w:cs="Times New Roman"/>
                <w:b/>
                <w:bCs/>
                <w:sz w:val="20"/>
                <w:szCs w:val="20"/>
              </w:rPr>
            </w:pPr>
            <w:r w:rsidRPr="00925C94">
              <w:rPr>
                <w:rFonts w:ascii="Calibri" w:hAnsi="Calibri" w:cs="Times New Roman"/>
                <w:b/>
                <w:bCs/>
                <w:sz w:val="20"/>
                <w:szCs w:val="20"/>
              </w:rPr>
              <w:t>431</w:t>
            </w:r>
          </w:p>
        </w:tc>
        <w:tc>
          <w:tcPr>
            <w:tcW w:w="679" w:type="pct"/>
            <w:tcBorders>
              <w:top w:val="nil"/>
              <w:left w:val="nil"/>
              <w:bottom w:val="nil"/>
              <w:right w:val="single" w:sz="4" w:space="0" w:color="auto"/>
            </w:tcBorders>
            <w:shd w:val="clear" w:color="000000" w:fill="F2DCDB"/>
            <w:noWrap/>
            <w:vAlign w:val="center"/>
            <w:hideMark/>
          </w:tcPr>
          <w:p w14:paraId="194E230D" w14:textId="77777777" w:rsidR="005D38D3" w:rsidRPr="00925C94" w:rsidRDefault="005D38D3" w:rsidP="00CF0671">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20</w:t>
            </w:r>
          </w:p>
        </w:tc>
      </w:tr>
      <w:tr w:rsidR="005D38D3" w:rsidRPr="00925C94" w14:paraId="1D47FA26" w14:textId="77777777" w:rsidTr="00A35C25">
        <w:trPr>
          <w:trHeight w:val="300"/>
        </w:trPr>
        <w:tc>
          <w:tcPr>
            <w:tcW w:w="1042" w:type="pct"/>
            <w:vMerge/>
            <w:tcBorders>
              <w:top w:val="nil"/>
              <w:left w:val="single" w:sz="4" w:space="0" w:color="auto"/>
              <w:bottom w:val="nil"/>
              <w:right w:val="single" w:sz="4" w:space="0" w:color="auto"/>
            </w:tcBorders>
            <w:vAlign w:val="center"/>
            <w:hideMark/>
          </w:tcPr>
          <w:p w14:paraId="49E1A0AE" w14:textId="77777777" w:rsidR="005D38D3" w:rsidRPr="00925C94" w:rsidRDefault="005D38D3" w:rsidP="0065493C">
            <w:pPr>
              <w:spacing w:before="0" w:after="0"/>
              <w:jc w:val="center"/>
              <w:rPr>
                <w:rFonts w:ascii="Calibri" w:hAnsi="Calibri" w:cs="Times New Roman"/>
                <w:b/>
                <w:bCs/>
                <w:color w:val="000000"/>
                <w:sz w:val="20"/>
                <w:szCs w:val="20"/>
              </w:rPr>
            </w:pPr>
          </w:p>
        </w:tc>
        <w:tc>
          <w:tcPr>
            <w:tcW w:w="337" w:type="pct"/>
            <w:tcBorders>
              <w:top w:val="nil"/>
              <w:left w:val="nil"/>
              <w:bottom w:val="nil"/>
              <w:right w:val="single" w:sz="4" w:space="0" w:color="auto"/>
            </w:tcBorders>
            <w:shd w:val="clear" w:color="000000" w:fill="F2F2F2"/>
            <w:noWrap/>
            <w:vAlign w:val="center"/>
            <w:hideMark/>
          </w:tcPr>
          <w:p w14:paraId="6FDDFF1C"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w:t>
            </w:r>
          </w:p>
        </w:tc>
        <w:tc>
          <w:tcPr>
            <w:tcW w:w="419" w:type="pct"/>
            <w:tcBorders>
              <w:top w:val="nil"/>
              <w:left w:val="nil"/>
              <w:bottom w:val="nil"/>
              <w:right w:val="single" w:sz="4" w:space="0" w:color="auto"/>
            </w:tcBorders>
            <w:shd w:val="clear" w:color="000000" w:fill="F2F2F2"/>
            <w:noWrap/>
            <w:vAlign w:val="center"/>
            <w:hideMark/>
          </w:tcPr>
          <w:p w14:paraId="3290D573"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100%</w:t>
            </w:r>
          </w:p>
        </w:tc>
        <w:tc>
          <w:tcPr>
            <w:tcW w:w="391" w:type="pct"/>
            <w:tcBorders>
              <w:top w:val="nil"/>
              <w:left w:val="nil"/>
              <w:bottom w:val="nil"/>
              <w:right w:val="nil"/>
            </w:tcBorders>
            <w:shd w:val="clear" w:color="auto" w:fill="auto"/>
            <w:noWrap/>
            <w:vAlign w:val="center"/>
            <w:hideMark/>
          </w:tcPr>
          <w:p w14:paraId="7959756A"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0%</w:t>
            </w:r>
          </w:p>
        </w:tc>
        <w:tc>
          <w:tcPr>
            <w:tcW w:w="555" w:type="pct"/>
            <w:tcBorders>
              <w:top w:val="nil"/>
              <w:left w:val="nil"/>
              <w:bottom w:val="nil"/>
              <w:right w:val="nil"/>
            </w:tcBorders>
            <w:shd w:val="clear" w:color="auto" w:fill="auto"/>
            <w:noWrap/>
            <w:vAlign w:val="center"/>
            <w:hideMark/>
          </w:tcPr>
          <w:p w14:paraId="77FA5F23"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23%</w:t>
            </w:r>
          </w:p>
        </w:tc>
        <w:tc>
          <w:tcPr>
            <w:tcW w:w="408" w:type="pct"/>
            <w:tcBorders>
              <w:top w:val="nil"/>
              <w:left w:val="nil"/>
              <w:bottom w:val="nil"/>
              <w:right w:val="nil"/>
            </w:tcBorders>
            <w:shd w:val="clear" w:color="auto" w:fill="auto"/>
            <w:noWrap/>
            <w:vAlign w:val="center"/>
            <w:hideMark/>
          </w:tcPr>
          <w:p w14:paraId="5B20B6D4"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65%</w:t>
            </w:r>
          </w:p>
        </w:tc>
        <w:tc>
          <w:tcPr>
            <w:tcW w:w="647" w:type="pct"/>
            <w:tcBorders>
              <w:top w:val="nil"/>
              <w:left w:val="nil"/>
              <w:bottom w:val="nil"/>
              <w:right w:val="nil"/>
            </w:tcBorders>
            <w:shd w:val="clear" w:color="auto" w:fill="auto"/>
            <w:noWrap/>
            <w:vAlign w:val="center"/>
            <w:hideMark/>
          </w:tcPr>
          <w:p w14:paraId="1112B943"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8%</w:t>
            </w:r>
          </w:p>
        </w:tc>
        <w:tc>
          <w:tcPr>
            <w:tcW w:w="522" w:type="pct"/>
            <w:tcBorders>
              <w:top w:val="nil"/>
              <w:left w:val="nil"/>
              <w:bottom w:val="nil"/>
              <w:right w:val="nil"/>
            </w:tcBorders>
            <w:shd w:val="clear" w:color="000000" w:fill="F2DCDB"/>
            <w:noWrap/>
            <w:vAlign w:val="center"/>
            <w:hideMark/>
          </w:tcPr>
          <w:p w14:paraId="1659F571" w14:textId="77777777" w:rsidR="005D38D3" w:rsidRPr="00925C94" w:rsidRDefault="005D38D3" w:rsidP="00A35C25">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96%</w:t>
            </w:r>
          </w:p>
        </w:tc>
        <w:tc>
          <w:tcPr>
            <w:tcW w:w="679" w:type="pct"/>
            <w:tcBorders>
              <w:top w:val="nil"/>
              <w:left w:val="nil"/>
              <w:bottom w:val="nil"/>
              <w:right w:val="single" w:sz="4" w:space="0" w:color="auto"/>
            </w:tcBorders>
            <w:shd w:val="clear" w:color="000000" w:fill="F2DCDB"/>
            <w:noWrap/>
            <w:vAlign w:val="center"/>
            <w:hideMark/>
          </w:tcPr>
          <w:p w14:paraId="1429A913" w14:textId="77777777" w:rsidR="005D38D3" w:rsidRPr="00925C94" w:rsidRDefault="005D38D3" w:rsidP="00A35C25">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4%</w:t>
            </w:r>
          </w:p>
        </w:tc>
      </w:tr>
      <w:tr w:rsidR="005D38D3" w:rsidRPr="00925C94" w14:paraId="4AA6F7A6" w14:textId="77777777" w:rsidTr="00A35C25">
        <w:trPr>
          <w:trHeight w:val="300"/>
        </w:trPr>
        <w:tc>
          <w:tcPr>
            <w:tcW w:w="1042" w:type="pct"/>
            <w:vMerge w:val="restart"/>
            <w:tcBorders>
              <w:top w:val="nil"/>
              <w:left w:val="single" w:sz="4" w:space="0" w:color="auto"/>
              <w:bottom w:val="nil"/>
              <w:right w:val="nil"/>
            </w:tcBorders>
            <w:shd w:val="clear" w:color="000000" w:fill="F2F2F2"/>
            <w:noWrap/>
            <w:vAlign w:val="center"/>
            <w:hideMark/>
          </w:tcPr>
          <w:p w14:paraId="6D5438C7" w14:textId="77777777" w:rsidR="005D38D3" w:rsidRPr="00925C94" w:rsidRDefault="005D38D3" w:rsidP="00A35C25">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Fitzroy</w:t>
            </w:r>
          </w:p>
        </w:tc>
        <w:tc>
          <w:tcPr>
            <w:tcW w:w="337" w:type="pct"/>
            <w:tcBorders>
              <w:top w:val="nil"/>
              <w:left w:val="single" w:sz="4" w:space="0" w:color="auto"/>
              <w:bottom w:val="nil"/>
              <w:right w:val="single" w:sz="4" w:space="0" w:color="auto"/>
            </w:tcBorders>
            <w:shd w:val="clear" w:color="000000" w:fill="F2F2F2"/>
            <w:noWrap/>
            <w:vAlign w:val="center"/>
            <w:hideMark/>
          </w:tcPr>
          <w:p w14:paraId="5313143E" w14:textId="77777777" w:rsidR="005D38D3" w:rsidRPr="00925C94" w:rsidRDefault="005D38D3" w:rsidP="00A35C25">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area</w:t>
            </w:r>
          </w:p>
        </w:tc>
        <w:tc>
          <w:tcPr>
            <w:tcW w:w="419" w:type="pct"/>
            <w:tcBorders>
              <w:top w:val="nil"/>
              <w:left w:val="nil"/>
              <w:bottom w:val="nil"/>
              <w:right w:val="single" w:sz="4" w:space="0" w:color="auto"/>
            </w:tcBorders>
            <w:shd w:val="clear" w:color="000000" w:fill="F2F2F2"/>
            <w:noWrap/>
            <w:vAlign w:val="center"/>
            <w:hideMark/>
          </w:tcPr>
          <w:p w14:paraId="1DFC625F" w14:textId="77777777" w:rsidR="005D38D3" w:rsidRPr="00925C94" w:rsidRDefault="005D38D3" w:rsidP="007754E4">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5</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801</w:t>
            </w:r>
          </w:p>
        </w:tc>
        <w:tc>
          <w:tcPr>
            <w:tcW w:w="391" w:type="pct"/>
            <w:tcBorders>
              <w:top w:val="nil"/>
              <w:left w:val="nil"/>
              <w:bottom w:val="nil"/>
              <w:right w:val="nil"/>
            </w:tcBorders>
            <w:shd w:val="clear" w:color="auto" w:fill="auto"/>
            <w:noWrap/>
            <w:vAlign w:val="center"/>
            <w:hideMark/>
          </w:tcPr>
          <w:p w14:paraId="765693CD" w14:textId="77777777" w:rsidR="005D38D3" w:rsidRPr="00925C94" w:rsidRDefault="005D38D3" w:rsidP="00B755E6">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970</w:t>
            </w:r>
          </w:p>
        </w:tc>
        <w:tc>
          <w:tcPr>
            <w:tcW w:w="555" w:type="pct"/>
            <w:tcBorders>
              <w:top w:val="nil"/>
              <w:left w:val="nil"/>
              <w:bottom w:val="nil"/>
              <w:right w:val="nil"/>
            </w:tcBorders>
            <w:shd w:val="clear" w:color="auto" w:fill="auto"/>
            <w:noWrap/>
            <w:vAlign w:val="center"/>
            <w:hideMark/>
          </w:tcPr>
          <w:p w14:paraId="72710FA3" w14:textId="77777777" w:rsidR="005D38D3" w:rsidRPr="00925C94" w:rsidRDefault="005D38D3" w:rsidP="00B755E6">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310</w:t>
            </w:r>
          </w:p>
        </w:tc>
        <w:tc>
          <w:tcPr>
            <w:tcW w:w="408" w:type="pct"/>
            <w:tcBorders>
              <w:top w:val="nil"/>
              <w:left w:val="nil"/>
              <w:bottom w:val="nil"/>
              <w:right w:val="nil"/>
            </w:tcBorders>
            <w:shd w:val="clear" w:color="auto" w:fill="auto"/>
            <w:noWrap/>
            <w:vAlign w:val="center"/>
            <w:hideMark/>
          </w:tcPr>
          <w:p w14:paraId="7671DD44" w14:textId="77777777" w:rsidR="005D38D3" w:rsidRPr="00925C94" w:rsidRDefault="005D38D3" w:rsidP="00F22F6C">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422</w:t>
            </w:r>
          </w:p>
        </w:tc>
        <w:tc>
          <w:tcPr>
            <w:tcW w:w="647" w:type="pct"/>
            <w:tcBorders>
              <w:top w:val="nil"/>
              <w:left w:val="nil"/>
              <w:bottom w:val="nil"/>
              <w:right w:val="nil"/>
            </w:tcBorders>
            <w:shd w:val="clear" w:color="auto" w:fill="auto"/>
            <w:noWrap/>
            <w:vAlign w:val="center"/>
            <w:hideMark/>
          </w:tcPr>
          <w:p w14:paraId="0942800E" w14:textId="77777777" w:rsidR="005D38D3" w:rsidRPr="00925C94" w:rsidRDefault="005D38D3" w:rsidP="00CF0671">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97</w:t>
            </w:r>
          </w:p>
        </w:tc>
        <w:tc>
          <w:tcPr>
            <w:tcW w:w="522" w:type="pct"/>
            <w:tcBorders>
              <w:top w:val="nil"/>
              <w:left w:val="nil"/>
              <w:bottom w:val="nil"/>
              <w:right w:val="nil"/>
            </w:tcBorders>
            <w:shd w:val="clear" w:color="000000" w:fill="F2DCDB"/>
            <w:noWrap/>
            <w:vAlign w:val="center"/>
            <w:hideMark/>
          </w:tcPr>
          <w:p w14:paraId="5737406C" w14:textId="77777777" w:rsidR="005D38D3" w:rsidRPr="00925C94" w:rsidRDefault="005D38D3" w:rsidP="00CF0671">
            <w:pPr>
              <w:spacing w:before="0" w:after="0"/>
              <w:jc w:val="center"/>
              <w:rPr>
                <w:rFonts w:ascii="Calibri" w:hAnsi="Calibri" w:cs="Times New Roman"/>
                <w:b/>
                <w:bCs/>
                <w:sz w:val="20"/>
                <w:szCs w:val="20"/>
              </w:rPr>
            </w:pPr>
            <w:r w:rsidRPr="00925C94">
              <w:rPr>
                <w:rFonts w:ascii="Calibri" w:hAnsi="Calibri" w:cs="Times New Roman"/>
                <w:b/>
                <w:bCs/>
                <w:sz w:val="20"/>
                <w:szCs w:val="20"/>
              </w:rPr>
              <w:t>5</w:t>
            </w:r>
            <w:r w:rsidR="006B0C6A" w:rsidRPr="00925C94">
              <w:rPr>
                <w:rFonts w:ascii="Calibri" w:hAnsi="Calibri" w:cs="Times New Roman"/>
                <w:b/>
                <w:bCs/>
                <w:sz w:val="20"/>
                <w:szCs w:val="20"/>
              </w:rPr>
              <w:t>,</w:t>
            </w:r>
            <w:r w:rsidRPr="00925C94">
              <w:rPr>
                <w:rFonts w:ascii="Calibri" w:hAnsi="Calibri" w:cs="Times New Roman"/>
                <w:b/>
                <w:bCs/>
                <w:sz w:val="20"/>
                <w:szCs w:val="20"/>
              </w:rPr>
              <w:t>798</w:t>
            </w:r>
          </w:p>
        </w:tc>
        <w:tc>
          <w:tcPr>
            <w:tcW w:w="679" w:type="pct"/>
            <w:tcBorders>
              <w:top w:val="nil"/>
              <w:left w:val="nil"/>
              <w:bottom w:val="nil"/>
              <w:right w:val="single" w:sz="4" w:space="0" w:color="auto"/>
            </w:tcBorders>
            <w:shd w:val="clear" w:color="000000" w:fill="F2DCDB"/>
            <w:noWrap/>
            <w:vAlign w:val="center"/>
            <w:hideMark/>
          </w:tcPr>
          <w:p w14:paraId="7DAF56EF" w14:textId="77777777" w:rsidR="005D38D3" w:rsidRPr="00925C94" w:rsidRDefault="005D38D3" w:rsidP="00CF0671">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3</w:t>
            </w:r>
          </w:p>
        </w:tc>
      </w:tr>
      <w:tr w:rsidR="005D38D3" w:rsidRPr="00925C94" w14:paraId="41BCBF13" w14:textId="77777777" w:rsidTr="00A35C25">
        <w:trPr>
          <w:trHeight w:val="300"/>
        </w:trPr>
        <w:tc>
          <w:tcPr>
            <w:tcW w:w="1042" w:type="pct"/>
            <w:vMerge/>
            <w:tcBorders>
              <w:top w:val="nil"/>
              <w:left w:val="single" w:sz="4" w:space="0" w:color="auto"/>
              <w:bottom w:val="nil"/>
              <w:right w:val="nil"/>
            </w:tcBorders>
            <w:vAlign w:val="center"/>
            <w:hideMark/>
          </w:tcPr>
          <w:p w14:paraId="027779A5" w14:textId="77777777" w:rsidR="005D38D3" w:rsidRPr="00925C94" w:rsidRDefault="005D38D3" w:rsidP="0065493C">
            <w:pPr>
              <w:spacing w:before="0" w:after="0"/>
              <w:jc w:val="center"/>
              <w:rPr>
                <w:rFonts w:ascii="Calibri" w:hAnsi="Calibri" w:cs="Times New Roman"/>
                <w:b/>
                <w:bCs/>
                <w:color w:val="000000"/>
                <w:sz w:val="20"/>
                <w:szCs w:val="20"/>
              </w:rPr>
            </w:pPr>
          </w:p>
        </w:tc>
        <w:tc>
          <w:tcPr>
            <w:tcW w:w="337" w:type="pct"/>
            <w:tcBorders>
              <w:top w:val="nil"/>
              <w:left w:val="single" w:sz="4" w:space="0" w:color="auto"/>
              <w:bottom w:val="nil"/>
              <w:right w:val="single" w:sz="4" w:space="0" w:color="auto"/>
            </w:tcBorders>
            <w:shd w:val="clear" w:color="000000" w:fill="F2F2F2"/>
            <w:noWrap/>
            <w:vAlign w:val="center"/>
            <w:hideMark/>
          </w:tcPr>
          <w:p w14:paraId="3C82565B"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w:t>
            </w:r>
          </w:p>
        </w:tc>
        <w:tc>
          <w:tcPr>
            <w:tcW w:w="419" w:type="pct"/>
            <w:tcBorders>
              <w:top w:val="nil"/>
              <w:left w:val="nil"/>
              <w:bottom w:val="nil"/>
              <w:right w:val="single" w:sz="4" w:space="0" w:color="auto"/>
            </w:tcBorders>
            <w:shd w:val="clear" w:color="000000" w:fill="F2F2F2"/>
            <w:noWrap/>
            <w:vAlign w:val="center"/>
            <w:hideMark/>
          </w:tcPr>
          <w:p w14:paraId="6F37A95D"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100%</w:t>
            </w:r>
          </w:p>
        </w:tc>
        <w:tc>
          <w:tcPr>
            <w:tcW w:w="391" w:type="pct"/>
            <w:tcBorders>
              <w:top w:val="nil"/>
              <w:left w:val="nil"/>
              <w:bottom w:val="nil"/>
              <w:right w:val="nil"/>
            </w:tcBorders>
            <w:shd w:val="clear" w:color="auto" w:fill="auto"/>
            <w:noWrap/>
            <w:vAlign w:val="center"/>
            <w:hideMark/>
          </w:tcPr>
          <w:p w14:paraId="4569507E"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51%</w:t>
            </w:r>
          </w:p>
        </w:tc>
        <w:tc>
          <w:tcPr>
            <w:tcW w:w="555" w:type="pct"/>
            <w:tcBorders>
              <w:top w:val="nil"/>
              <w:left w:val="nil"/>
              <w:bottom w:val="nil"/>
              <w:right w:val="nil"/>
            </w:tcBorders>
            <w:shd w:val="clear" w:color="auto" w:fill="auto"/>
            <w:noWrap/>
            <w:vAlign w:val="center"/>
            <w:hideMark/>
          </w:tcPr>
          <w:p w14:paraId="7441C76A"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40%</w:t>
            </w:r>
          </w:p>
        </w:tc>
        <w:tc>
          <w:tcPr>
            <w:tcW w:w="408" w:type="pct"/>
            <w:tcBorders>
              <w:top w:val="nil"/>
              <w:left w:val="nil"/>
              <w:bottom w:val="nil"/>
              <w:right w:val="nil"/>
            </w:tcBorders>
            <w:shd w:val="clear" w:color="auto" w:fill="auto"/>
            <w:noWrap/>
            <w:vAlign w:val="center"/>
            <w:hideMark/>
          </w:tcPr>
          <w:p w14:paraId="1A8C1EF4"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7%</w:t>
            </w:r>
          </w:p>
        </w:tc>
        <w:tc>
          <w:tcPr>
            <w:tcW w:w="647" w:type="pct"/>
            <w:tcBorders>
              <w:top w:val="nil"/>
              <w:left w:val="nil"/>
              <w:bottom w:val="nil"/>
              <w:right w:val="nil"/>
            </w:tcBorders>
            <w:shd w:val="clear" w:color="auto" w:fill="auto"/>
            <w:noWrap/>
            <w:vAlign w:val="center"/>
            <w:hideMark/>
          </w:tcPr>
          <w:p w14:paraId="0C8C2A6B"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2%</w:t>
            </w:r>
          </w:p>
        </w:tc>
        <w:tc>
          <w:tcPr>
            <w:tcW w:w="522" w:type="pct"/>
            <w:tcBorders>
              <w:top w:val="nil"/>
              <w:left w:val="nil"/>
              <w:bottom w:val="nil"/>
              <w:right w:val="nil"/>
            </w:tcBorders>
            <w:shd w:val="clear" w:color="000000" w:fill="F2DCDB"/>
            <w:noWrap/>
            <w:vAlign w:val="center"/>
            <w:hideMark/>
          </w:tcPr>
          <w:p w14:paraId="7844120D" w14:textId="77777777" w:rsidR="005D38D3" w:rsidRPr="00925C94" w:rsidRDefault="005D38D3" w:rsidP="00A35C25">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100%</w:t>
            </w:r>
          </w:p>
        </w:tc>
        <w:tc>
          <w:tcPr>
            <w:tcW w:w="679" w:type="pct"/>
            <w:tcBorders>
              <w:top w:val="nil"/>
              <w:left w:val="nil"/>
              <w:bottom w:val="nil"/>
              <w:right w:val="single" w:sz="4" w:space="0" w:color="auto"/>
            </w:tcBorders>
            <w:shd w:val="clear" w:color="000000" w:fill="F2DCDB"/>
            <w:noWrap/>
            <w:vAlign w:val="center"/>
            <w:hideMark/>
          </w:tcPr>
          <w:p w14:paraId="66756BFD" w14:textId="77777777" w:rsidR="005D38D3" w:rsidRPr="00925C94" w:rsidRDefault="005D38D3" w:rsidP="00A35C25">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0%</w:t>
            </w:r>
          </w:p>
        </w:tc>
      </w:tr>
      <w:tr w:rsidR="005D38D3" w:rsidRPr="00925C94" w14:paraId="2E2642BF" w14:textId="77777777" w:rsidTr="00A35C25">
        <w:trPr>
          <w:trHeight w:val="300"/>
        </w:trPr>
        <w:tc>
          <w:tcPr>
            <w:tcW w:w="1042" w:type="pct"/>
            <w:vMerge w:val="restart"/>
            <w:tcBorders>
              <w:top w:val="nil"/>
              <w:left w:val="single" w:sz="4" w:space="0" w:color="auto"/>
              <w:bottom w:val="single" w:sz="4" w:space="0" w:color="000000"/>
              <w:right w:val="single" w:sz="4" w:space="0" w:color="auto"/>
            </w:tcBorders>
            <w:shd w:val="clear" w:color="000000" w:fill="F2F2F2"/>
            <w:vAlign w:val="center"/>
            <w:hideMark/>
          </w:tcPr>
          <w:p w14:paraId="00FB008A" w14:textId="77777777" w:rsidR="005D38D3" w:rsidRPr="00925C94" w:rsidRDefault="005D38D3" w:rsidP="00A35C25">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Burnett-Mary</w:t>
            </w:r>
          </w:p>
        </w:tc>
        <w:tc>
          <w:tcPr>
            <w:tcW w:w="337" w:type="pct"/>
            <w:tcBorders>
              <w:top w:val="nil"/>
              <w:left w:val="nil"/>
              <w:bottom w:val="nil"/>
              <w:right w:val="single" w:sz="4" w:space="0" w:color="auto"/>
            </w:tcBorders>
            <w:shd w:val="clear" w:color="000000" w:fill="F2F2F2"/>
            <w:noWrap/>
            <w:vAlign w:val="center"/>
            <w:hideMark/>
          </w:tcPr>
          <w:p w14:paraId="3850704C" w14:textId="77777777" w:rsidR="005D38D3" w:rsidRPr="00925C94" w:rsidRDefault="005D38D3" w:rsidP="00A35C25">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area</w:t>
            </w:r>
          </w:p>
        </w:tc>
        <w:tc>
          <w:tcPr>
            <w:tcW w:w="419" w:type="pct"/>
            <w:tcBorders>
              <w:top w:val="nil"/>
              <w:left w:val="nil"/>
              <w:bottom w:val="nil"/>
              <w:right w:val="single" w:sz="4" w:space="0" w:color="auto"/>
            </w:tcBorders>
            <w:shd w:val="clear" w:color="000000" w:fill="F2F2F2"/>
            <w:noWrap/>
            <w:vAlign w:val="center"/>
            <w:hideMark/>
          </w:tcPr>
          <w:p w14:paraId="00F0D600" w14:textId="77777777" w:rsidR="005D38D3" w:rsidRPr="00925C94" w:rsidRDefault="005D38D3" w:rsidP="007754E4">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6</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374</w:t>
            </w:r>
          </w:p>
        </w:tc>
        <w:tc>
          <w:tcPr>
            <w:tcW w:w="391" w:type="pct"/>
            <w:tcBorders>
              <w:top w:val="nil"/>
              <w:left w:val="nil"/>
              <w:bottom w:val="nil"/>
              <w:right w:val="nil"/>
            </w:tcBorders>
            <w:shd w:val="clear" w:color="auto" w:fill="auto"/>
            <w:noWrap/>
            <w:vAlign w:val="center"/>
            <w:hideMark/>
          </w:tcPr>
          <w:p w14:paraId="324E7A65" w14:textId="77777777" w:rsidR="005D38D3" w:rsidRPr="00925C94" w:rsidRDefault="005D38D3" w:rsidP="00B755E6">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666</w:t>
            </w:r>
          </w:p>
        </w:tc>
        <w:tc>
          <w:tcPr>
            <w:tcW w:w="555" w:type="pct"/>
            <w:tcBorders>
              <w:top w:val="nil"/>
              <w:left w:val="nil"/>
              <w:bottom w:val="nil"/>
              <w:right w:val="nil"/>
            </w:tcBorders>
            <w:shd w:val="clear" w:color="auto" w:fill="auto"/>
            <w:noWrap/>
            <w:vAlign w:val="center"/>
            <w:hideMark/>
          </w:tcPr>
          <w:p w14:paraId="07BA379B" w14:textId="77777777" w:rsidR="005D38D3" w:rsidRPr="00925C94" w:rsidRDefault="005D38D3" w:rsidP="00B755E6">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w:t>
            </w:r>
            <w:r w:rsidR="00CE2946" w:rsidRPr="00925C94">
              <w:rPr>
                <w:rFonts w:ascii="Calibri" w:hAnsi="Calibri" w:cs="Times New Roman"/>
                <w:color w:val="000000"/>
                <w:sz w:val="20"/>
                <w:szCs w:val="20"/>
              </w:rPr>
              <w:t>,</w:t>
            </w:r>
            <w:r w:rsidRPr="00925C94">
              <w:rPr>
                <w:rFonts w:ascii="Calibri" w:hAnsi="Calibri" w:cs="Times New Roman"/>
                <w:color w:val="000000"/>
                <w:sz w:val="20"/>
                <w:szCs w:val="20"/>
              </w:rPr>
              <w:t>296</w:t>
            </w:r>
          </w:p>
        </w:tc>
        <w:tc>
          <w:tcPr>
            <w:tcW w:w="408" w:type="pct"/>
            <w:tcBorders>
              <w:top w:val="nil"/>
              <w:left w:val="nil"/>
              <w:bottom w:val="nil"/>
              <w:right w:val="nil"/>
            </w:tcBorders>
            <w:shd w:val="clear" w:color="auto" w:fill="auto"/>
            <w:noWrap/>
            <w:vAlign w:val="center"/>
            <w:hideMark/>
          </w:tcPr>
          <w:p w14:paraId="0DF3FC28" w14:textId="77777777" w:rsidR="005D38D3" w:rsidRPr="00925C94" w:rsidRDefault="005D38D3" w:rsidP="00F22F6C">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60</w:t>
            </w:r>
          </w:p>
        </w:tc>
        <w:tc>
          <w:tcPr>
            <w:tcW w:w="647" w:type="pct"/>
            <w:tcBorders>
              <w:top w:val="nil"/>
              <w:left w:val="nil"/>
              <w:bottom w:val="nil"/>
              <w:right w:val="nil"/>
            </w:tcBorders>
            <w:shd w:val="clear" w:color="auto" w:fill="auto"/>
            <w:noWrap/>
            <w:vAlign w:val="center"/>
            <w:hideMark/>
          </w:tcPr>
          <w:p w14:paraId="641D4742" w14:textId="77777777" w:rsidR="005D38D3" w:rsidRPr="00925C94" w:rsidRDefault="005D38D3" w:rsidP="00CF0671">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21</w:t>
            </w:r>
          </w:p>
        </w:tc>
        <w:tc>
          <w:tcPr>
            <w:tcW w:w="522" w:type="pct"/>
            <w:tcBorders>
              <w:top w:val="nil"/>
              <w:left w:val="nil"/>
              <w:bottom w:val="nil"/>
              <w:right w:val="nil"/>
            </w:tcBorders>
            <w:shd w:val="clear" w:color="000000" w:fill="F2DCDB"/>
            <w:noWrap/>
            <w:vAlign w:val="center"/>
            <w:hideMark/>
          </w:tcPr>
          <w:p w14:paraId="5243A46D" w14:textId="77777777" w:rsidR="005D38D3" w:rsidRPr="00925C94" w:rsidRDefault="005D38D3" w:rsidP="00CF0671">
            <w:pPr>
              <w:spacing w:before="0" w:after="0"/>
              <w:jc w:val="center"/>
              <w:rPr>
                <w:rFonts w:ascii="Calibri" w:hAnsi="Calibri" w:cs="Times New Roman"/>
                <w:b/>
                <w:bCs/>
                <w:sz w:val="20"/>
                <w:szCs w:val="20"/>
              </w:rPr>
            </w:pPr>
            <w:r w:rsidRPr="00925C94">
              <w:rPr>
                <w:rFonts w:ascii="Calibri" w:hAnsi="Calibri" w:cs="Times New Roman"/>
                <w:b/>
                <w:bCs/>
                <w:sz w:val="20"/>
                <w:szCs w:val="20"/>
              </w:rPr>
              <w:t>5</w:t>
            </w:r>
            <w:r w:rsidR="006B0C6A" w:rsidRPr="00925C94">
              <w:rPr>
                <w:rFonts w:ascii="Calibri" w:hAnsi="Calibri" w:cs="Times New Roman"/>
                <w:b/>
                <w:bCs/>
                <w:sz w:val="20"/>
                <w:szCs w:val="20"/>
              </w:rPr>
              <w:t>,</w:t>
            </w:r>
            <w:r w:rsidRPr="00925C94">
              <w:rPr>
                <w:rFonts w:ascii="Calibri" w:hAnsi="Calibri" w:cs="Times New Roman"/>
                <w:b/>
                <w:bCs/>
                <w:sz w:val="20"/>
                <w:szCs w:val="20"/>
              </w:rPr>
              <w:t>043</w:t>
            </w:r>
          </w:p>
        </w:tc>
        <w:tc>
          <w:tcPr>
            <w:tcW w:w="679" w:type="pct"/>
            <w:tcBorders>
              <w:top w:val="nil"/>
              <w:left w:val="nil"/>
              <w:bottom w:val="nil"/>
              <w:right w:val="single" w:sz="4" w:space="0" w:color="auto"/>
            </w:tcBorders>
            <w:shd w:val="clear" w:color="000000" w:fill="F2DCDB"/>
            <w:noWrap/>
            <w:vAlign w:val="center"/>
            <w:hideMark/>
          </w:tcPr>
          <w:p w14:paraId="0807CBE8" w14:textId="77777777" w:rsidR="005D38D3" w:rsidRPr="00925C94" w:rsidRDefault="005D38D3" w:rsidP="00CF0671">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1331</w:t>
            </w:r>
          </w:p>
        </w:tc>
      </w:tr>
      <w:tr w:rsidR="005D38D3" w:rsidRPr="00925C94" w14:paraId="4191878A" w14:textId="77777777" w:rsidTr="00A35C25">
        <w:trPr>
          <w:trHeight w:val="300"/>
        </w:trPr>
        <w:tc>
          <w:tcPr>
            <w:tcW w:w="1042" w:type="pct"/>
            <w:vMerge/>
            <w:tcBorders>
              <w:top w:val="nil"/>
              <w:left w:val="single" w:sz="4" w:space="0" w:color="auto"/>
              <w:bottom w:val="single" w:sz="4" w:space="0" w:color="000000"/>
              <w:right w:val="single" w:sz="4" w:space="0" w:color="auto"/>
            </w:tcBorders>
            <w:vAlign w:val="center"/>
            <w:hideMark/>
          </w:tcPr>
          <w:p w14:paraId="0CDB6D76" w14:textId="77777777" w:rsidR="005D38D3" w:rsidRPr="00925C94" w:rsidRDefault="005D38D3" w:rsidP="0065493C">
            <w:pPr>
              <w:spacing w:before="0" w:after="0"/>
              <w:jc w:val="center"/>
              <w:rPr>
                <w:rFonts w:ascii="Calibri" w:hAnsi="Calibri" w:cs="Times New Roman"/>
                <w:b/>
                <w:bCs/>
                <w:color w:val="000000"/>
                <w:sz w:val="20"/>
                <w:szCs w:val="20"/>
              </w:rPr>
            </w:pPr>
          </w:p>
        </w:tc>
        <w:tc>
          <w:tcPr>
            <w:tcW w:w="337" w:type="pct"/>
            <w:tcBorders>
              <w:top w:val="nil"/>
              <w:left w:val="nil"/>
              <w:bottom w:val="single" w:sz="4" w:space="0" w:color="auto"/>
              <w:right w:val="single" w:sz="4" w:space="0" w:color="auto"/>
            </w:tcBorders>
            <w:shd w:val="clear" w:color="000000" w:fill="F2F2F2"/>
            <w:noWrap/>
            <w:vAlign w:val="center"/>
            <w:hideMark/>
          </w:tcPr>
          <w:p w14:paraId="5902F3B3"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w:t>
            </w:r>
          </w:p>
        </w:tc>
        <w:tc>
          <w:tcPr>
            <w:tcW w:w="419" w:type="pct"/>
            <w:tcBorders>
              <w:top w:val="nil"/>
              <w:left w:val="nil"/>
              <w:bottom w:val="single" w:sz="4" w:space="0" w:color="auto"/>
              <w:right w:val="single" w:sz="4" w:space="0" w:color="auto"/>
            </w:tcBorders>
            <w:shd w:val="clear" w:color="000000" w:fill="F2F2F2"/>
            <w:noWrap/>
            <w:vAlign w:val="center"/>
            <w:hideMark/>
          </w:tcPr>
          <w:p w14:paraId="614BFDD5"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100%</w:t>
            </w:r>
          </w:p>
        </w:tc>
        <w:tc>
          <w:tcPr>
            <w:tcW w:w="391" w:type="pct"/>
            <w:tcBorders>
              <w:top w:val="nil"/>
              <w:left w:val="nil"/>
              <w:bottom w:val="single" w:sz="4" w:space="0" w:color="auto"/>
              <w:right w:val="nil"/>
            </w:tcBorders>
            <w:shd w:val="clear" w:color="auto" w:fill="auto"/>
            <w:noWrap/>
            <w:vAlign w:val="center"/>
            <w:hideMark/>
          </w:tcPr>
          <w:p w14:paraId="3B55AC1F"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42%</w:t>
            </w:r>
          </w:p>
        </w:tc>
        <w:tc>
          <w:tcPr>
            <w:tcW w:w="555" w:type="pct"/>
            <w:tcBorders>
              <w:top w:val="nil"/>
              <w:left w:val="nil"/>
              <w:bottom w:val="single" w:sz="4" w:space="0" w:color="auto"/>
              <w:right w:val="nil"/>
            </w:tcBorders>
            <w:shd w:val="clear" w:color="auto" w:fill="auto"/>
            <w:noWrap/>
            <w:vAlign w:val="center"/>
            <w:hideMark/>
          </w:tcPr>
          <w:p w14:paraId="60B8EFA3"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36%</w:t>
            </w:r>
          </w:p>
        </w:tc>
        <w:tc>
          <w:tcPr>
            <w:tcW w:w="408" w:type="pct"/>
            <w:tcBorders>
              <w:top w:val="nil"/>
              <w:left w:val="nil"/>
              <w:bottom w:val="single" w:sz="4" w:space="0" w:color="auto"/>
              <w:right w:val="nil"/>
            </w:tcBorders>
            <w:shd w:val="clear" w:color="auto" w:fill="auto"/>
            <w:noWrap/>
            <w:vAlign w:val="center"/>
            <w:hideMark/>
          </w:tcPr>
          <w:p w14:paraId="31CE19E8"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1%</w:t>
            </w:r>
          </w:p>
        </w:tc>
        <w:tc>
          <w:tcPr>
            <w:tcW w:w="647" w:type="pct"/>
            <w:tcBorders>
              <w:top w:val="nil"/>
              <w:left w:val="nil"/>
              <w:bottom w:val="single" w:sz="4" w:space="0" w:color="auto"/>
              <w:right w:val="nil"/>
            </w:tcBorders>
            <w:shd w:val="clear" w:color="auto" w:fill="auto"/>
            <w:noWrap/>
            <w:vAlign w:val="center"/>
            <w:hideMark/>
          </w:tcPr>
          <w:p w14:paraId="4AC49D04" w14:textId="77777777" w:rsidR="005D38D3" w:rsidRPr="00925C94" w:rsidRDefault="005D38D3" w:rsidP="00A35C25">
            <w:pPr>
              <w:spacing w:before="0" w:after="0"/>
              <w:jc w:val="center"/>
              <w:rPr>
                <w:rFonts w:ascii="Calibri" w:hAnsi="Calibri" w:cs="Times New Roman"/>
                <w:i/>
                <w:iCs/>
                <w:color w:val="000000"/>
                <w:sz w:val="20"/>
                <w:szCs w:val="20"/>
              </w:rPr>
            </w:pPr>
            <w:r w:rsidRPr="00925C94">
              <w:rPr>
                <w:rFonts w:ascii="Calibri" w:hAnsi="Calibri" w:cs="Times New Roman"/>
                <w:i/>
                <w:iCs/>
                <w:color w:val="000000"/>
                <w:sz w:val="20"/>
                <w:szCs w:val="20"/>
              </w:rPr>
              <w:t>0%</w:t>
            </w:r>
          </w:p>
        </w:tc>
        <w:tc>
          <w:tcPr>
            <w:tcW w:w="522" w:type="pct"/>
            <w:tcBorders>
              <w:top w:val="nil"/>
              <w:left w:val="nil"/>
              <w:bottom w:val="single" w:sz="4" w:space="0" w:color="auto"/>
              <w:right w:val="nil"/>
            </w:tcBorders>
            <w:shd w:val="clear" w:color="000000" w:fill="F2DCDB"/>
            <w:noWrap/>
            <w:vAlign w:val="center"/>
            <w:hideMark/>
          </w:tcPr>
          <w:p w14:paraId="73C88415" w14:textId="77777777" w:rsidR="005D38D3" w:rsidRPr="00925C94" w:rsidRDefault="005D38D3" w:rsidP="00A35C25">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79%</w:t>
            </w:r>
          </w:p>
        </w:tc>
        <w:tc>
          <w:tcPr>
            <w:tcW w:w="679" w:type="pct"/>
            <w:tcBorders>
              <w:top w:val="nil"/>
              <w:left w:val="nil"/>
              <w:bottom w:val="single" w:sz="4" w:space="0" w:color="auto"/>
              <w:right w:val="single" w:sz="4" w:space="0" w:color="auto"/>
            </w:tcBorders>
            <w:shd w:val="clear" w:color="000000" w:fill="F2DCDB"/>
            <w:noWrap/>
            <w:vAlign w:val="center"/>
            <w:hideMark/>
          </w:tcPr>
          <w:p w14:paraId="6E800D77" w14:textId="77777777" w:rsidR="005D38D3" w:rsidRPr="00925C94" w:rsidRDefault="005D38D3" w:rsidP="00A35C25">
            <w:pPr>
              <w:spacing w:before="0" w:after="0"/>
              <w:jc w:val="center"/>
              <w:rPr>
                <w:rFonts w:ascii="Calibri" w:hAnsi="Calibri" w:cs="Times New Roman"/>
                <w:b/>
                <w:bCs/>
                <w:i/>
                <w:iCs/>
                <w:sz w:val="20"/>
                <w:szCs w:val="20"/>
              </w:rPr>
            </w:pPr>
            <w:r w:rsidRPr="00925C94">
              <w:rPr>
                <w:rFonts w:ascii="Calibri" w:hAnsi="Calibri" w:cs="Times New Roman"/>
                <w:b/>
                <w:bCs/>
                <w:i/>
                <w:iCs/>
                <w:sz w:val="20"/>
                <w:szCs w:val="20"/>
              </w:rPr>
              <w:t>21%</w:t>
            </w:r>
          </w:p>
        </w:tc>
      </w:tr>
    </w:tbl>
    <w:p w14:paraId="070995F9" w14:textId="77777777" w:rsidR="00131E41" w:rsidRPr="003A69C4" w:rsidRDefault="00131E41" w:rsidP="003A69C4"/>
    <w:p w14:paraId="15CB26F5" w14:textId="31CFD580" w:rsidR="00131E41" w:rsidRPr="000632E4" w:rsidRDefault="00131E41" w:rsidP="001C068B">
      <w:pPr>
        <w:pStyle w:val="Heading2"/>
      </w:pPr>
      <w:bookmarkStart w:id="312" w:name="_Toc443299502"/>
      <w:bookmarkStart w:id="313" w:name="_Toc443299715"/>
      <w:bookmarkStart w:id="314" w:name="_Toc454304731"/>
      <w:bookmarkStart w:id="315" w:name="_Toc427251553"/>
      <w:bookmarkStart w:id="316" w:name="_Toc427831225"/>
      <w:bookmarkStart w:id="317" w:name="_Toc428793356"/>
      <w:bookmarkStart w:id="318" w:name="_Toc428851361"/>
      <w:r w:rsidRPr="0022733B">
        <w:t>Potential river plume risk maps</w:t>
      </w:r>
      <w:r w:rsidR="00F532DE">
        <w:t xml:space="preserve">, </w:t>
      </w:r>
      <w:r w:rsidRPr="0022733B">
        <w:t xml:space="preserve">2007 </w:t>
      </w:r>
      <w:r w:rsidR="00F532DE">
        <w:t>to</w:t>
      </w:r>
      <w:r w:rsidRPr="0022733B">
        <w:t xml:space="preserve"> </w:t>
      </w:r>
      <w:r w:rsidR="00D65C75" w:rsidRPr="0022733B">
        <w:t>20</w:t>
      </w:r>
      <w:r w:rsidR="00D65C75" w:rsidRPr="001C068B">
        <w:t>14</w:t>
      </w:r>
      <w:bookmarkEnd w:id="312"/>
      <w:bookmarkEnd w:id="313"/>
      <w:bookmarkEnd w:id="314"/>
    </w:p>
    <w:bookmarkEnd w:id="315"/>
    <w:bookmarkEnd w:id="316"/>
    <w:bookmarkEnd w:id="317"/>
    <w:bookmarkEnd w:id="318"/>
    <w:p w14:paraId="2DA25301" w14:textId="6A882BF0" w:rsidR="00131E41" w:rsidRPr="000632E4" w:rsidRDefault="00131E41" w:rsidP="00B30685">
      <w:pPr>
        <w:rPr>
          <w:rFonts w:ascii="Calibri" w:eastAsia="Calibri" w:hAnsi="Calibri" w:cs="Times New Roman"/>
          <w:lang w:eastAsia="en-US"/>
        </w:rPr>
      </w:pPr>
      <w:r w:rsidRPr="004E0CB3">
        <w:rPr>
          <w:rFonts w:ascii="Calibri" w:eastAsia="Calibri" w:hAnsi="Calibri" w:cs="Times New Roman"/>
          <w:lang w:eastAsia="en-US"/>
        </w:rPr>
        <w:t xml:space="preserve">Annual potential risk maps from river plume exposure </w:t>
      </w:r>
      <w:r w:rsidR="00B755E6" w:rsidRPr="004E0CB3">
        <w:rPr>
          <w:rFonts w:ascii="Calibri" w:eastAsia="Calibri" w:hAnsi="Calibri" w:cs="Times New Roman"/>
          <w:lang w:eastAsia="en-US"/>
        </w:rPr>
        <w:t xml:space="preserve">were </w:t>
      </w:r>
      <w:r w:rsidRPr="004E0CB3">
        <w:rPr>
          <w:rFonts w:ascii="Calibri" w:eastAsia="Calibri" w:hAnsi="Calibri" w:cs="Times New Roman"/>
          <w:lang w:eastAsia="en-US"/>
        </w:rPr>
        <w:t>produced from 200</w:t>
      </w:r>
      <w:r w:rsidR="00B755E6" w:rsidRPr="004E0CB3">
        <w:rPr>
          <w:rFonts w:ascii="Calibri" w:eastAsia="Calibri" w:hAnsi="Calibri" w:cs="Times New Roman"/>
          <w:lang w:eastAsia="en-US"/>
        </w:rPr>
        <w:t>6-</w:t>
      </w:r>
      <w:r w:rsidR="00925C94">
        <w:rPr>
          <w:rFonts w:ascii="Calibri" w:eastAsia="Calibri" w:hAnsi="Calibri" w:cs="Times New Roman"/>
          <w:lang w:eastAsia="en-US"/>
        </w:rPr>
        <w:t>20</w:t>
      </w:r>
      <w:r w:rsidR="00B755E6" w:rsidRPr="004E0CB3">
        <w:rPr>
          <w:rFonts w:ascii="Calibri" w:eastAsia="Calibri" w:hAnsi="Calibri" w:cs="Times New Roman"/>
          <w:lang w:eastAsia="en-US"/>
        </w:rPr>
        <w:t>0</w:t>
      </w:r>
      <w:r w:rsidRPr="004E0CB3">
        <w:rPr>
          <w:rFonts w:ascii="Calibri" w:eastAsia="Calibri" w:hAnsi="Calibri" w:cs="Times New Roman"/>
          <w:lang w:eastAsia="en-US"/>
        </w:rPr>
        <w:t xml:space="preserve">7 to </w:t>
      </w:r>
      <w:r w:rsidR="005006CE">
        <w:rPr>
          <w:rFonts w:ascii="Calibri" w:eastAsia="Calibri" w:hAnsi="Calibri" w:cs="Times New Roman"/>
          <w:lang w:eastAsia="en-US"/>
        </w:rPr>
        <w:t>2013-2014</w:t>
      </w:r>
      <w:r w:rsidR="00B30685" w:rsidRPr="004E0CB3">
        <w:rPr>
          <w:rFonts w:ascii="Calibri" w:eastAsia="Calibri" w:hAnsi="Calibri" w:cs="Times New Roman"/>
          <w:lang w:eastAsia="en-US"/>
        </w:rPr>
        <w:t xml:space="preserve"> and GBR areas exposed to potential risk from river plume exposure </w:t>
      </w:r>
      <w:r w:rsidR="00B30685" w:rsidRPr="000E7A6B">
        <w:rPr>
          <w:rFonts w:ascii="Calibri" w:eastAsia="Calibri" w:hAnsi="Calibri" w:cs="Times New Roman"/>
          <w:lang w:eastAsia="en-US"/>
        </w:rPr>
        <w:t xml:space="preserve">were </w:t>
      </w:r>
      <w:r w:rsidR="00B30685" w:rsidRPr="0022733B">
        <w:rPr>
          <w:rFonts w:ascii="Calibri" w:eastAsia="Calibri" w:hAnsi="Calibri" w:cs="Times New Roman"/>
          <w:lang w:eastAsia="en-US"/>
        </w:rPr>
        <w:t>calculated</w:t>
      </w:r>
      <w:r w:rsidR="00B30685" w:rsidRPr="000E7A6B">
        <w:rPr>
          <w:rFonts w:ascii="Calibri" w:eastAsia="Calibri" w:hAnsi="Calibri" w:cs="Times New Roman"/>
          <w:lang w:eastAsia="en-US"/>
        </w:rPr>
        <w:t xml:space="preserve"> and compared to the </w:t>
      </w:r>
      <w:r w:rsidR="000F1641">
        <w:rPr>
          <w:rFonts w:ascii="Calibri" w:eastAsia="Calibri" w:hAnsi="Calibri" w:cs="Times New Roman"/>
          <w:lang w:eastAsia="en-US"/>
        </w:rPr>
        <w:t>wet season</w:t>
      </w:r>
      <w:r w:rsidR="00B30685" w:rsidRPr="000E7A6B">
        <w:rPr>
          <w:rFonts w:ascii="Calibri" w:eastAsia="Calibri" w:hAnsi="Calibri" w:cs="Times New Roman"/>
          <w:lang w:eastAsia="en-US"/>
        </w:rPr>
        <w:t xml:space="preserve"> GBR river discharge (</w:t>
      </w:r>
      <w:r w:rsidR="008C3B95">
        <w:rPr>
          <w:rFonts w:ascii="Calibri" w:eastAsia="Calibri" w:hAnsi="Calibri" w:cs="Times New Roman"/>
          <w:lang w:eastAsia="en-US"/>
        </w:rPr>
        <w:t xml:space="preserve">Table 5-8 and </w:t>
      </w:r>
      <w:r w:rsidR="005935D5">
        <w:rPr>
          <w:rFonts w:ascii="Calibri" w:eastAsia="Calibri" w:hAnsi="Calibri" w:cs="Times New Roman"/>
          <w:lang w:eastAsia="en-US"/>
        </w:rPr>
        <w:fldChar w:fldCharType="begin"/>
      </w:r>
      <w:r w:rsidR="000F1641">
        <w:rPr>
          <w:rFonts w:ascii="Calibri" w:eastAsia="Calibri" w:hAnsi="Calibri" w:cs="Times New Roman"/>
          <w:lang w:eastAsia="en-US"/>
        </w:rPr>
        <w:instrText xml:space="preserve"> REF _Ref427752201 \h </w:instrText>
      </w:r>
      <w:r w:rsidR="005935D5">
        <w:rPr>
          <w:rFonts w:ascii="Calibri" w:eastAsia="Calibri" w:hAnsi="Calibri" w:cs="Times New Roman"/>
          <w:lang w:eastAsia="en-US"/>
        </w:rPr>
      </w:r>
      <w:r w:rsidR="005935D5">
        <w:rPr>
          <w:rFonts w:ascii="Calibri" w:eastAsia="Calibri" w:hAnsi="Calibri" w:cs="Times New Roman"/>
          <w:lang w:eastAsia="en-US"/>
        </w:rPr>
        <w:fldChar w:fldCharType="separate"/>
      </w:r>
      <w:r w:rsidR="000E22F3" w:rsidRPr="004E0CB3">
        <w:rPr>
          <w:rFonts w:eastAsia="Calibri"/>
        </w:rPr>
        <w:t xml:space="preserve">Figure </w:t>
      </w:r>
      <w:r w:rsidR="000E22F3">
        <w:rPr>
          <w:rFonts w:eastAsia="Calibri"/>
          <w:noProof/>
        </w:rPr>
        <w:t>5</w:t>
      </w:r>
      <w:r w:rsidR="000E22F3">
        <w:rPr>
          <w:rFonts w:eastAsia="Calibri"/>
        </w:rPr>
        <w:noBreakHyphen/>
      </w:r>
      <w:r w:rsidR="000E22F3">
        <w:rPr>
          <w:rFonts w:eastAsia="Calibri"/>
          <w:noProof/>
        </w:rPr>
        <w:t>13</w:t>
      </w:r>
      <w:r w:rsidR="005935D5">
        <w:rPr>
          <w:rFonts w:ascii="Calibri" w:eastAsia="Calibri" w:hAnsi="Calibri" w:cs="Times New Roman"/>
          <w:lang w:eastAsia="en-US"/>
        </w:rPr>
        <w:fldChar w:fldCharType="end"/>
      </w:r>
      <w:r w:rsidR="00B30685" w:rsidRPr="0022733B">
        <w:rPr>
          <w:rFonts w:ascii="Calibri" w:eastAsia="Calibri" w:hAnsi="Calibri" w:cs="Times New Roman"/>
          <w:lang w:eastAsia="en-US"/>
        </w:rPr>
        <w:t>)</w:t>
      </w:r>
      <w:r w:rsidRPr="000632E4">
        <w:rPr>
          <w:rFonts w:ascii="Calibri" w:eastAsia="Calibri" w:hAnsi="Calibri" w:cs="Times New Roman"/>
          <w:lang w:eastAsia="en-US"/>
        </w:rPr>
        <w:t xml:space="preserve">. </w:t>
      </w:r>
      <w:r w:rsidR="00F15F1C" w:rsidRPr="00F15F1C">
        <w:rPr>
          <w:rFonts w:ascii="Calibri" w:eastAsia="Calibri" w:hAnsi="Calibri" w:cs="Times New Roman"/>
          <w:b/>
          <w:lang w:eastAsia="en-US"/>
        </w:rPr>
        <w:t xml:space="preserve">Note that </w:t>
      </w:r>
      <w:r w:rsidR="00F15F1C">
        <w:rPr>
          <w:rFonts w:ascii="Calibri" w:eastAsia="Calibri" w:hAnsi="Calibri" w:cs="Times New Roman"/>
          <w:b/>
          <w:lang w:eastAsia="en-US"/>
        </w:rPr>
        <w:t>surface areas</w:t>
      </w:r>
      <w:r w:rsidR="00F15F1C" w:rsidRPr="00F15F1C">
        <w:rPr>
          <w:rFonts w:ascii="Calibri" w:eastAsia="Calibri" w:hAnsi="Calibri" w:cs="Times New Roman"/>
          <w:b/>
          <w:lang w:eastAsia="en-US"/>
        </w:rPr>
        <w:t xml:space="preserve"> in Hervey Bay (</w:t>
      </w:r>
      <w:r w:rsidR="00F15F1C">
        <w:rPr>
          <w:rFonts w:ascii="Calibri" w:eastAsia="Calibri" w:hAnsi="Calibri" w:cs="Times New Roman"/>
          <w:b/>
          <w:lang w:eastAsia="en-US"/>
        </w:rPr>
        <w:t>south</w:t>
      </w:r>
      <w:r w:rsidR="00F15F1C" w:rsidRPr="00F15F1C">
        <w:rPr>
          <w:rFonts w:ascii="Calibri" w:eastAsia="Calibri" w:hAnsi="Calibri" w:cs="Times New Roman"/>
          <w:b/>
          <w:lang w:eastAsia="en-US"/>
        </w:rPr>
        <w:t xml:space="preserve"> of the</w:t>
      </w:r>
      <w:r w:rsidR="00F15F1C">
        <w:rPr>
          <w:rFonts w:ascii="Calibri" w:eastAsia="Calibri" w:hAnsi="Calibri" w:cs="Times New Roman"/>
          <w:b/>
          <w:lang w:eastAsia="en-US"/>
        </w:rPr>
        <w:t xml:space="preserve"> GBR southern boundary) were included in this risk analysis</w:t>
      </w:r>
      <w:r w:rsidR="00F15F1C" w:rsidRPr="00F15F1C">
        <w:rPr>
          <w:rFonts w:ascii="Calibri" w:eastAsia="Calibri" w:hAnsi="Calibri" w:cs="Times New Roman"/>
          <w:b/>
          <w:lang w:eastAsia="en-US"/>
        </w:rPr>
        <w:t>.</w:t>
      </w:r>
      <w:r w:rsidR="00F15F1C">
        <w:rPr>
          <w:rFonts w:ascii="Calibri" w:eastAsia="Calibri" w:hAnsi="Calibri" w:cs="Times New Roman"/>
          <w:lang w:eastAsia="en-US"/>
        </w:rPr>
        <w:t xml:space="preserve"> </w:t>
      </w:r>
      <w:r w:rsidR="00F22F6C" w:rsidRPr="000632E4">
        <w:rPr>
          <w:rFonts w:ascii="Calibri" w:eastAsia="Calibri" w:hAnsi="Calibri" w:cs="Times New Roman"/>
          <w:lang w:eastAsia="en-US"/>
        </w:rPr>
        <w:t xml:space="preserve">Surface areas of the GBR exposed to river plumes ranged from </w:t>
      </w:r>
      <w:r w:rsidR="000F1641" w:rsidRPr="000F1641">
        <w:rPr>
          <w:rFonts w:ascii="Calibri" w:eastAsia="Calibri" w:hAnsi="Calibri" w:cs="Times New Roman"/>
          <w:lang w:eastAsia="en-US"/>
        </w:rPr>
        <w:t>151,819</w:t>
      </w:r>
      <w:r w:rsidR="00925C94">
        <w:rPr>
          <w:rFonts w:ascii="Calibri" w:eastAsia="Calibri" w:hAnsi="Calibri" w:cs="Times New Roman"/>
          <w:lang w:eastAsia="en-US"/>
        </w:rPr>
        <w:t xml:space="preserve"> km</w:t>
      </w:r>
      <w:r w:rsidR="00925C94" w:rsidRPr="00925C94">
        <w:rPr>
          <w:rFonts w:ascii="Calibri" w:eastAsia="Calibri" w:hAnsi="Calibri" w:cs="Times New Roman"/>
          <w:vertAlign w:val="superscript"/>
          <w:lang w:eastAsia="en-US"/>
        </w:rPr>
        <w:t>2</w:t>
      </w:r>
      <w:r w:rsidR="000F1641">
        <w:rPr>
          <w:rFonts w:ascii="Calibri" w:eastAsia="Calibri" w:hAnsi="Calibri" w:cs="Times New Roman"/>
          <w:lang w:eastAsia="en-US"/>
        </w:rPr>
        <w:t xml:space="preserve"> </w:t>
      </w:r>
      <w:r w:rsidR="00F22F6C" w:rsidRPr="000632E4">
        <w:rPr>
          <w:rFonts w:ascii="Calibri" w:eastAsia="Calibri" w:hAnsi="Calibri" w:cs="Times New Roman"/>
          <w:lang w:eastAsia="en-US"/>
        </w:rPr>
        <w:t>in 201</w:t>
      </w:r>
      <w:r w:rsidR="000F1641">
        <w:rPr>
          <w:rFonts w:ascii="Calibri" w:eastAsia="Calibri" w:hAnsi="Calibri" w:cs="Times New Roman"/>
          <w:lang w:eastAsia="en-US"/>
        </w:rPr>
        <w:t>1</w:t>
      </w:r>
      <w:r w:rsidR="00F22F6C" w:rsidRPr="004E0CB3">
        <w:rPr>
          <w:rFonts w:ascii="Calibri" w:eastAsia="Calibri" w:hAnsi="Calibri" w:cs="Times New Roman"/>
          <w:lang w:eastAsia="en-US"/>
        </w:rPr>
        <w:t>-</w:t>
      </w:r>
      <w:r w:rsidR="00E3199E">
        <w:rPr>
          <w:rFonts w:ascii="Calibri" w:eastAsia="Calibri" w:hAnsi="Calibri" w:cs="Times New Roman"/>
          <w:lang w:eastAsia="en-US"/>
        </w:rPr>
        <w:t>20</w:t>
      </w:r>
      <w:r w:rsidR="00F22F6C" w:rsidRPr="004E0CB3">
        <w:rPr>
          <w:rFonts w:ascii="Calibri" w:eastAsia="Calibri" w:hAnsi="Calibri" w:cs="Times New Roman"/>
          <w:lang w:eastAsia="en-US"/>
        </w:rPr>
        <w:t>1</w:t>
      </w:r>
      <w:r w:rsidR="000F1641">
        <w:rPr>
          <w:rFonts w:ascii="Calibri" w:eastAsia="Calibri" w:hAnsi="Calibri" w:cs="Times New Roman"/>
          <w:lang w:eastAsia="en-US"/>
        </w:rPr>
        <w:t>2</w:t>
      </w:r>
      <w:r w:rsidR="00F22F6C" w:rsidRPr="004E0CB3">
        <w:rPr>
          <w:rFonts w:ascii="Calibri" w:eastAsia="Calibri" w:hAnsi="Calibri" w:cs="Times New Roman"/>
          <w:lang w:eastAsia="en-US"/>
        </w:rPr>
        <w:t xml:space="preserve"> to </w:t>
      </w:r>
      <w:r w:rsidR="000F1641" w:rsidRPr="000F1641">
        <w:rPr>
          <w:rFonts w:ascii="Calibri" w:hAnsi="Calibri" w:cs="Times New Roman"/>
          <w:color w:val="000000"/>
        </w:rPr>
        <w:t>245,342</w:t>
      </w:r>
      <w:r w:rsidR="00925C94">
        <w:rPr>
          <w:rFonts w:ascii="Calibri" w:hAnsi="Calibri" w:cs="Times New Roman"/>
          <w:color w:val="000000"/>
        </w:rPr>
        <w:t xml:space="preserve"> </w:t>
      </w:r>
      <w:r w:rsidR="00925C94">
        <w:rPr>
          <w:rFonts w:ascii="Calibri" w:eastAsia="Calibri" w:hAnsi="Calibri" w:cs="Times New Roman"/>
          <w:lang w:eastAsia="en-US"/>
        </w:rPr>
        <w:t>km</w:t>
      </w:r>
      <w:r w:rsidR="00925C94" w:rsidRPr="00925C94">
        <w:rPr>
          <w:rFonts w:ascii="Calibri" w:eastAsia="Calibri" w:hAnsi="Calibri" w:cs="Times New Roman"/>
          <w:vertAlign w:val="superscript"/>
          <w:lang w:eastAsia="en-US"/>
        </w:rPr>
        <w:t>2</w:t>
      </w:r>
      <w:r w:rsidR="000F1641">
        <w:rPr>
          <w:rFonts w:ascii="Calibri" w:hAnsi="Calibri" w:cs="Times New Roman"/>
          <w:color w:val="000000"/>
        </w:rPr>
        <w:t xml:space="preserve"> </w:t>
      </w:r>
      <w:r w:rsidR="00F22F6C" w:rsidRPr="004E0CB3">
        <w:rPr>
          <w:rFonts w:ascii="Calibri" w:eastAsia="Calibri" w:hAnsi="Calibri" w:cs="Times New Roman"/>
          <w:lang w:eastAsia="en-US"/>
        </w:rPr>
        <w:t xml:space="preserve">in 2008-2009. </w:t>
      </w:r>
    </w:p>
    <w:p w14:paraId="0ED16DAB" w14:textId="77777777" w:rsidR="00F532DE" w:rsidRDefault="00F532DE" w:rsidP="003A69C4">
      <w:pPr>
        <w:pStyle w:val="Caption"/>
        <w:rPr>
          <w:szCs w:val="22"/>
        </w:rPr>
      </w:pPr>
      <w:bookmarkStart w:id="319" w:name="_Ref432674034"/>
      <w:r>
        <w:rPr>
          <w:szCs w:val="22"/>
        </w:rPr>
        <w:br w:type="page"/>
      </w:r>
    </w:p>
    <w:p w14:paraId="47572A93" w14:textId="4838E199" w:rsidR="00131E41" w:rsidRPr="003A69C4" w:rsidRDefault="00131E41" w:rsidP="003A69C4">
      <w:pPr>
        <w:pStyle w:val="Caption"/>
        <w:rPr>
          <w:szCs w:val="22"/>
        </w:rPr>
      </w:pPr>
      <w:bookmarkStart w:id="320" w:name="_Toc454304627"/>
      <w:r w:rsidRPr="003A69C4">
        <w:rPr>
          <w:szCs w:val="22"/>
        </w:rPr>
        <w:t xml:space="preserve">Table </w:t>
      </w:r>
      <w:r w:rsidR="00445BD2">
        <w:rPr>
          <w:szCs w:val="22"/>
        </w:rPr>
        <w:fldChar w:fldCharType="begin"/>
      </w:r>
      <w:r w:rsidR="00445BD2">
        <w:rPr>
          <w:szCs w:val="22"/>
        </w:rPr>
        <w:instrText xml:space="preserve"> STYLEREF 1 \s </w:instrText>
      </w:r>
      <w:r w:rsidR="00445BD2">
        <w:rPr>
          <w:szCs w:val="22"/>
        </w:rPr>
        <w:fldChar w:fldCharType="separate"/>
      </w:r>
      <w:r w:rsidR="000E22F3">
        <w:rPr>
          <w:noProof/>
          <w:szCs w:val="22"/>
        </w:rPr>
        <w:t>5</w:t>
      </w:r>
      <w:r w:rsidR="00445BD2">
        <w:rPr>
          <w:szCs w:val="22"/>
        </w:rPr>
        <w:fldChar w:fldCharType="end"/>
      </w:r>
      <w:r w:rsidR="00445BD2">
        <w:rPr>
          <w:szCs w:val="22"/>
        </w:rPr>
        <w:noBreakHyphen/>
      </w:r>
      <w:r w:rsidR="00445BD2">
        <w:rPr>
          <w:szCs w:val="22"/>
        </w:rPr>
        <w:fldChar w:fldCharType="begin"/>
      </w:r>
      <w:r w:rsidR="00445BD2">
        <w:rPr>
          <w:szCs w:val="22"/>
        </w:rPr>
        <w:instrText xml:space="preserve"> SEQ Table \* ARABIC \s 1 </w:instrText>
      </w:r>
      <w:r w:rsidR="00445BD2">
        <w:rPr>
          <w:szCs w:val="22"/>
        </w:rPr>
        <w:fldChar w:fldCharType="separate"/>
      </w:r>
      <w:r w:rsidR="000E22F3">
        <w:rPr>
          <w:noProof/>
          <w:szCs w:val="22"/>
        </w:rPr>
        <w:t>8</w:t>
      </w:r>
      <w:r w:rsidR="00445BD2">
        <w:rPr>
          <w:szCs w:val="22"/>
        </w:rPr>
        <w:fldChar w:fldCharType="end"/>
      </w:r>
      <w:bookmarkEnd w:id="319"/>
      <w:r w:rsidRPr="003A69C4">
        <w:rPr>
          <w:szCs w:val="22"/>
        </w:rPr>
        <w:t xml:space="preserve">: </w:t>
      </w:r>
      <w:r w:rsidR="001E5564">
        <w:rPr>
          <w:szCs w:val="22"/>
        </w:rPr>
        <w:t>I</w:t>
      </w:r>
      <w:r w:rsidRPr="003A69C4">
        <w:rPr>
          <w:szCs w:val="22"/>
        </w:rPr>
        <w:t>nter-annual (20</w:t>
      </w:r>
      <w:r w:rsidR="00B755E6" w:rsidRPr="003A69C4">
        <w:rPr>
          <w:szCs w:val="22"/>
        </w:rPr>
        <w:t>06-</w:t>
      </w:r>
      <w:r w:rsidR="00925C94">
        <w:rPr>
          <w:szCs w:val="22"/>
        </w:rPr>
        <w:t>20</w:t>
      </w:r>
      <w:r w:rsidRPr="003A69C4">
        <w:rPr>
          <w:szCs w:val="22"/>
        </w:rPr>
        <w:t>07</w:t>
      </w:r>
      <w:r w:rsidR="00B755E6" w:rsidRPr="003A69C4">
        <w:rPr>
          <w:szCs w:val="22"/>
        </w:rPr>
        <w:t xml:space="preserve"> to</w:t>
      </w:r>
      <w:r w:rsidR="00925C94">
        <w:rPr>
          <w:szCs w:val="22"/>
        </w:rPr>
        <w:t xml:space="preserve"> </w:t>
      </w:r>
      <w:r w:rsidRPr="003A69C4">
        <w:rPr>
          <w:szCs w:val="22"/>
        </w:rPr>
        <w:t>201</w:t>
      </w:r>
      <w:r w:rsidR="00B755E6" w:rsidRPr="003A69C4">
        <w:rPr>
          <w:szCs w:val="22"/>
        </w:rPr>
        <w:t>3</w:t>
      </w:r>
      <w:r w:rsidR="00925C94">
        <w:rPr>
          <w:szCs w:val="22"/>
        </w:rPr>
        <w:t>-2014</w:t>
      </w:r>
      <w:r w:rsidRPr="003A69C4">
        <w:rPr>
          <w:szCs w:val="22"/>
        </w:rPr>
        <w:t>) areas (km</w:t>
      </w:r>
      <w:r w:rsidRPr="00925C94">
        <w:rPr>
          <w:szCs w:val="22"/>
          <w:vertAlign w:val="superscript"/>
        </w:rPr>
        <w:t>2</w:t>
      </w:r>
      <w:r w:rsidRPr="003A69C4">
        <w:rPr>
          <w:szCs w:val="22"/>
        </w:rPr>
        <w:t>) and percentage (%) of the GBR under potential risk from river plume exposure</w:t>
      </w:r>
      <w:r w:rsidR="00041894" w:rsidRPr="003A69C4">
        <w:rPr>
          <w:szCs w:val="22"/>
        </w:rPr>
        <w:t xml:space="preserve"> and total GBR wet season  river discharge</w:t>
      </w:r>
      <w:r w:rsidRPr="003A69C4">
        <w:rPr>
          <w:szCs w:val="22"/>
        </w:rPr>
        <w:t>.</w:t>
      </w:r>
      <w:r w:rsidR="000F1641" w:rsidRPr="003A69C4">
        <w:rPr>
          <w:szCs w:val="22"/>
        </w:rPr>
        <w:t xml:space="preserve"> Surface areas south of the GBR marine park boundary (Hervey Bay) are included.</w:t>
      </w:r>
      <w:bookmarkEnd w:id="320"/>
    </w:p>
    <w:tbl>
      <w:tblPr>
        <w:tblW w:w="5000" w:type="pct"/>
        <w:tblLook w:val="04A0" w:firstRow="1" w:lastRow="0" w:firstColumn="1" w:lastColumn="0" w:noHBand="0" w:noVBand="1"/>
        <w:tblCaption w:val="Table 5-8"/>
        <w:tblDescription w:val="inter-annual (2006-07 to201-132) areas (km2) and percentage (%) of the GBR under potential risk from river plume exposure and total GBR wet season  river discharge. Surface areas south of the GBR marine park boundary (Hervey Bay) are included."/>
      </w:tblPr>
      <w:tblGrid>
        <w:gridCol w:w="1293"/>
        <w:gridCol w:w="1191"/>
        <w:gridCol w:w="1051"/>
        <w:gridCol w:w="1050"/>
        <w:gridCol w:w="850"/>
        <w:gridCol w:w="1176"/>
        <w:gridCol w:w="2632"/>
      </w:tblGrid>
      <w:tr w:rsidR="00390272" w:rsidRPr="00925C94" w14:paraId="59B406B7" w14:textId="77777777" w:rsidTr="00390272">
        <w:trPr>
          <w:trHeight w:val="300"/>
        </w:trPr>
        <w:tc>
          <w:tcPr>
            <w:tcW w:w="699" w:type="pct"/>
            <w:tcBorders>
              <w:top w:val="nil"/>
              <w:left w:val="nil"/>
              <w:bottom w:val="nil"/>
              <w:right w:val="nil"/>
            </w:tcBorders>
            <w:shd w:val="clear" w:color="000000" w:fill="FFFFFF"/>
            <w:noWrap/>
            <w:vAlign w:val="center"/>
            <w:hideMark/>
          </w:tcPr>
          <w:p w14:paraId="760921BD" w14:textId="77777777" w:rsidR="00390272" w:rsidRPr="00925C94" w:rsidRDefault="00390272" w:rsidP="00390272">
            <w:pPr>
              <w:spacing w:before="0" w:after="0"/>
              <w:jc w:val="center"/>
              <w:rPr>
                <w:rFonts w:ascii="Calibri" w:hAnsi="Calibri" w:cs="Times New Roman"/>
                <w:color w:val="000000"/>
                <w:sz w:val="20"/>
                <w:szCs w:val="20"/>
              </w:rPr>
            </w:pPr>
          </w:p>
        </w:tc>
        <w:tc>
          <w:tcPr>
            <w:tcW w:w="2240" w:type="pct"/>
            <w:gridSpan w:val="4"/>
            <w:tcBorders>
              <w:top w:val="nil"/>
              <w:left w:val="nil"/>
              <w:bottom w:val="nil"/>
              <w:right w:val="nil"/>
            </w:tcBorders>
            <w:shd w:val="clear" w:color="000000" w:fill="FFFFFF"/>
            <w:noWrap/>
            <w:vAlign w:val="center"/>
            <w:hideMark/>
          </w:tcPr>
          <w:p w14:paraId="576055C8" w14:textId="30F40400" w:rsidR="00390272" w:rsidRPr="00925C94" w:rsidRDefault="00390272" w:rsidP="00390272">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Potential risk categories</w:t>
            </w:r>
            <w:r w:rsidR="007D36C8">
              <w:rPr>
                <w:rFonts w:ascii="Calibri" w:hAnsi="Calibri" w:cs="Times New Roman"/>
                <w:b/>
                <w:bCs/>
                <w:color w:val="000000"/>
                <w:sz w:val="20"/>
                <w:szCs w:val="20"/>
              </w:rPr>
              <w:t xml:space="preserve"> (Area, km</w:t>
            </w:r>
            <w:r w:rsidR="007D36C8" w:rsidRPr="007D36C8">
              <w:rPr>
                <w:rFonts w:ascii="Calibri" w:hAnsi="Calibri" w:cs="Times New Roman"/>
                <w:b/>
                <w:bCs/>
                <w:color w:val="000000"/>
                <w:sz w:val="20"/>
                <w:szCs w:val="20"/>
                <w:vertAlign w:val="superscript"/>
              </w:rPr>
              <w:t>2</w:t>
            </w:r>
            <w:r w:rsidR="007D36C8">
              <w:rPr>
                <w:rFonts w:ascii="Calibri" w:hAnsi="Calibri" w:cs="Times New Roman"/>
                <w:b/>
                <w:bCs/>
                <w:color w:val="000000"/>
                <w:sz w:val="20"/>
                <w:szCs w:val="20"/>
              </w:rPr>
              <w:t>)</w:t>
            </w:r>
          </w:p>
        </w:tc>
        <w:tc>
          <w:tcPr>
            <w:tcW w:w="636" w:type="pct"/>
            <w:tcBorders>
              <w:top w:val="nil"/>
              <w:left w:val="nil"/>
              <w:bottom w:val="nil"/>
              <w:right w:val="nil"/>
            </w:tcBorders>
            <w:shd w:val="clear" w:color="auto" w:fill="FBD4B4" w:themeFill="accent6" w:themeFillTint="66"/>
            <w:noWrap/>
            <w:vAlign w:val="center"/>
            <w:hideMark/>
          </w:tcPr>
          <w:p w14:paraId="25C7B8E4" w14:textId="77777777" w:rsidR="00390272" w:rsidRPr="00925C94" w:rsidRDefault="00390272" w:rsidP="00390272">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TOT exp.</w:t>
            </w:r>
          </w:p>
        </w:tc>
        <w:tc>
          <w:tcPr>
            <w:tcW w:w="1424" w:type="pct"/>
            <w:tcBorders>
              <w:top w:val="nil"/>
              <w:left w:val="nil"/>
              <w:bottom w:val="nil"/>
              <w:right w:val="nil"/>
            </w:tcBorders>
            <w:shd w:val="clear" w:color="000000" w:fill="FFFFFF"/>
            <w:noWrap/>
            <w:vAlign w:val="center"/>
            <w:hideMark/>
          </w:tcPr>
          <w:p w14:paraId="7A0CD77E" w14:textId="77777777" w:rsidR="00390272" w:rsidRPr="00925C94" w:rsidRDefault="00390272" w:rsidP="00390272">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Wet season riv. Disch.</w:t>
            </w:r>
          </w:p>
        </w:tc>
      </w:tr>
      <w:tr w:rsidR="00390272" w:rsidRPr="00925C94" w14:paraId="18D62C4B" w14:textId="77777777" w:rsidTr="00390272">
        <w:trPr>
          <w:trHeight w:val="300"/>
        </w:trPr>
        <w:tc>
          <w:tcPr>
            <w:tcW w:w="699" w:type="pct"/>
            <w:tcBorders>
              <w:top w:val="nil"/>
              <w:left w:val="nil"/>
              <w:bottom w:val="single" w:sz="4" w:space="0" w:color="auto"/>
              <w:right w:val="nil"/>
            </w:tcBorders>
            <w:shd w:val="clear" w:color="000000" w:fill="FFFFFF"/>
            <w:noWrap/>
            <w:vAlign w:val="center"/>
            <w:hideMark/>
          </w:tcPr>
          <w:p w14:paraId="6A7283C1" w14:textId="77777777" w:rsidR="00390272" w:rsidRPr="00925C94" w:rsidRDefault="00390272" w:rsidP="00390272">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Wet season</w:t>
            </w:r>
          </w:p>
        </w:tc>
        <w:tc>
          <w:tcPr>
            <w:tcW w:w="644" w:type="pct"/>
            <w:tcBorders>
              <w:top w:val="nil"/>
              <w:left w:val="nil"/>
              <w:bottom w:val="single" w:sz="4" w:space="0" w:color="auto"/>
              <w:right w:val="nil"/>
            </w:tcBorders>
            <w:shd w:val="clear" w:color="auto" w:fill="0070C0"/>
            <w:noWrap/>
            <w:vAlign w:val="center"/>
            <w:hideMark/>
          </w:tcPr>
          <w:p w14:paraId="463564D2" w14:textId="77777777" w:rsidR="00390272" w:rsidRPr="00925C94" w:rsidRDefault="00390272" w:rsidP="00390272">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I</w:t>
            </w:r>
          </w:p>
        </w:tc>
        <w:tc>
          <w:tcPr>
            <w:tcW w:w="568" w:type="pct"/>
            <w:tcBorders>
              <w:top w:val="nil"/>
              <w:left w:val="nil"/>
              <w:bottom w:val="single" w:sz="4" w:space="0" w:color="auto"/>
              <w:right w:val="nil"/>
            </w:tcBorders>
            <w:shd w:val="clear" w:color="auto" w:fill="00B050"/>
            <w:noWrap/>
            <w:vAlign w:val="center"/>
            <w:hideMark/>
          </w:tcPr>
          <w:p w14:paraId="0969A0BD" w14:textId="77777777" w:rsidR="00390272" w:rsidRPr="00925C94" w:rsidRDefault="00390272" w:rsidP="00390272">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II</w:t>
            </w:r>
          </w:p>
        </w:tc>
        <w:tc>
          <w:tcPr>
            <w:tcW w:w="568" w:type="pct"/>
            <w:tcBorders>
              <w:top w:val="nil"/>
              <w:left w:val="nil"/>
              <w:bottom w:val="single" w:sz="4" w:space="0" w:color="auto"/>
              <w:right w:val="nil"/>
            </w:tcBorders>
            <w:shd w:val="clear" w:color="auto" w:fill="FF0000"/>
            <w:noWrap/>
            <w:vAlign w:val="center"/>
            <w:hideMark/>
          </w:tcPr>
          <w:p w14:paraId="34481AF9" w14:textId="77777777" w:rsidR="00390272" w:rsidRPr="00925C94" w:rsidRDefault="00390272" w:rsidP="00390272">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III</w:t>
            </w:r>
          </w:p>
        </w:tc>
        <w:tc>
          <w:tcPr>
            <w:tcW w:w="460" w:type="pct"/>
            <w:tcBorders>
              <w:top w:val="nil"/>
              <w:left w:val="nil"/>
              <w:bottom w:val="single" w:sz="4" w:space="0" w:color="auto"/>
              <w:right w:val="nil"/>
            </w:tcBorders>
            <w:shd w:val="clear" w:color="auto" w:fill="C00000"/>
            <w:noWrap/>
            <w:vAlign w:val="center"/>
            <w:hideMark/>
          </w:tcPr>
          <w:p w14:paraId="4D3F91A8" w14:textId="77777777" w:rsidR="00390272" w:rsidRPr="00925C94" w:rsidRDefault="00390272" w:rsidP="00390272">
            <w:pPr>
              <w:spacing w:before="0" w:after="0"/>
              <w:jc w:val="center"/>
              <w:rPr>
                <w:rFonts w:ascii="Calibri" w:hAnsi="Calibri" w:cs="Times New Roman"/>
                <w:b/>
                <w:bCs/>
                <w:color w:val="000000"/>
                <w:sz w:val="20"/>
                <w:szCs w:val="20"/>
              </w:rPr>
            </w:pPr>
            <w:r w:rsidRPr="00925C94">
              <w:rPr>
                <w:rFonts w:ascii="Calibri" w:hAnsi="Calibri" w:cs="Times New Roman"/>
                <w:b/>
                <w:bCs/>
                <w:color w:val="000000"/>
                <w:sz w:val="20"/>
                <w:szCs w:val="20"/>
              </w:rPr>
              <w:t>IV</w:t>
            </w:r>
          </w:p>
        </w:tc>
        <w:tc>
          <w:tcPr>
            <w:tcW w:w="636" w:type="pct"/>
            <w:tcBorders>
              <w:top w:val="nil"/>
              <w:left w:val="nil"/>
              <w:bottom w:val="single" w:sz="4" w:space="0" w:color="auto"/>
              <w:right w:val="nil"/>
            </w:tcBorders>
            <w:shd w:val="clear" w:color="auto" w:fill="FBD4B4" w:themeFill="accent6" w:themeFillTint="66"/>
            <w:noWrap/>
            <w:vAlign w:val="center"/>
            <w:hideMark/>
          </w:tcPr>
          <w:p w14:paraId="1AC3B3A6" w14:textId="41C6AB5C" w:rsidR="00390272" w:rsidRPr="00925C94" w:rsidRDefault="007D36C8" w:rsidP="00390272">
            <w:pPr>
              <w:spacing w:before="0" w:after="0"/>
              <w:jc w:val="center"/>
              <w:rPr>
                <w:rFonts w:ascii="Calibri" w:hAnsi="Calibri" w:cs="Times New Roman"/>
                <w:b/>
                <w:bCs/>
                <w:color w:val="000000"/>
                <w:sz w:val="20"/>
                <w:szCs w:val="20"/>
              </w:rPr>
            </w:pPr>
            <w:r>
              <w:rPr>
                <w:rFonts w:ascii="Calibri" w:hAnsi="Calibri" w:cs="Times New Roman"/>
                <w:b/>
                <w:bCs/>
                <w:color w:val="000000"/>
                <w:sz w:val="20"/>
                <w:szCs w:val="20"/>
              </w:rPr>
              <w:t>(km</w:t>
            </w:r>
            <w:r w:rsidRPr="007D36C8">
              <w:rPr>
                <w:rFonts w:ascii="Calibri" w:hAnsi="Calibri" w:cs="Times New Roman"/>
                <w:b/>
                <w:bCs/>
                <w:color w:val="000000"/>
                <w:sz w:val="20"/>
                <w:szCs w:val="20"/>
                <w:vertAlign w:val="superscript"/>
              </w:rPr>
              <w:t>2</w:t>
            </w:r>
            <w:r>
              <w:rPr>
                <w:rFonts w:ascii="Calibri" w:hAnsi="Calibri" w:cs="Times New Roman"/>
                <w:b/>
                <w:bCs/>
                <w:color w:val="000000"/>
                <w:sz w:val="20"/>
                <w:szCs w:val="20"/>
              </w:rPr>
              <w:t>)</w:t>
            </w:r>
          </w:p>
        </w:tc>
        <w:tc>
          <w:tcPr>
            <w:tcW w:w="1424" w:type="pct"/>
            <w:tcBorders>
              <w:top w:val="nil"/>
              <w:left w:val="nil"/>
              <w:bottom w:val="single" w:sz="4" w:space="0" w:color="auto"/>
              <w:right w:val="nil"/>
            </w:tcBorders>
            <w:shd w:val="clear" w:color="000000" w:fill="FFFFFF"/>
            <w:noWrap/>
            <w:vAlign w:val="center"/>
            <w:hideMark/>
          </w:tcPr>
          <w:p w14:paraId="60CFA412" w14:textId="42414F9C" w:rsidR="00390272" w:rsidRPr="00925C94" w:rsidRDefault="007D36C8" w:rsidP="00390272">
            <w:pPr>
              <w:spacing w:before="0" w:after="0"/>
              <w:jc w:val="center"/>
              <w:rPr>
                <w:rFonts w:ascii="Calibri" w:hAnsi="Calibri" w:cs="Times New Roman"/>
                <w:b/>
                <w:bCs/>
                <w:color w:val="000000"/>
                <w:sz w:val="20"/>
                <w:szCs w:val="20"/>
              </w:rPr>
            </w:pPr>
            <w:r>
              <w:rPr>
                <w:rFonts w:ascii="Calibri" w:hAnsi="Calibri" w:cs="Times New Roman"/>
                <w:b/>
                <w:bCs/>
                <w:color w:val="000000"/>
                <w:sz w:val="20"/>
                <w:szCs w:val="20"/>
              </w:rPr>
              <w:t>(ML)</w:t>
            </w:r>
          </w:p>
        </w:tc>
      </w:tr>
      <w:tr w:rsidR="00390272" w:rsidRPr="00925C94" w14:paraId="62CB56DD" w14:textId="77777777" w:rsidTr="00390272">
        <w:trPr>
          <w:trHeight w:val="300"/>
        </w:trPr>
        <w:tc>
          <w:tcPr>
            <w:tcW w:w="699" w:type="pct"/>
            <w:tcBorders>
              <w:top w:val="nil"/>
              <w:left w:val="nil"/>
              <w:bottom w:val="nil"/>
              <w:right w:val="nil"/>
            </w:tcBorders>
            <w:shd w:val="clear" w:color="auto" w:fill="auto"/>
            <w:noWrap/>
            <w:vAlign w:val="center"/>
            <w:hideMark/>
          </w:tcPr>
          <w:p w14:paraId="6B6E0658" w14:textId="77777777" w:rsidR="00390272" w:rsidRPr="00925C94" w:rsidRDefault="00390272" w:rsidP="00390272">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2006-07</w:t>
            </w:r>
          </w:p>
        </w:tc>
        <w:tc>
          <w:tcPr>
            <w:tcW w:w="644" w:type="pct"/>
            <w:tcBorders>
              <w:top w:val="nil"/>
              <w:left w:val="nil"/>
              <w:bottom w:val="nil"/>
              <w:right w:val="nil"/>
            </w:tcBorders>
            <w:shd w:val="clear" w:color="auto" w:fill="auto"/>
            <w:noWrap/>
            <w:vAlign w:val="center"/>
            <w:hideMark/>
          </w:tcPr>
          <w:p w14:paraId="76F65AA5" w14:textId="77777777" w:rsidR="00390272" w:rsidRPr="00925C94" w:rsidRDefault="00390272" w:rsidP="00390272">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90,691</w:t>
            </w:r>
          </w:p>
        </w:tc>
        <w:tc>
          <w:tcPr>
            <w:tcW w:w="568" w:type="pct"/>
            <w:tcBorders>
              <w:top w:val="nil"/>
              <w:left w:val="nil"/>
              <w:bottom w:val="nil"/>
              <w:right w:val="nil"/>
            </w:tcBorders>
            <w:shd w:val="clear" w:color="auto" w:fill="auto"/>
            <w:noWrap/>
            <w:vAlign w:val="center"/>
            <w:hideMark/>
          </w:tcPr>
          <w:p w14:paraId="640075BC" w14:textId="77777777" w:rsidR="00390272" w:rsidRPr="00925C94" w:rsidRDefault="00390272" w:rsidP="00390272">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74,212</w:t>
            </w:r>
          </w:p>
        </w:tc>
        <w:tc>
          <w:tcPr>
            <w:tcW w:w="568" w:type="pct"/>
            <w:tcBorders>
              <w:top w:val="nil"/>
              <w:left w:val="nil"/>
              <w:bottom w:val="nil"/>
              <w:right w:val="nil"/>
            </w:tcBorders>
            <w:shd w:val="clear" w:color="auto" w:fill="auto"/>
            <w:noWrap/>
            <w:vAlign w:val="center"/>
            <w:hideMark/>
          </w:tcPr>
          <w:p w14:paraId="00B188A3" w14:textId="77777777" w:rsidR="00390272" w:rsidRPr="00925C94" w:rsidRDefault="00390272" w:rsidP="00390272">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22,513</w:t>
            </w:r>
          </w:p>
        </w:tc>
        <w:tc>
          <w:tcPr>
            <w:tcW w:w="460" w:type="pct"/>
            <w:tcBorders>
              <w:top w:val="nil"/>
              <w:left w:val="nil"/>
              <w:bottom w:val="nil"/>
              <w:right w:val="nil"/>
            </w:tcBorders>
            <w:shd w:val="clear" w:color="auto" w:fill="auto"/>
            <w:noWrap/>
            <w:vAlign w:val="center"/>
            <w:hideMark/>
          </w:tcPr>
          <w:p w14:paraId="35D398CD" w14:textId="77777777" w:rsidR="00390272" w:rsidRPr="00925C94" w:rsidRDefault="00390272" w:rsidP="00390272">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1,509</w:t>
            </w:r>
          </w:p>
        </w:tc>
        <w:tc>
          <w:tcPr>
            <w:tcW w:w="636" w:type="pct"/>
            <w:tcBorders>
              <w:top w:val="nil"/>
              <w:left w:val="nil"/>
              <w:bottom w:val="nil"/>
              <w:right w:val="nil"/>
            </w:tcBorders>
            <w:shd w:val="clear" w:color="auto" w:fill="FBD4B4" w:themeFill="accent6" w:themeFillTint="66"/>
            <w:noWrap/>
            <w:vAlign w:val="center"/>
            <w:hideMark/>
          </w:tcPr>
          <w:p w14:paraId="1199C42C" w14:textId="77777777" w:rsidR="00390272" w:rsidRPr="00925C94" w:rsidRDefault="00390272" w:rsidP="00390272">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188,926</w:t>
            </w:r>
          </w:p>
        </w:tc>
        <w:tc>
          <w:tcPr>
            <w:tcW w:w="1424" w:type="pct"/>
            <w:tcBorders>
              <w:top w:val="nil"/>
              <w:left w:val="nil"/>
              <w:bottom w:val="nil"/>
              <w:right w:val="nil"/>
            </w:tcBorders>
            <w:shd w:val="clear" w:color="auto" w:fill="auto"/>
            <w:noWrap/>
            <w:vAlign w:val="center"/>
            <w:hideMark/>
          </w:tcPr>
          <w:p w14:paraId="530786CD" w14:textId="77777777" w:rsidR="00390272" w:rsidRPr="00925C94" w:rsidRDefault="00390272" w:rsidP="000F1641">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26,732,469</w:t>
            </w:r>
          </w:p>
        </w:tc>
      </w:tr>
      <w:tr w:rsidR="00390272" w:rsidRPr="00925C94" w14:paraId="3F2BE7E2" w14:textId="77777777" w:rsidTr="00390272">
        <w:trPr>
          <w:trHeight w:val="300"/>
        </w:trPr>
        <w:tc>
          <w:tcPr>
            <w:tcW w:w="699" w:type="pct"/>
            <w:tcBorders>
              <w:top w:val="nil"/>
              <w:left w:val="nil"/>
              <w:bottom w:val="nil"/>
              <w:right w:val="nil"/>
            </w:tcBorders>
            <w:shd w:val="clear" w:color="auto" w:fill="auto"/>
            <w:noWrap/>
            <w:vAlign w:val="center"/>
            <w:hideMark/>
          </w:tcPr>
          <w:p w14:paraId="2DD047CF" w14:textId="77777777" w:rsidR="00390272" w:rsidRPr="00925C94" w:rsidRDefault="00390272" w:rsidP="00390272">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2007-08</w:t>
            </w:r>
          </w:p>
        </w:tc>
        <w:tc>
          <w:tcPr>
            <w:tcW w:w="644" w:type="pct"/>
            <w:tcBorders>
              <w:top w:val="nil"/>
              <w:left w:val="nil"/>
              <w:bottom w:val="nil"/>
              <w:right w:val="nil"/>
            </w:tcBorders>
            <w:shd w:val="clear" w:color="auto" w:fill="auto"/>
            <w:noWrap/>
            <w:vAlign w:val="center"/>
            <w:hideMark/>
          </w:tcPr>
          <w:p w14:paraId="2A5F9CC7" w14:textId="77777777" w:rsidR="00390272" w:rsidRPr="00925C94" w:rsidRDefault="00390272" w:rsidP="00390272">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102,441</w:t>
            </w:r>
          </w:p>
        </w:tc>
        <w:tc>
          <w:tcPr>
            <w:tcW w:w="568" w:type="pct"/>
            <w:tcBorders>
              <w:top w:val="nil"/>
              <w:left w:val="nil"/>
              <w:bottom w:val="nil"/>
              <w:right w:val="nil"/>
            </w:tcBorders>
            <w:shd w:val="clear" w:color="auto" w:fill="auto"/>
            <w:noWrap/>
            <w:vAlign w:val="center"/>
            <w:hideMark/>
          </w:tcPr>
          <w:p w14:paraId="310E4A32" w14:textId="77777777" w:rsidR="00390272" w:rsidRPr="00925C94" w:rsidRDefault="00390272" w:rsidP="00390272">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83,834</w:t>
            </w:r>
          </w:p>
        </w:tc>
        <w:tc>
          <w:tcPr>
            <w:tcW w:w="568" w:type="pct"/>
            <w:tcBorders>
              <w:top w:val="nil"/>
              <w:left w:val="nil"/>
              <w:bottom w:val="nil"/>
              <w:right w:val="nil"/>
            </w:tcBorders>
            <w:shd w:val="clear" w:color="auto" w:fill="auto"/>
            <w:noWrap/>
            <w:vAlign w:val="center"/>
            <w:hideMark/>
          </w:tcPr>
          <w:p w14:paraId="0C413A15" w14:textId="77777777" w:rsidR="00390272" w:rsidRPr="00925C94" w:rsidRDefault="00390272" w:rsidP="00390272">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25,589</w:t>
            </w:r>
          </w:p>
        </w:tc>
        <w:tc>
          <w:tcPr>
            <w:tcW w:w="460" w:type="pct"/>
            <w:tcBorders>
              <w:top w:val="nil"/>
              <w:left w:val="nil"/>
              <w:bottom w:val="nil"/>
              <w:right w:val="nil"/>
            </w:tcBorders>
            <w:shd w:val="clear" w:color="auto" w:fill="auto"/>
            <w:noWrap/>
            <w:vAlign w:val="center"/>
            <w:hideMark/>
          </w:tcPr>
          <w:p w14:paraId="3D5DE9E8" w14:textId="77777777" w:rsidR="00390272" w:rsidRPr="00925C94" w:rsidRDefault="00390272" w:rsidP="00390272">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1,467</w:t>
            </w:r>
          </w:p>
        </w:tc>
        <w:tc>
          <w:tcPr>
            <w:tcW w:w="636" w:type="pct"/>
            <w:tcBorders>
              <w:top w:val="nil"/>
              <w:left w:val="nil"/>
              <w:bottom w:val="nil"/>
              <w:right w:val="nil"/>
            </w:tcBorders>
            <w:shd w:val="clear" w:color="auto" w:fill="FBD4B4" w:themeFill="accent6" w:themeFillTint="66"/>
            <w:noWrap/>
            <w:vAlign w:val="center"/>
            <w:hideMark/>
          </w:tcPr>
          <w:p w14:paraId="56E33E8C" w14:textId="77777777" w:rsidR="00390272" w:rsidRPr="00925C94" w:rsidRDefault="00390272" w:rsidP="00390272">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213,331</w:t>
            </w:r>
          </w:p>
        </w:tc>
        <w:tc>
          <w:tcPr>
            <w:tcW w:w="1424" w:type="pct"/>
            <w:tcBorders>
              <w:top w:val="nil"/>
              <w:left w:val="nil"/>
              <w:bottom w:val="nil"/>
              <w:right w:val="nil"/>
            </w:tcBorders>
            <w:shd w:val="clear" w:color="auto" w:fill="auto"/>
            <w:noWrap/>
            <w:vAlign w:val="center"/>
            <w:hideMark/>
          </w:tcPr>
          <w:p w14:paraId="66E375D2" w14:textId="77777777" w:rsidR="00390272" w:rsidRPr="00925C94" w:rsidRDefault="00390272" w:rsidP="000F1641">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63,446,575</w:t>
            </w:r>
          </w:p>
        </w:tc>
      </w:tr>
      <w:tr w:rsidR="00390272" w:rsidRPr="00925C94" w14:paraId="64BC0A2D" w14:textId="77777777" w:rsidTr="00390272">
        <w:trPr>
          <w:trHeight w:val="300"/>
        </w:trPr>
        <w:tc>
          <w:tcPr>
            <w:tcW w:w="699" w:type="pct"/>
            <w:tcBorders>
              <w:top w:val="nil"/>
              <w:left w:val="nil"/>
              <w:bottom w:val="nil"/>
              <w:right w:val="nil"/>
            </w:tcBorders>
            <w:shd w:val="clear" w:color="auto" w:fill="auto"/>
            <w:noWrap/>
            <w:vAlign w:val="center"/>
            <w:hideMark/>
          </w:tcPr>
          <w:p w14:paraId="126BA6D7" w14:textId="77777777" w:rsidR="00390272" w:rsidRPr="00925C94" w:rsidRDefault="00390272" w:rsidP="00390272">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2008-09</w:t>
            </w:r>
          </w:p>
        </w:tc>
        <w:tc>
          <w:tcPr>
            <w:tcW w:w="644" w:type="pct"/>
            <w:tcBorders>
              <w:top w:val="nil"/>
              <w:left w:val="nil"/>
              <w:bottom w:val="nil"/>
              <w:right w:val="nil"/>
            </w:tcBorders>
            <w:shd w:val="clear" w:color="auto" w:fill="auto"/>
            <w:noWrap/>
            <w:vAlign w:val="center"/>
            <w:hideMark/>
          </w:tcPr>
          <w:p w14:paraId="46EC427F" w14:textId="77777777" w:rsidR="00390272" w:rsidRPr="00925C94" w:rsidRDefault="00390272" w:rsidP="00390272">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123,729</w:t>
            </w:r>
          </w:p>
        </w:tc>
        <w:tc>
          <w:tcPr>
            <w:tcW w:w="568" w:type="pct"/>
            <w:tcBorders>
              <w:top w:val="nil"/>
              <w:left w:val="nil"/>
              <w:bottom w:val="nil"/>
              <w:right w:val="nil"/>
            </w:tcBorders>
            <w:shd w:val="clear" w:color="auto" w:fill="auto"/>
            <w:noWrap/>
            <w:vAlign w:val="center"/>
            <w:hideMark/>
          </w:tcPr>
          <w:p w14:paraId="70BFEB69" w14:textId="77777777" w:rsidR="00390272" w:rsidRPr="00925C94" w:rsidRDefault="00390272" w:rsidP="00390272">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95,895</w:t>
            </w:r>
          </w:p>
        </w:tc>
        <w:tc>
          <w:tcPr>
            <w:tcW w:w="568" w:type="pct"/>
            <w:tcBorders>
              <w:top w:val="nil"/>
              <w:left w:val="nil"/>
              <w:bottom w:val="nil"/>
              <w:right w:val="nil"/>
            </w:tcBorders>
            <w:shd w:val="clear" w:color="auto" w:fill="auto"/>
            <w:noWrap/>
            <w:vAlign w:val="center"/>
            <w:hideMark/>
          </w:tcPr>
          <w:p w14:paraId="0DB6FCDB" w14:textId="77777777" w:rsidR="00390272" w:rsidRPr="00925C94" w:rsidRDefault="00390272" w:rsidP="00390272">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24,378</w:t>
            </w:r>
          </w:p>
        </w:tc>
        <w:tc>
          <w:tcPr>
            <w:tcW w:w="460" w:type="pct"/>
            <w:tcBorders>
              <w:top w:val="nil"/>
              <w:left w:val="nil"/>
              <w:bottom w:val="nil"/>
              <w:right w:val="nil"/>
            </w:tcBorders>
            <w:shd w:val="clear" w:color="auto" w:fill="auto"/>
            <w:noWrap/>
            <w:vAlign w:val="center"/>
            <w:hideMark/>
          </w:tcPr>
          <w:p w14:paraId="400F0BA4" w14:textId="77777777" w:rsidR="00390272" w:rsidRPr="00925C94" w:rsidRDefault="00390272" w:rsidP="00390272">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1,340</w:t>
            </w:r>
          </w:p>
        </w:tc>
        <w:tc>
          <w:tcPr>
            <w:tcW w:w="636" w:type="pct"/>
            <w:tcBorders>
              <w:top w:val="nil"/>
              <w:left w:val="nil"/>
              <w:bottom w:val="nil"/>
              <w:right w:val="nil"/>
            </w:tcBorders>
            <w:shd w:val="clear" w:color="auto" w:fill="FBD4B4" w:themeFill="accent6" w:themeFillTint="66"/>
            <w:noWrap/>
            <w:vAlign w:val="center"/>
            <w:hideMark/>
          </w:tcPr>
          <w:p w14:paraId="1C3E6141" w14:textId="77777777" w:rsidR="00390272" w:rsidRPr="00925C94" w:rsidRDefault="00390272" w:rsidP="00390272">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245,342</w:t>
            </w:r>
          </w:p>
        </w:tc>
        <w:tc>
          <w:tcPr>
            <w:tcW w:w="1424" w:type="pct"/>
            <w:tcBorders>
              <w:top w:val="nil"/>
              <w:left w:val="nil"/>
              <w:bottom w:val="nil"/>
              <w:right w:val="nil"/>
            </w:tcBorders>
            <w:shd w:val="clear" w:color="auto" w:fill="auto"/>
            <w:noWrap/>
            <w:vAlign w:val="center"/>
            <w:hideMark/>
          </w:tcPr>
          <w:p w14:paraId="2025C9D1" w14:textId="77777777" w:rsidR="00390272" w:rsidRPr="00925C94" w:rsidRDefault="00390272" w:rsidP="000F1641">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57,263,692</w:t>
            </w:r>
          </w:p>
        </w:tc>
      </w:tr>
      <w:tr w:rsidR="00390272" w:rsidRPr="00925C94" w14:paraId="3ECC85CF" w14:textId="77777777" w:rsidTr="00390272">
        <w:trPr>
          <w:trHeight w:val="300"/>
        </w:trPr>
        <w:tc>
          <w:tcPr>
            <w:tcW w:w="699" w:type="pct"/>
            <w:tcBorders>
              <w:top w:val="nil"/>
              <w:left w:val="nil"/>
              <w:bottom w:val="nil"/>
              <w:right w:val="nil"/>
            </w:tcBorders>
            <w:shd w:val="clear" w:color="auto" w:fill="auto"/>
            <w:noWrap/>
            <w:vAlign w:val="center"/>
            <w:hideMark/>
          </w:tcPr>
          <w:p w14:paraId="1CDF437B" w14:textId="77777777" w:rsidR="00390272" w:rsidRPr="00925C94" w:rsidRDefault="00390272" w:rsidP="00390272">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2009-10</w:t>
            </w:r>
          </w:p>
        </w:tc>
        <w:tc>
          <w:tcPr>
            <w:tcW w:w="644" w:type="pct"/>
            <w:tcBorders>
              <w:top w:val="nil"/>
              <w:left w:val="nil"/>
              <w:bottom w:val="nil"/>
              <w:right w:val="nil"/>
            </w:tcBorders>
            <w:shd w:val="clear" w:color="auto" w:fill="auto"/>
            <w:noWrap/>
            <w:vAlign w:val="center"/>
            <w:hideMark/>
          </w:tcPr>
          <w:p w14:paraId="3C2C8513" w14:textId="77777777" w:rsidR="00390272" w:rsidRPr="00925C94" w:rsidRDefault="00390272" w:rsidP="00390272">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117,155</w:t>
            </w:r>
          </w:p>
        </w:tc>
        <w:tc>
          <w:tcPr>
            <w:tcW w:w="568" w:type="pct"/>
            <w:tcBorders>
              <w:top w:val="nil"/>
              <w:left w:val="nil"/>
              <w:bottom w:val="nil"/>
              <w:right w:val="nil"/>
            </w:tcBorders>
            <w:shd w:val="clear" w:color="auto" w:fill="auto"/>
            <w:noWrap/>
            <w:vAlign w:val="center"/>
            <w:hideMark/>
          </w:tcPr>
          <w:p w14:paraId="12F9F702" w14:textId="77777777" w:rsidR="00390272" w:rsidRPr="00925C94" w:rsidRDefault="00390272" w:rsidP="00390272">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75,110</w:t>
            </w:r>
          </w:p>
        </w:tc>
        <w:tc>
          <w:tcPr>
            <w:tcW w:w="568" w:type="pct"/>
            <w:tcBorders>
              <w:top w:val="nil"/>
              <w:left w:val="nil"/>
              <w:bottom w:val="nil"/>
              <w:right w:val="nil"/>
            </w:tcBorders>
            <w:shd w:val="clear" w:color="auto" w:fill="auto"/>
            <w:noWrap/>
            <w:vAlign w:val="center"/>
            <w:hideMark/>
          </w:tcPr>
          <w:p w14:paraId="1A85B7AF" w14:textId="77777777" w:rsidR="00390272" w:rsidRPr="00925C94" w:rsidRDefault="00390272" w:rsidP="00390272">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25,932</w:t>
            </w:r>
          </w:p>
        </w:tc>
        <w:tc>
          <w:tcPr>
            <w:tcW w:w="460" w:type="pct"/>
            <w:tcBorders>
              <w:top w:val="nil"/>
              <w:left w:val="nil"/>
              <w:bottom w:val="nil"/>
              <w:right w:val="nil"/>
            </w:tcBorders>
            <w:shd w:val="clear" w:color="auto" w:fill="auto"/>
            <w:noWrap/>
            <w:vAlign w:val="center"/>
            <w:hideMark/>
          </w:tcPr>
          <w:p w14:paraId="16E471A5" w14:textId="77777777" w:rsidR="00390272" w:rsidRPr="00925C94" w:rsidRDefault="00390272" w:rsidP="00390272">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1,543</w:t>
            </w:r>
          </w:p>
        </w:tc>
        <w:tc>
          <w:tcPr>
            <w:tcW w:w="636" w:type="pct"/>
            <w:tcBorders>
              <w:top w:val="nil"/>
              <w:left w:val="nil"/>
              <w:bottom w:val="nil"/>
              <w:right w:val="nil"/>
            </w:tcBorders>
            <w:shd w:val="clear" w:color="auto" w:fill="FBD4B4" w:themeFill="accent6" w:themeFillTint="66"/>
            <w:noWrap/>
            <w:vAlign w:val="center"/>
            <w:hideMark/>
          </w:tcPr>
          <w:p w14:paraId="54E87BD7" w14:textId="77777777" w:rsidR="00390272" w:rsidRPr="00925C94" w:rsidRDefault="00390272" w:rsidP="00390272">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219,739</w:t>
            </w:r>
          </w:p>
        </w:tc>
        <w:tc>
          <w:tcPr>
            <w:tcW w:w="1424" w:type="pct"/>
            <w:tcBorders>
              <w:top w:val="nil"/>
              <w:left w:val="nil"/>
              <w:bottom w:val="nil"/>
              <w:right w:val="nil"/>
            </w:tcBorders>
            <w:shd w:val="clear" w:color="auto" w:fill="auto"/>
            <w:noWrap/>
            <w:vAlign w:val="center"/>
            <w:hideMark/>
          </w:tcPr>
          <w:p w14:paraId="75E3CA15" w14:textId="77777777" w:rsidR="00390272" w:rsidRPr="00925C94" w:rsidRDefault="00390272" w:rsidP="000F1641">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41,168,334</w:t>
            </w:r>
          </w:p>
        </w:tc>
      </w:tr>
      <w:tr w:rsidR="00390272" w:rsidRPr="00925C94" w14:paraId="718E6C94" w14:textId="77777777" w:rsidTr="00390272">
        <w:trPr>
          <w:trHeight w:val="300"/>
        </w:trPr>
        <w:tc>
          <w:tcPr>
            <w:tcW w:w="699" w:type="pct"/>
            <w:tcBorders>
              <w:top w:val="nil"/>
              <w:left w:val="nil"/>
              <w:bottom w:val="nil"/>
              <w:right w:val="nil"/>
            </w:tcBorders>
            <w:shd w:val="clear" w:color="auto" w:fill="auto"/>
            <w:noWrap/>
            <w:vAlign w:val="center"/>
            <w:hideMark/>
          </w:tcPr>
          <w:p w14:paraId="47362B8B" w14:textId="77777777" w:rsidR="00390272" w:rsidRPr="00925C94" w:rsidRDefault="00390272" w:rsidP="00390272">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2010-11</w:t>
            </w:r>
          </w:p>
        </w:tc>
        <w:tc>
          <w:tcPr>
            <w:tcW w:w="644" w:type="pct"/>
            <w:tcBorders>
              <w:top w:val="nil"/>
              <w:left w:val="nil"/>
              <w:bottom w:val="nil"/>
              <w:right w:val="nil"/>
            </w:tcBorders>
            <w:shd w:val="clear" w:color="auto" w:fill="auto"/>
            <w:noWrap/>
            <w:vAlign w:val="center"/>
            <w:hideMark/>
          </w:tcPr>
          <w:p w14:paraId="04314911" w14:textId="77777777" w:rsidR="00390272" w:rsidRPr="00925C94" w:rsidRDefault="00390272" w:rsidP="00390272">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87,512</w:t>
            </w:r>
          </w:p>
        </w:tc>
        <w:tc>
          <w:tcPr>
            <w:tcW w:w="568" w:type="pct"/>
            <w:tcBorders>
              <w:top w:val="nil"/>
              <w:left w:val="nil"/>
              <w:bottom w:val="nil"/>
              <w:right w:val="nil"/>
            </w:tcBorders>
            <w:shd w:val="clear" w:color="auto" w:fill="auto"/>
            <w:noWrap/>
            <w:vAlign w:val="center"/>
            <w:hideMark/>
          </w:tcPr>
          <w:p w14:paraId="71CCD548" w14:textId="77777777" w:rsidR="00390272" w:rsidRPr="00925C94" w:rsidRDefault="00390272" w:rsidP="00390272">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91,209</w:t>
            </w:r>
          </w:p>
        </w:tc>
        <w:tc>
          <w:tcPr>
            <w:tcW w:w="568" w:type="pct"/>
            <w:tcBorders>
              <w:top w:val="nil"/>
              <w:left w:val="nil"/>
              <w:bottom w:val="nil"/>
              <w:right w:val="nil"/>
            </w:tcBorders>
            <w:shd w:val="clear" w:color="auto" w:fill="auto"/>
            <w:noWrap/>
            <w:vAlign w:val="center"/>
            <w:hideMark/>
          </w:tcPr>
          <w:p w14:paraId="5A1F2FA1" w14:textId="77777777" w:rsidR="00390272" w:rsidRPr="00925C94" w:rsidRDefault="00390272" w:rsidP="00390272">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27,678</w:t>
            </w:r>
          </w:p>
        </w:tc>
        <w:tc>
          <w:tcPr>
            <w:tcW w:w="460" w:type="pct"/>
            <w:tcBorders>
              <w:top w:val="nil"/>
              <w:left w:val="nil"/>
              <w:bottom w:val="nil"/>
              <w:right w:val="nil"/>
            </w:tcBorders>
            <w:shd w:val="clear" w:color="auto" w:fill="auto"/>
            <w:noWrap/>
            <w:vAlign w:val="center"/>
            <w:hideMark/>
          </w:tcPr>
          <w:p w14:paraId="797312B8" w14:textId="77777777" w:rsidR="00390272" w:rsidRPr="00925C94" w:rsidRDefault="00390272" w:rsidP="00390272">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2,137</w:t>
            </w:r>
          </w:p>
        </w:tc>
        <w:tc>
          <w:tcPr>
            <w:tcW w:w="636" w:type="pct"/>
            <w:tcBorders>
              <w:top w:val="nil"/>
              <w:left w:val="nil"/>
              <w:bottom w:val="nil"/>
              <w:right w:val="nil"/>
            </w:tcBorders>
            <w:shd w:val="clear" w:color="auto" w:fill="FBD4B4" w:themeFill="accent6" w:themeFillTint="66"/>
            <w:noWrap/>
            <w:vAlign w:val="center"/>
            <w:hideMark/>
          </w:tcPr>
          <w:p w14:paraId="4EA217E0" w14:textId="77777777" w:rsidR="00390272" w:rsidRPr="00925C94" w:rsidRDefault="00390272" w:rsidP="00390272">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208,536</w:t>
            </w:r>
          </w:p>
        </w:tc>
        <w:tc>
          <w:tcPr>
            <w:tcW w:w="1424" w:type="pct"/>
            <w:tcBorders>
              <w:top w:val="nil"/>
              <w:left w:val="nil"/>
              <w:bottom w:val="nil"/>
              <w:right w:val="nil"/>
            </w:tcBorders>
            <w:shd w:val="clear" w:color="auto" w:fill="auto"/>
            <w:noWrap/>
            <w:vAlign w:val="center"/>
            <w:hideMark/>
          </w:tcPr>
          <w:p w14:paraId="3B7AD01B" w14:textId="77777777" w:rsidR="00390272" w:rsidRPr="00925C94" w:rsidRDefault="00390272" w:rsidP="000F1641">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131,918,382</w:t>
            </w:r>
          </w:p>
        </w:tc>
      </w:tr>
      <w:tr w:rsidR="00390272" w:rsidRPr="00925C94" w14:paraId="4C34F716" w14:textId="77777777" w:rsidTr="00390272">
        <w:trPr>
          <w:trHeight w:val="300"/>
        </w:trPr>
        <w:tc>
          <w:tcPr>
            <w:tcW w:w="699" w:type="pct"/>
            <w:tcBorders>
              <w:top w:val="nil"/>
              <w:left w:val="nil"/>
              <w:bottom w:val="nil"/>
              <w:right w:val="nil"/>
            </w:tcBorders>
            <w:shd w:val="clear" w:color="auto" w:fill="auto"/>
            <w:noWrap/>
            <w:vAlign w:val="center"/>
            <w:hideMark/>
          </w:tcPr>
          <w:p w14:paraId="7FE8629F" w14:textId="77777777" w:rsidR="00390272" w:rsidRPr="00925C94" w:rsidRDefault="00390272" w:rsidP="00390272">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2011-12</w:t>
            </w:r>
          </w:p>
        </w:tc>
        <w:tc>
          <w:tcPr>
            <w:tcW w:w="644" w:type="pct"/>
            <w:tcBorders>
              <w:top w:val="nil"/>
              <w:left w:val="nil"/>
              <w:bottom w:val="nil"/>
              <w:right w:val="nil"/>
            </w:tcBorders>
            <w:shd w:val="clear" w:color="auto" w:fill="auto"/>
            <w:noWrap/>
            <w:vAlign w:val="center"/>
            <w:hideMark/>
          </w:tcPr>
          <w:p w14:paraId="111C6D85" w14:textId="77777777" w:rsidR="00390272" w:rsidRPr="00925C94" w:rsidRDefault="00390272" w:rsidP="00390272">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69,989</w:t>
            </w:r>
          </w:p>
        </w:tc>
        <w:tc>
          <w:tcPr>
            <w:tcW w:w="568" w:type="pct"/>
            <w:tcBorders>
              <w:top w:val="nil"/>
              <w:left w:val="nil"/>
              <w:bottom w:val="nil"/>
              <w:right w:val="nil"/>
            </w:tcBorders>
            <w:shd w:val="clear" w:color="auto" w:fill="auto"/>
            <w:noWrap/>
            <w:vAlign w:val="center"/>
            <w:hideMark/>
          </w:tcPr>
          <w:p w14:paraId="0AA22F42" w14:textId="77777777" w:rsidR="00390272" w:rsidRPr="00925C94" w:rsidRDefault="00390272" w:rsidP="00390272">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57,893</w:t>
            </w:r>
          </w:p>
        </w:tc>
        <w:tc>
          <w:tcPr>
            <w:tcW w:w="568" w:type="pct"/>
            <w:tcBorders>
              <w:top w:val="nil"/>
              <w:left w:val="nil"/>
              <w:bottom w:val="nil"/>
              <w:right w:val="nil"/>
            </w:tcBorders>
            <w:shd w:val="clear" w:color="auto" w:fill="auto"/>
            <w:noWrap/>
            <w:vAlign w:val="center"/>
            <w:hideMark/>
          </w:tcPr>
          <w:p w14:paraId="0AFBA356" w14:textId="77777777" w:rsidR="00390272" w:rsidRPr="00925C94" w:rsidRDefault="00390272" w:rsidP="00390272">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22,365</w:t>
            </w:r>
          </w:p>
        </w:tc>
        <w:tc>
          <w:tcPr>
            <w:tcW w:w="460" w:type="pct"/>
            <w:tcBorders>
              <w:top w:val="nil"/>
              <w:left w:val="nil"/>
              <w:bottom w:val="nil"/>
              <w:right w:val="nil"/>
            </w:tcBorders>
            <w:shd w:val="clear" w:color="auto" w:fill="auto"/>
            <w:noWrap/>
            <w:vAlign w:val="center"/>
            <w:hideMark/>
          </w:tcPr>
          <w:p w14:paraId="72B5E218" w14:textId="77777777" w:rsidR="00390272" w:rsidRPr="00925C94" w:rsidRDefault="00390272" w:rsidP="00390272">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1,572</w:t>
            </w:r>
          </w:p>
        </w:tc>
        <w:tc>
          <w:tcPr>
            <w:tcW w:w="636" w:type="pct"/>
            <w:tcBorders>
              <w:top w:val="nil"/>
              <w:left w:val="nil"/>
              <w:bottom w:val="nil"/>
              <w:right w:val="nil"/>
            </w:tcBorders>
            <w:shd w:val="clear" w:color="auto" w:fill="FBD4B4" w:themeFill="accent6" w:themeFillTint="66"/>
            <w:noWrap/>
            <w:vAlign w:val="center"/>
            <w:hideMark/>
          </w:tcPr>
          <w:p w14:paraId="46AFBA57" w14:textId="77777777" w:rsidR="00390272" w:rsidRPr="00925C94" w:rsidRDefault="00390272" w:rsidP="00390272">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151,819</w:t>
            </w:r>
          </w:p>
        </w:tc>
        <w:tc>
          <w:tcPr>
            <w:tcW w:w="1424" w:type="pct"/>
            <w:tcBorders>
              <w:top w:val="nil"/>
              <w:left w:val="nil"/>
              <w:bottom w:val="nil"/>
              <w:right w:val="nil"/>
            </w:tcBorders>
            <w:shd w:val="clear" w:color="auto" w:fill="auto"/>
            <w:noWrap/>
            <w:vAlign w:val="center"/>
            <w:hideMark/>
          </w:tcPr>
          <w:p w14:paraId="5E8C6CC0" w14:textId="77777777" w:rsidR="00390272" w:rsidRPr="00925C94" w:rsidRDefault="00390272" w:rsidP="000F1641">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42,024,682</w:t>
            </w:r>
          </w:p>
        </w:tc>
      </w:tr>
      <w:tr w:rsidR="00390272" w:rsidRPr="00925C94" w14:paraId="05AF2EA5" w14:textId="77777777" w:rsidTr="00390272">
        <w:trPr>
          <w:trHeight w:val="300"/>
        </w:trPr>
        <w:tc>
          <w:tcPr>
            <w:tcW w:w="699" w:type="pct"/>
            <w:tcBorders>
              <w:top w:val="nil"/>
              <w:left w:val="nil"/>
              <w:bottom w:val="nil"/>
              <w:right w:val="nil"/>
            </w:tcBorders>
            <w:shd w:val="clear" w:color="auto" w:fill="auto"/>
            <w:noWrap/>
            <w:vAlign w:val="center"/>
            <w:hideMark/>
          </w:tcPr>
          <w:p w14:paraId="26F7F211" w14:textId="77777777" w:rsidR="00390272" w:rsidRPr="00925C94" w:rsidRDefault="00390272" w:rsidP="00390272">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2012-13</w:t>
            </w:r>
          </w:p>
        </w:tc>
        <w:tc>
          <w:tcPr>
            <w:tcW w:w="644" w:type="pct"/>
            <w:tcBorders>
              <w:top w:val="nil"/>
              <w:left w:val="nil"/>
              <w:bottom w:val="nil"/>
              <w:right w:val="nil"/>
            </w:tcBorders>
            <w:shd w:val="clear" w:color="auto" w:fill="auto"/>
            <w:noWrap/>
            <w:vAlign w:val="center"/>
            <w:hideMark/>
          </w:tcPr>
          <w:p w14:paraId="110E3F4F" w14:textId="77777777" w:rsidR="00390272" w:rsidRPr="00925C94" w:rsidRDefault="00390272" w:rsidP="00390272">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84,563</w:t>
            </w:r>
          </w:p>
        </w:tc>
        <w:tc>
          <w:tcPr>
            <w:tcW w:w="568" w:type="pct"/>
            <w:tcBorders>
              <w:top w:val="nil"/>
              <w:left w:val="nil"/>
              <w:bottom w:val="nil"/>
              <w:right w:val="nil"/>
            </w:tcBorders>
            <w:shd w:val="clear" w:color="auto" w:fill="auto"/>
            <w:noWrap/>
            <w:vAlign w:val="center"/>
            <w:hideMark/>
          </w:tcPr>
          <w:p w14:paraId="6A9F77F6" w14:textId="77777777" w:rsidR="00390272" w:rsidRPr="00925C94" w:rsidRDefault="00390272" w:rsidP="00390272">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83,016</w:t>
            </w:r>
          </w:p>
        </w:tc>
        <w:tc>
          <w:tcPr>
            <w:tcW w:w="568" w:type="pct"/>
            <w:tcBorders>
              <w:top w:val="nil"/>
              <w:left w:val="nil"/>
              <w:bottom w:val="nil"/>
              <w:right w:val="nil"/>
            </w:tcBorders>
            <w:shd w:val="clear" w:color="auto" w:fill="auto"/>
            <w:noWrap/>
            <w:vAlign w:val="center"/>
            <w:hideMark/>
          </w:tcPr>
          <w:p w14:paraId="02CA1667" w14:textId="77777777" w:rsidR="00390272" w:rsidRPr="00925C94" w:rsidRDefault="00390272" w:rsidP="00390272">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28,934</w:t>
            </w:r>
          </w:p>
        </w:tc>
        <w:tc>
          <w:tcPr>
            <w:tcW w:w="460" w:type="pct"/>
            <w:tcBorders>
              <w:top w:val="nil"/>
              <w:left w:val="nil"/>
              <w:bottom w:val="nil"/>
              <w:right w:val="nil"/>
            </w:tcBorders>
            <w:shd w:val="clear" w:color="auto" w:fill="auto"/>
            <w:noWrap/>
            <w:vAlign w:val="center"/>
            <w:hideMark/>
          </w:tcPr>
          <w:p w14:paraId="1DCA0E77" w14:textId="77777777" w:rsidR="00390272" w:rsidRPr="00925C94" w:rsidRDefault="00390272" w:rsidP="00390272">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1,995</w:t>
            </w:r>
          </w:p>
        </w:tc>
        <w:tc>
          <w:tcPr>
            <w:tcW w:w="636" w:type="pct"/>
            <w:tcBorders>
              <w:top w:val="nil"/>
              <w:left w:val="nil"/>
              <w:bottom w:val="nil"/>
              <w:right w:val="nil"/>
            </w:tcBorders>
            <w:shd w:val="clear" w:color="auto" w:fill="FBD4B4" w:themeFill="accent6" w:themeFillTint="66"/>
            <w:noWrap/>
            <w:vAlign w:val="center"/>
            <w:hideMark/>
          </w:tcPr>
          <w:p w14:paraId="6B99A2AD" w14:textId="77777777" w:rsidR="00390272" w:rsidRPr="00925C94" w:rsidRDefault="00390272" w:rsidP="00390272">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198,508</w:t>
            </w:r>
          </w:p>
        </w:tc>
        <w:tc>
          <w:tcPr>
            <w:tcW w:w="1424" w:type="pct"/>
            <w:tcBorders>
              <w:top w:val="nil"/>
              <w:left w:val="nil"/>
              <w:bottom w:val="nil"/>
              <w:right w:val="nil"/>
            </w:tcBorders>
            <w:shd w:val="clear" w:color="auto" w:fill="auto"/>
            <w:noWrap/>
            <w:vAlign w:val="center"/>
            <w:hideMark/>
          </w:tcPr>
          <w:p w14:paraId="0002C794" w14:textId="77777777" w:rsidR="00390272" w:rsidRPr="00925C94" w:rsidRDefault="00390272" w:rsidP="000F1641">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38,258,850</w:t>
            </w:r>
          </w:p>
        </w:tc>
      </w:tr>
      <w:tr w:rsidR="00390272" w:rsidRPr="00925C94" w14:paraId="187EED1A" w14:textId="77777777" w:rsidTr="00390272">
        <w:trPr>
          <w:trHeight w:val="300"/>
        </w:trPr>
        <w:tc>
          <w:tcPr>
            <w:tcW w:w="699" w:type="pct"/>
            <w:tcBorders>
              <w:top w:val="nil"/>
              <w:left w:val="nil"/>
              <w:bottom w:val="nil"/>
              <w:right w:val="nil"/>
            </w:tcBorders>
            <w:shd w:val="clear" w:color="auto" w:fill="auto"/>
            <w:noWrap/>
            <w:vAlign w:val="center"/>
            <w:hideMark/>
          </w:tcPr>
          <w:p w14:paraId="2C9D140F" w14:textId="77777777" w:rsidR="00390272" w:rsidRPr="00925C94" w:rsidRDefault="005006CE" w:rsidP="00390272">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2013-2014</w:t>
            </w:r>
          </w:p>
        </w:tc>
        <w:tc>
          <w:tcPr>
            <w:tcW w:w="644" w:type="pct"/>
            <w:tcBorders>
              <w:top w:val="nil"/>
              <w:left w:val="nil"/>
              <w:bottom w:val="nil"/>
              <w:right w:val="nil"/>
            </w:tcBorders>
            <w:shd w:val="clear" w:color="auto" w:fill="auto"/>
            <w:noWrap/>
            <w:vAlign w:val="center"/>
            <w:hideMark/>
          </w:tcPr>
          <w:p w14:paraId="211759E4" w14:textId="77777777" w:rsidR="00390272" w:rsidRPr="00925C94" w:rsidRDefault="00390272" w:rsidP="00390272">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83,535</w:t>
            </w:r>
          </w:p>
        </w:tc>
        <w:tc>
          <w:tcPr>
            <w:tcW w:w="568" w:type="pct"/>
            <w:tcBorders>
              <w:top w:val="nil"/>
              <w:left w:val="nil"/>
              <w:bottom w:val="nil"/>
              <w:right w:val="nil"/>
            </w:tcBorders>
            <w:shd w:val="clear" w:color="auto" w:fill="auto"/>
            <w:noWrap/>
            <w:vAlign w:val="center"/>
            <w:hideMark/>
          </w:tcPr>
          <w:p w14:paraId="17E0436B" w14:textId="77777777" w:rsidR="00390272" w:rsidRPr="00925C94" w:rsidRDefault="00390272" w:rsidP="00390272">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93,080</w:t>
            </w:r>
          </w:p>
        </w:tc>
        <w:tc>
          <w:tcPr>
            <w:tcW w:w="568" w:type="pct"/>
            <w:tcBorders>
              <w:top w:val="nil"/>
              <w:left w:val="nil"/>
              <w:bottom w:val="nil"/>
              <w:right w:val="nil"/>
            </w:tcBorders>
            <w:shd w:val="clear" w:color="auto" w:fill="auto"/>
            <w:noWrap/>
            <w:vAlign w:val="center"/>
            <w:hideMark/>
          </w:tcPr>
          <w:p w14:paraId="11870D35" w14:textId="77777777" w:rsidR="00390272" w:rsidRPr="00925C94" w:rsidRDefault="00390272" w:rsidP="00390272">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27,408</w:t>
            </w:r>
          </w:p>
        </w:tc>
        <w:tc>
          <w:tcPr>
            <w:tcW w:w="460" w:type="pct"/>
            <w:tcBorders>
              <w:top w:val="nil"/>
              <w:left w:val="nil"/>
              <w:bottom w:val="nil"/>
              <w:right w:val="nil"/>
            </w:tcBorders>
            <w:shd w:val="clear" w:color="auto" w:fill="auto"/>
            <w:noWrap/>
            <w:vAlign w:val="center"/>
            <w:hideMark/>
          </w:tcPr>
          <w:p w14:paraId="0512599D" w14:textId="77777777" w:rsidR="00390272" w:rsidRPr="00925C94" w:rsidRDefault="00390272" w:rsidP="00390272">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3,302</w:t>
            </w:r>
          </w:p>
        </w:tc>
        <w:tc>
          <w:tcPr>
            <w:tcW w:w="636" w:type="pct"/>
            <w:tcBorders>
              <w:top w:val="nil"/>
              <w:left w:val="nil"/>
              <w:bottom w:val="nil"/>
              <w:right w:val="nil"/>
            </w:tcBorders>
            <w:shd w:val="clear" w:color="auto" w:fill="FBD4B4" w:themeFill="accent6" w:themeFillTint="66"/>
            <w:noWrap/>
            <w:vAlign w:val="center"/>
            <w:hideMark/>
          </w:tcPr>
          <w:p w14:paraId="2C0487B8" w14:textId="77777777" w:rsidR="00390272" w:rsidRPr="00925C94" w:rsidRDefault="00390272" w:rsidP="00390272">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207,325</w:t>
            </w:r>
          </w:p>
        </w:tc>
        <w:tc>
          <w:tcPr>
            <w:tcW w:w="1424" w:type="pct"/>
            <w:tcBorders>
              <w:top w:val="nil"/>
              <w:left w:val="nil"/>
              <w:bottom w:val="nil"/>
              <w:right w:val="nil"/>
            </w:tcBorders>
            <w:shd w:val="clear" w:color="auto" w:fill="auto"/>
            <w:noWrap/>
            <w:vAlign w:val="center"/>
            <w:hideMark/>
          </w:tcPr>
          <w:p w14:paraId="44D773B6" w14:textId="77777777" w:rsidR="00390272" w:rsidRPr="00925C94" w:rsidRDefault="00390272" w:rsidP="000F1641">
            <w:pPr>
              <w:spacing w:before="0" w:after="0"/>
              <w:jc w:val="center"/>
              <w:rPr>
                <w:rFonts w:ascii="Calibri" w:hAnsi="Calibri" w:cs="Times New Roman"/>
                <w:color w:val="000000"/>
                <w:sz w:val="20"/>
                <w:szCs w:val="20"/>
              </w:rPr>
            </w:pPr>
            <w:r w:rsidRPr="00925C94">
              <w:rPr>
                <w:rFonts w:ascii="Calibri" w:hAnsi="Calibri" w:cs="Times New Roman"/>
                <w:color w:val="000000"/>
                <w:sz w:val="20"/>
                <w:szCs w:val="20"/>
              </w:rPr>
              <w:t>23,031,353</w:t>
            </w:r>
          </w:p>
        </w:tc>
      </w:tr>
    </w:tbl>
    <w:p w14:paraId="585ACC12" w14:textId="77777777" w:rsidR="000E7A6B" w:rsidRDefault="000E7A6B" w:rsidP="00481E0D">
      <w:pPr>
        <w:rPr>
          <w:rFonts w:eastAsia="Calibri"/>
          <w:bCs/>
        </w:rPr>
      </w:pPr>
    </w:p>
    <w:p w14:paraId="2E53AF46" w14:textId="47211806" w:rsidR="003A69C4" w:rsidRPr="000632E4" w:rsidRDefault="003A69C4" w:rsidP="003A69C4">
      <w:pPr>
        <w:rPr>
          <w:rFonts w:ascii="Calibri" w:eastAsia="Calibri" w:hAnsi="Calibri" w:cs="Times New Roman"/>
          <w:lang w:eastAsia="en-US"/>
        </w:rPr>
      </w:pPr>
      <w:r w:rsidRPr="004E0CB3">
        <w:rPr>
          <w:rFonts w:ascii="Calibri" w:eastAsia="Calibri" w:hAnsi="Calibri" w:cs="Times New Roman"/>
          <w:lang w:eastAsia="en-US"/>
        </w:rPr>
        <w:t xml:space="preserve">When </w:t>
      </w:r>
      <w:r w:rsidRPr="000E7A6B">
        <w:rPr>
          <w:rFonts w:ascii="Calibri" w:eastAsia="Calibri" w:hAnsi="Calibri" w:cs="Times New Roman"/>
          <w:lang w:eastAsia="en-US"/>
        </w:rPr>
        <w:t xml:space="preserve">only </w:t>
      </w:r>
      <w:r w:rsidRPr="0022733B">
        <w:rPr>
          <w:rFonts w:ascii="Calibri" w:eastAsia="Calibri" w:hAnsi="Calibri" w:cs="Times New Roman"/>
          <w:lang w:eastAsia="en-US"/>
        </w:rPr>
        <w:t xml:space="preserve">considering surface </w:t>
      </w:r>
      <w:r w:rsidRPr="00FF1C04">
        <w:rPr>
          <w:rFonts w:ascii="Calibri" w:eastAsia="Calibri" w:hAnsi="Calibri" w:cs="Times New Roman"/>
          <w:lang w:eastAsia="en-US"/>
        </w:rPr>
        <w:t xml:space="preserve">areas of the GBR exposed to the highest potential risk categories from river plumes exposure </w:t>
      </w:r>
      <w:r w:rsidRPr="00235E98">
        <w:rPr>
          <w:rFonts w:ascii="Calibri" w:eastAsia="Calibri" w:hAnsi="Calibri" w:cs="Times New Roman"/>
          <w:lang w:eastAsia="en-US"/>
        </w:rPr>
        <w:t xml:space="preserve">(II, III and IV), areas </w:t>
      </w:r>
      <w:r w:rsidRPr="009A3764">
        <w:rPr>
          <w:rFonts w:ascii="Calibri" w:eastAsia="Calibri" w:hAnsi="Calibri" w:cs="Times New Roman"/>
          <w:lang w:eastAsia="en-US"/>
        </w:rPr>
        <w:t xml:space="preserve">ranged from </w:t>
      </w:r>
      <w:r w:rsidRPr="000F1641">
        <w:rPr>
          <w:rFonts w:ascii="Calibri" w:hAnsi="Calibri" w:cs="Times New Roman"/>
          <w:color w:val="000000"/>
        </w:rPr>
        <w:t>81,830</w:t>
      </w:r>
      <w:r>
        <w:rPr>
          <w:rFonts w:ascii="Calibri" w:hAnsi="Calibri" w:cs="Times New Roman"/>
          <w:color w:val="000000"/>
        </w:rPr>
        <w:t xml:space="preserve"> </w:t>
      </w:r>
      <w:r w:rsidRPr="009A3764">
        <w:rPr>
          <w:rFonts w:ascii="Calibri" w:eastAsia="Calibri" w:hAnsi="Calibri" w:cs="Times New Roman"/>
          <w:lang w:eastAsia="en-US"/>
        </w:rPr>
        <w:t>km² in 20</w:t>
      </w:r>
      <w:r>
        <w:rPr>
          <w:rFonts w:ascii="Calibri" w:eastAsia="Calibri" w:hAnsi="Calibri" w:cs="Times New Roman"/>
          <w:lang w:eastAsia="en-US"/>
        </w:rPr>
        <w:t>11</w:t>
      </w:r>
      <w:r w:rsidRPr="009A3764">
        <w:rPr>
          <w:rFonts w:ascii="Calibri" w:eastAsia="Calibri" w:hAnsi="Calibri" w:cs="Times New Roman"/>
          <w:lang w:eastAsia="en-US"/>
        </w:rPr>
        <w:t>-</w:t>
      </w:r>
      <w:r w:rsidR="00925C94">
        <w:rPr>
          <w:rFonts w:ascii="Calibri" w:eastAsia="Calibri" w:hAnsi="Calibri" w:cs="Times New Roman"/>
          <w:lang w:eastAsia="en-US"/>
        </w:rPr>
        <w:t>20</w:t>
      </w:r>
      <w:r>
        <w:rPr>
          <w:rFonts w:ascii="Calibri" w:eastAsia="Calibri" w:hAnsi="Calibri" w:cs="Times New Roman"/>
          <w:lang w:eastAsia="en-US"/>
        </w:rPr>
        <w:t>12</w:t>
      </w:r>
      <w:r w:rsidRPr="009A3764">
        <w:rPr>
          <w:rFonts w:ascii="Calibri" w:eastAsia="Calibri" w:hAnsi="Calibri" w:cs="Times New Roman"/>
          <w:lang w:eastAsia="en-US"/>
        </w:rPr>
        <w:t xml:space="preserve"> to </w:t>
      </w:r>
      <w:r w:rsidRPr="000F1641">
        <w:rPr>
          <w:rFonts w:ascii="Calibri" w:eastAsia="Calibri" w:hAnsi="Calibri" w:cs="Times New Roman"/>
          <w:lang w:eastAsia="en-US"/>
        </w:rPr>
        <w:t>121,024</w:t>
      </w:r>
      <w:r w:rsidRPr="009A3764">
        <w:rPr>
          <w:rFonts w:ascii="Calibri" w:eastAsia="Calibri" w:hAnsi="Calibri" w:cs="Times New Roman"/>
          <w:lang w:eastAsia="en-US"/>
        </w:rPr>
        <w:t xml:space="preserve"> km² in 20</w:t>
      </w:r>
      <w:r>
        <w:rPr>
          <w:rFonts w:ascii="Calibri" w:eastAsia="Calibri" w:hAnsi="Calibri" w:cs="Times New Roman"/>
          <w:lang w:eastAsia="en-US"/>
        </w:rPr>
        <w:t>10-</w:t>
      </w:r>
      <w:r w:rsidR="00925C94">
        <w:rPr>
          <w:rFonts w:ascii="Calibri" w:eastAsia="Calibri" w:hAnsi="Calibri" w:cs="Times New Roman"/>
          <w:lang w:eastAsia="en-US"/>
        </w:rPr>
        <w:t>20</w:t>
      </w:r>
      <w:r w:rsidRPr="009A3764">
        <w:rPr>
          <w:rFonts w:ascii="Calibri" w:eastAsia="Calibri" w:hAnsi="Calibri" w:cs="Times New Roman"/>
          <w:lang w:eastAsia="en-US"/>
        </w:rPr>
        <w:t xml:space="preserve">11 and </w:t>
      </w:r>
      <w:r w:rsidRPr="000F1641">
        <w:rPr>
          <w:rFonts w:ascii="Calibri" w:hAnsi="Calibri" w:cs="Times New Roman"/>
          <w:color w:val="000000"/>
        </w:rPr>
        <w:t>123,789</w:t>
      </w:r>
      <w:r>
        <w:rPr>
          <w:rFonts w:ascii="Calibri" w:hAnsi="Calibri" w:cs="Times New Roman"/>
          <w:color w:val="000000"/>
        </w:rPr>
        <w:t xml:space="preserve"> </w:t>
      </w:r>
      <w:r w:rsidR="00925C94" w:rsidRPr="009A3764">
        <w:rPr>
          <w:rFonts w:ascii="Calibri" w:eastAsia="Calibri" w:hAnsi="Calibri" w:cs="Times New Roman"/>
          <w:lang w:eastAsia="en-US"/>
        </w:rPr>
        <w:t>km</w:t>
      </w:r>
      <w:r w:rsidR="00925C94" w:rsidRPr="009A3764">
        <w:rPr>
          <w:rFonts w:ascii="Calibri" w:hAnsi="Calibri" w:cs="Times New Roman"/>
          <w:color w:val="000000"/>
        </w:rPr>
        <w:t xml:space="preserve"> </w:t>
      </w:r>
      <w:r w:rsidRPr="009A3764">
        <w:rPr>
          <w:rFonts w:ascii="Calibri" w:hAnsi="Calibri" w:cs="Times New Roman"/>
          <w:color w:val="000000"/>
        </w:rPr>
        <w:t xml:space="preserve">in </w:t>
      </w:r>
      <w:r w:rsidR="005006CE">
        <w:rPr>
          <w:rFonts w:ascii="Calibri" w:hAnsi="Calibri" w:cs="Times New Roman"/>
          <w:color w:val="000000"/>
        </w:rPr>
        <w:t>2013-2014</w:t>
      </w:r>
      <w:r w:rsidRPr="000632E4">
        <w:rPr>
          <w:rFonts w:ascii="Calibri" w:eastAsia="Calibri" w:hAnsi="Calibri" w:cs="Times New Roman"/>
          <w:lang w:eastAsia="en-US"/>
        </w:rPr>
        <w:t xml:space="preserve">. </w:t>
      </w:r>
      <w:r>
        <w:rPr>
          <w:rFonts w:ascii="Calibri" w:eastAsia="Calibri" w:hAnsi="Calibri" w:cs="Times New Roman"/>
          <w:lang w:eastAsia="en-US"/>
        </w:rPr>
        <w:t>There was a trend toward an increase of s</w:t>
      </w:r>
      <w:r w:rsidRPr="000632E4">
        <w:rPr>
          <w:rFonts w:ascii="Calibri" w:eastAsia="Calibri" w:hAnsi="Calibri" w:cs="Times New Roman"/>
          <w:lang w:eastAsia="en-US"/>
        </w:rPr>
        <w:t>urface areas of the GBR (in km</w:t>
      </w:r>
      <w:r w:rsidRPr="000632E4">
        <w:rPr>
          <w:rFonts w:ascii="Calibri" w:eastAsia="Calibri" w:hAnsi="Calibri" w:cs="Times New Roman"/>
          <w:vertAlign w:val="superscript"/>
          <w:lang w:eastAsia="en-US"/>
        </w:rPr>
        <w:t>2</w:t>
      </w:r>
      <w:r w:rsidRPr="000632E4">
        <w:rPr>
          <w:rFonts w:ascii="Calibri" w:eastAsia="Calibri" w:hAnsi="Calibri" w:cs="Times New Roman"/>
          <w:lang w:eastAsia="en-US"/>
        </w:rPr>
        <w:t xml:space="preserve">) exposed to the highest potential risk from river plume exposure (II, III and IV) </w:t>
      </w:r>
      <w:r>
        <w:rPr>
          <w:rFonts w:ascii="Calibri" w:eastAsia="Calibri" w:hAnsi="Calibri" w:cs="Times New Roman"/>
          <w:lang w:eastAsia="en-US"/>
        </w:rPr>
        <w:t>and the wet season</w:t>
      </w:r>
      <w:r w:rsidRPr="000632E4">
        <w:rPr>
          <w:rFonts w:ascii="Calibri" w:eastAsia="Calibri" w:hAnsi="Calibri" w:cs="Times New Roman"/>
          <w:lang w:eastAsia="en-US"/>
        </w:rPr>
        <w:t xml:space="preserve"> GBR river discharge (</w:t>
      </w:r>
      <w:r w:rsidR="00434EFC">
        <w:fldChar w:fldCharType="begin"/>
      </w:r>
      <w:r w:rsidR="00434EFC">
        <w:instrText xml:space="preserve"> REF _Ref427752201 \h  \* MERGEFORMAT </w:instrText>
      </w:r>
      <w:r w:rsidR="00434EFC">
        <w:fldChar w:fldCharType="separate"/>
      </w:r>
      <w:r w:rsidR="000E22F3" w:rsidRPr="000E22F3">
        <w:rPr>
          <w:rFonts w:ascii="Calibri" w:eastAsia="Calibri" w:hAnsi="Calibri" w:cs="Times New Roman"/>
          <w:lang w:eastAsia="en-US"/>
        </w:rPr>
        <w:t>Figure 5</w:t>
      </w:r>
      <w:r w:rsidR="000E22F3" w:rsidRPr="000E22F3">
        <w:rPr>
          <w:rFonts w:ascii="Calibri" w:eastAsia="Calibri" w:hAnsi="Calibri" w:cs="Times New Roman"/>
          <w:lang w:eastAsia="en-US"/>
        </w:rPr>
        <w:noBreakHyphen/>
        <w:t>13</w:t>
      </w:r>
      <w:r w:rsidR="00434EFC">
        <w:fldChar w:fldCharType="end"/>
      </w:r>
      <w:r>
        <w:rPr>
          <w:rFonts w:ascii="Calibri" w:eastAsia="Calibri" w:hAnsi="Calibri" w:cs="Times New Roman"/>
          <w:lang w:eastAsia="en-US"/>
        </w:rPr>
        <w:t>a</w:t>
      </w:r>
      <w:r w:rsidRPr="0022733B">
        <w:rPr>
          <w:rFonts w:ascii="Calibri" w:eastAsia="Calibri" w:hAnsi="Calibri" w:cs="Times New Roman"/>
          <w:lang w:eastAsia="en-US"/>
        </w:rPr>
        <w:t>), but 20</w:t>
      </w:r>
      <w:r>
        <w:rPr>
          <w:rFonts w:ascii="Calibri" w:eastAsia="Calibri" w:hAnsi="Calibri" w:cs="Times New Roman"/>
          <w:lang w:eastAsia="en-US"/>
        </w:rPr>
        <w:t>11-</w:t>
      </w:r>
      <w:r w:rsidR="00925C94">
        <w:rPr>
          <w:rFonts w:ascii="Calibri" w:eastAsia="Calibri" w:hAnsi="Calibri" w:cs="Times New Roman"/>
          <w:lang w:eastAsia="en-US"/>
        </w:rPr>
        <w:t>20</w:t>
      </w:r>
      <w:r>
        <w:rPr>
          <w:rFonts w:ascii="Calibri" w:eastAsia="Calibri" w:hAnsi="Calibri" w:cs="Times New Roman"/>
          <w:lang w:eastAsia="en-US"/>
        </w:rPr>
        <w:t>12</w:t>
      </w:r>
      <w:r w:rsidRPr="000632E4">
        <w:rPr>
          <w:rFonts w:ascii="Calibri" w:eastAsia="Calibri" w:hAnsi="Calibri" w:cs="Times New Roman"/>
          <w:lang w:eastAsia="en-US"/>
        </w:rPr>
        <w:t xml:space="preserve"> and </w:t>
      </w:r>
      <w:r w:rsidR="005006CE">
        <w:rPr>
          <w:rFonts w:ascii="Calibri" w:eastAsia="Calibri" w:hAnsi="Calibri" w:cs="Times New Roman"/>
          <w:lang w:eastAsia="en-US"/>
        </w:rPr>
        <w:t>2013-2014</w:t>
      </w:r>
      <w:r w:rsidRPr="000632E4">
        <w:rPr>
          <w:rFonts w:ascii="Calibri" w:eastAsia="Calibri" w:hAnsi="Calibri" w:cs="Times New Roman"/>
          <w:lang w:eastAsia="en-US"/>
        </w:rPr>
        <w:t xml:space="preserve"> were both outliers of the relationship</w:t>
      </w:r>
      <w:r>
        <w:rPr>
          <w:rFonts w:ascii="Calibri" w:eastAsia="Calibri" w:hAnsi="Calibri" w:cs="Times New Roman"/>
          <w:lang w:eastAsia="en-US"/>
        </w:rPr>
        <w:t xml:space="preserve"> </w:t>
      </w:r>
      <w:r w:rsidRPr="000632E4">
        <w:rPr>
          <w:rFonts w:ascii="Calibri" w:eastAsia="Calibri" w:hAnsi="Calibri" w:cs="Times New Roman"/>
          <w:lang w:eastAsia="en-US"/>
        </w:rPr>
        <w:t>(</w:t>
      </w:r>
      <w:r w:rsidR="00434EFC">
        <w:fldChar w:fldCharType="begin"/>
      </w:r>
      <w:r w:rsidR="00434EFC">
        <w:instrText xml:space="preserve"> REF _Ref427752201 \h  \* MERGEFORMAT </w:instrText>
      </w:r>
      <w:r w:rsidR="00434EFC">
        <w:fldChar w:fldCharType="separate"/>
      </w:r>
      <w:r w:rsidR="000E22F3" w:rsidRPr="000E22F3">
        <w:rPr>
          <w:rFonts w:ascii="Calibri" w:eastAsia="Calibri" w:hAnsi="Calibri" w:cs="Times New Roman"/>
          <w:lang w:eastAsia="en-US"/>
        </w:rPr>
        <w:t>Figure 5</w:t>
      </w:r>
      <w:r w:rsidR="000E22F3" w:rsidRPr="000E22F3">
        <w:rPr>
          <w:rFonts w:ascii="Calibri" w:eastAsia="Calibri" w:hAnsi="Calibri" w:cs="Times New Roman"/>
          <w:lang w:eastAsia="en-US"/>
        </w:rPr>
        <w:noBreakHyphen/>
        <w:t>13</w:t>
      </w:r>
      <w:r w:rsidR="00434EFC">
        <w:fldChar w:fldCharType="end"/>
      </w:r>
      <w:r>
        <w:rPr>
          <w:rFonts w:ascii="Calibri" w:eastAsia="Calibri" w:hAnsi="Calibri" w:cs="Times New Roman"/>
          <w:lang w:eastAsia="en-US"/>
        </w:rPr>
        <w:t>b</w:t>
      </w:r>
      <w:r w:rsidRPr="000632E4">
        <w:rPr>
          <w:rFonts w:ascii="Calibri" w:eastAsia="Calibri" w:hAnsi="Calibri" w:cs="Times New Roman"/>
          <w:lang w:eastAsia="en-US"/>
        </w:rPr>
        <w:t>).</w:t>
      </w:r>
      <w:r w:rsidRPr="009C0BD4">
        <w:t xml:space="preserve"> </w:t>
      </w:r>
      <w:r>
        <w:t>A</w:t>
      </w:r>
      <w:r w:rsidRPr="009C0BD4">
        <w:t xml:space="preserve"> greater availability of satellite information due to a less frequent cloud cover</w:t>
      </w:r>
      <w:r>
        <w:t xml:space="preserve"> in </w:t>
      </w:r>
      <w:r w:rsidR="005006CE">
        <w:t>2013-2014</w:t>
      </w:r>
      <w:r w:rsidRPr="009C0BD4">
        <w:t xml:space="preserve"> c</w:t>
      </w:r>
      <w:r>
        <w:t>ould have</w:t>
      </w:r>
      <w:r w:rsidRPr="009C0BD4">
        <w:t xml:space="preserve"> result</w:t>
      </w:r>
      <w:r>
        <w:t>ed</w:t>
      </w:r>
      <w:r w:rsidRPr="009C0BD4">
        <w:t xml:space="preserve"> in mapping relatively higher frequency of occurrence of river plume</w:t>
      </w:r>
      <w:r>
        <w:t xml:space="preserve"> during this wet season.</w:t>
      </w:r>
    </w:p>
    <w:p w14:paraId="5B77D703" w14:textId="77777777" w:rsidR="003A69C4" w:rsidRDefault="003A69C4" w:rsidP="003A69C4">
      <w:pPr>
        <w:rPr>
          <w:rFonts w:ascii="Calibri" w:eastAsia="Calibri" w:hAnsi="Calibri" w:cs="Times New Roman"/>
          <w:lang w:eastAsia="en-US"/>
        </w:rPr>
      </w:pPr>
      <w:r w:rsidRPr="009A3764">
        <w:rPr>
          <w:rFonts w:ascii="Calibri" w:eastAsia="Calibri" w:hAnsi="Calibri" w:cs="Times New Roman"/>
          <w:lang w:eastAsia="en-US"/>
        </w:rPr>
        <w:t>A multiannual potential risk</w:t>
      </w:r>
      <w:r w:rsidRPr="000632E4">
        <w:rPr>
          <w:rFonts w:ascii="Calibri" w:eastAsia="Calibri" w:hAnsi="Calibri" w:cs="Times New Roman"/>
          <w:lang w:eastAsia="en-US"/>
        </w:rPr>
        <w:t xml:space="preserve"> composite map was calculated by </w:t>
      </w:r>
      <w:r>
        <w:rPr>
          <w:rFonts w:ascii="Calibri" w:eastAsia="Calibri" w:hAnsi="Calibri" w:cs="Times New Roman"/>
          <w:lang w:eastAsia="en-US"/>
        </w:rPr>
        <w:t xml:space="preserve">selecting the majority </w:t>
      </w:r>
      <w:r w:rsidRPr="000632E4">
        <w:rPr>
          <w:rFonts w:ascii="Calibri" w:eastAsia="Calibri" w:hAnsi="Calibri" w:cs="Times New Roman"/>
          <w:lang w:eastAsia="en-US"/>
        </w:rPr>
        <w:t xml:space="preserve"> </w:t>
      </w:r>
      <w:r>
        <w:rPr>
          <w:rFonts w:ascii="Calibri" w:eastAsia="Calibri" w:hAnsi="Calibri" w:cs="Times New Roman"/>
          <w:lang w:eastAsia="en-US"/>
        </w:rPr>
        <w:t xml:space="preserve">risk value/pixels from the </w:t>
      </w:r>
      <w:r w:rsidRPr="000632E4">
        <w:rPr>
          <w:rFonts w:ascii="Calibri" w:eastAsia="Calibri" w:hAnsi="Calibri" w:cs="Times New Roman"/>
          <w:lang w:eastAsia="en-US"/>
        </w:rPr>
        <w:t>inter-annual risk maps produced . Recalculating individual wet season risk maps to a long-term (8-year) map is useful to describe where potential risk conditions from river plume are</w:t>
      </w:r>
      <w:r>
        <w:rPr>
          <w:rFonts w:ascii="Calibri" w:eastAsia="Calibri" w:hAnsi="Calibri" w:cs="Times New Roman"/>
          <w:lang w:eastAsia="en-US"/>
        </w:rPr>
        <w:t xml:space="preserve"> regularly encountered.</w:t>
      </w:r>
    </w:p>
    <w:p w14:paraId="1F806BFA" w14:textId="77777777" w:rsidR="003A69C4" w:rsidRPr="000632E4" w:rsidRDefault="003A69C4" w:rsidP="00481E0D">
      <w:pPr>
        <w:rPr>
          <w:rFonts w:eastAsia="Calibri"/>
          <w:bCs/>
        </w:rPr>
      </w:pPr>
    </w:p>
    <w:p w14:paraId="1CBB2027" w14:textId="77777777" w:rsidR="00131E41" w:rsidRPr="000632E4" w:rsidRDefault="00D65C75" w:rsidP="000F1641">
      <w:pPr>
        <w:jc w:val="center"/>
        <w:rPr>
          <w:rFonts w:ascii="Calibri" w:eastAsia="Calibri" w:hAnsi="Calibri" w:cs="Times New Roman"/>
          <w:bCs/>
          <w:color w:val="4F81BD"/>
          <w:lang w:eastAsia="en-US"/>
        </w:rPr>
      </w:pPr>
      <w:r>
        <w:rPr>
          <w:rFonts w:ascii="Calibri" w:eastAsia="Calibri" w:hAnsi="Calibri" w:cs="Times New Roman"/>
          <w:bCs/>
          <w:noProof/>
          <w:color w:val="4F81BD"/>
        </w:rPr>
        <w:drawing>
          <wp:inline distT="0" distB="0" distL="0" distR="0" wp14:anchorId="31170F67" wp14:editId="5BC77642">
            <wp:extent cx="5976187" cy="5440535"/>
            <wp:effectExtent l="0" t="0" r="5715" b="8255"/>
            <wp:docPr id="66" name="Picture 66" descr="relationships between the total GBR areas exposed to the highest potential risk categories (II, III and IV) to river plume and the total GBR wet season river discharge. R2 calculated without considering data of 2011-12 and 2013-14.  " title="Figure 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7" cstate="screen">
                      <a:extLst>
                        <a:ext uri="{28A0092B-C50C-407E-A947-70E740481C1C}">
                          <a14:useLocalDpi xmlns:a14="http://schemas.microsoft.com/office/drawing/2010/main"/>
                        </a:ext>
                      </a:extLst>
                    </a:blip>
                    <a:srcRect/>
                    <a:stretch>
                      <a:fillRect/>
                    </a:stretch>
                  </pic:blipFill>
                  <pic:spPr bwMode="auto">
                    <a:xfrm>
                      <a:off x="0" y="0"/>
                      <a:ext cx="5979513" cy="5443563"/>
                    </a:xfrm>
                    <a:prstGeom prst="rect">
                      <a:avLst/>
                    </a:prstGeom>
                    <a:noFill/>
                  </pic:spPr>
                </pic:pic>
              </a:graphicData>
            </a:graphic>
          </wp:inline>
        </w:drawing>
      </w:r>
    </w:p>
    <w:p w14:paraId="51CD32D6" w14:textId="5DE9BB3C" w:rsidR="00131E41" w:rsidRPr="00235E98" w:rsidRDefault="00131E41" w:rsidP="00131E41">
      <w:pPr>
        <w:pStyle w:val="Caption"/>
        <w:rPr>
          <w:rFonts w:eastAsia="Calibri"/>
        </w:rPr>
      </w:pPr>
      <w:bookmarkStart w:id="321" w:name="_Ref427752201"/>
      <w:bookmarkStart w:id="322" w:name="_Toc427833299"/>
      <w:bookmarkStart w:id="323" w:name="_Toc454303930"/>
      <w:r w:rsidRPr="004E0CB3">
        <w:rPr>
          <w:rFonts w:eastAsia="Calibri"/>
        </w:rPr>
        <w:t xml:space="preserve">Figure </w:t>
      </w:r>
      <w:r w:rsidR="009F4CB0">
        <w:rPr>
          <w:rFonts w:eastAsia="Calibri"/>
        </w:rPr>
        <w:fldChar w:fldCharType="begin"/>
      </w:r>
      <w:r w:rsidR="009F4CB0">
        <w:rPr>
          <w:rFonts w:eastAsia="Calibri"/>
        </w:rPr>
        <w:instrText xml:space="preserve"> STYLEREF 1 \s </w:instrText>
      </w:r>
      <w:r w:rsidR="009F4CB0">
        <w:rPr>
          <w:rFonts w:eastAsia="Calibri"/>
        </w:rPr>
        <w:fldChar w:fldCharType="separate"/>
      </w:r>
      <w:r w:rsidR="000E22F3">
        <w:rPr>
          <w:rFonts w:eastAsia="Calibri"/>
          <w:noProof/>
        </w:rPr>
        <w:t>5</w:t>
      </w:r>
      <w:r w:rsidR="009F4CB0">
        <w:rPr>
          <w:rFonts w:eastAsia="Calibri"/>
        </w:rPr>
        <w:fldChar w:fldCharType="end"/>
      </w:r>
      <w:r w:rsidR="009F4CB0">
        <w:rPr>
          <w:rFonts w:eastAsia="Calibri"/>
        </w:rPr>
        <w:noBreakHyphen/>
      </w:r>
      <w:r w:rsidR="009F4CB0">
        <w:rPr>
          <w:rFonts w:eastAsia="Calibri"/>
        </w:rPr>
        <w:fldChar w:fldCharType="begin"/>
      </w:r>
      <w:r w:rsidR="009F4CB0">
        <w:rPr>
          <w:rFonts w:eastAsia="Calibri"/>
        </w:rPr>
        <w:instrText xml:space="preserve"> SEQ Figure \* ARABIC \s 1 </w:instrText>
      </w:r>
      <w:r w:rsidR="009F4CB0">
        <w:rPr>
          <w:rFonts w:eastAsia="Calibri"/>
        </w:rPr>
        <w:fldChar w:fldCharType="separate"/>
      </w:r>
      <w:r w:rsidR="000E22F3">
        <w:rPr>
          <w:rFonts w:eastAsia="Calibri"/>
          <w:noProof/>
        </w:rPr>
        <w:t>13</w:t>
      </w:r>
      <w:r w:rsidR="009F4CB0">
        <w:rPr>
          <w:rFonts w:eastAsia="Calibri"/>
        </w:rPr>
        <w:fldChar w:fldCharType="end"/>
      </w:r>
      <w:bookmarkEnd w:id="321"/>
      <w:r w:rsidRPr="00FF1C04">
        <w:rPr>
          <w:rFonts w:eastAsia="Calibri"/>
        </w:rPr>
        <w:t>: relationships between the total GBR areas exposed to the highest potential risk categories (</w:t>
      </w:r>
      <w:r w:rsidR="008F525C" w:rsidRPr="00FF1C04">
        <w:rPr>
          <w:rFonts w:eastAsia="Calibri"/>
        </w:rPr>
        <w:t xml:space="preserve">II, </w:t>
      </w:r>
      <w:r w:rsidRPr="00235E98">
        <w:rPr>
          <w:rFonts w:eastAsia="Calibri"/>
        </w:rPr>
        <w:t>III and IV) to river plume and the total GBR</w:t>
      </w:r>
      <w:r w:rsidR="000F1641">
        <w:rPr>
          <w:rFonts w:eastAsia="Calibri"/>
        </w:rPr>
        <w:t xml:space="preserve"> wet season</w:t>
      </w:r>
      <w:r w:rsidRPr="00235E98">
        <w:rPr>
          <w:rFonts w:eastAsia="Calibri"/>
        </w:rPr>
        <w:t xml:space="preserve"> river discharge.</w:t>
      </w:r>
      <w:bookmarkEnd w:id="322"/>
      <w:r w:rsidRPr="00235E98">
        <w:rPr>
          <w:rFonts w:eastAsia="Calibri"/>
        </w:rPr>
        <w:t xml:space="preserve"> </w:t>
      </w:r>
      <w:r w:rsidR="008F525C" w:rsidRPr="00235E98">
        <w:rPr>
          <w:rFonts w:eastAsia="Calibri"/>
        </w:rPr>
        <w:t>R</w:t>
      </w:r>
      <w:r w:rsidR="008F525C" w:rsidRPr="00235E98">
        <w:rPr>
          <w:rFonts w:eastAsia="Calibri"/>
          <w:vertAlign w:val="superscript"/>
        </w:rPr>
        <w:t>2</w:t>
      </w:r>
      <w:r w:rsidR="008F525C" w:rsidRPr="00235E98">
        <w:rPr>
          <w:rFonts w:eastAsia="Calibri"/>
        </w:rPr>
        <w:t xml:space="preserve"> calculated without considering data of </w:t>
      </w:r>
      <w:r w:rsidR="00235E98">
        <w:rPr>
          <w:rFonts w:eastAsia="Calibri"/>
        </w:rPr>
        <w:t>2011-12</w:t>
      </w:r>
      <w:r w:rsidR="000F1641">
        <w:rPr>
          <w:rFonts w:eastAsia="Calibri"/>
        </w:rPr>
        <w:t xml:space="preserve"> and </w:t>
      </w:r>
      <w:r w:rsidR="005006CE">
        <w:rPr>
          <w:rFonts w:eastAsia="Calibri"/>
        </w:rPr>
        <w:t>2013-2014</w:t>
      </w:r>
      <w:r w:rsidR="008F525C" w:rsidRPr="00235E98">
        <w:rPr>
          <w:rFonts w:eastAsia="Calibri"/>
        </w:rPr>
        <w:t>.</w:t>
      </w:r>
      <w:bookmarkEnd w:id="323"/>
      <w:r w:rsidRPr="00235E98">
        <w:rPr>
          <w:rFonts w:eastAsia="Calibri"/>
        </w:rPr>
        <w:t xml:space="preserve">  </w:t>
      </w:r>
    </w:p>
    <w:p w14:paraId="48241E33" w14:textId="77777777" w:rsidR="00131E41" w:rsidRPr="000632E4" w:rsidRDefault="00131E41" w:rsidP="00131E41">
      <w:pPr>
        <w:rPr>
          <w:rFonts w:ascii="Calibri" w:eastAsia="Calibri" w:hAnsi="Calibri" w:cs="Times New Roman"/>
          <w:bCs/>
          <w:color w:val="4F81BD"/>
          <w:lang w:val="en-GB" w:eastAsia="en-US"/>
        </w:rPr>
      </w:pPr>
    </w:p>
    <w:p w14:paraId="2CA757EE" w14:textId="77777777" w:rsidR="00131E41" w:rsidRPr="000632E4" w:rsidRDefault="00131E41" w:rsidP="00131E41">
      <w:pPr>
        <w:rPr>
          <w:rFonts w:ascii="Calibri" w:eastAsia="Calibri" w:hAnsi="Calibri" w:cs="Times New Roman"/>
          <w:lang w:eastAsia="en-US"/>
        </w:rPr>
      </w:pPr>
      <w:r w:rsidRPr="000632E4">
        <w:rPr>
          <w:rFonts w:ascii="Calibri" w:eastAsia="Calibri" w:hAnsi="Calibri" w:cs="Times New Roman"/>
          <w:lang w:eastAsia="en-US"/>
        </w:rPr>
        <w:t xml:space="preserve">. </w:t>
      </w:r>
      <w:r w:rsidR="00165B39">
        <w:rPr>
          <w:rFonts w:ascii="Calibri" w:eastAsia="Calibri" w:hAnsi="Calibri" w:cs="Times New Roman"/>
          <w:noProof/>
        </w:rPr>
        <w:drawing>
          <wp:inline distT="0" distB="0" distL="0" distR="0" wp14:anchorId="68E28756" wp14:editId="4B441254">
            <wp:extent cx="4418006" cy="5029200"/>
            <wp:effectExtent l="0" t="0" r="1905" b="0"/>
            <wp:docPr id="69" name="Picture 69" descr="Multi-annual (2007-2013) “potential” river plume risk maps of (a) the GBR; (b) the Tully Herbert region and (c) the Burdekin region. Maps have been smoothed twice with a 4 pixel majority filter (ArcGIS)." title="Figure 5-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8" cstate="screen">
                      <a:extLst>
                        <a:ext uri="{28A0092B-C50C-407E-A947-70E740481C1C}">
                          <a14:useLocalDpi xmlns:a14="http://schemas.microsoft.com/office/drawing/2010/main"/>
                        </a:ext>
                      </a:extLst>
                    </a:blip>
                    <a:srcRect/>
                    <a:stretch>
                      <a:fillRect/>
                    </a:stretch>
                  </pic:blipFill>
                  <pic:spPr bwMode="auto">
                    <a:xfrm>
                      <a:off x="0" y="0"/>
                      <a:ext cx="4429127" cy="5041859"/>
                    </a:xfrm>
                    <a:prstGeom prst="rect">
                      <a:avLst/>
                    </a:prstGeom>
                    <a:noFill/>
                  </pic:spPr>
                </pic:pic>
              </a:graphicData>
            </a:graphic>
          </wp:inline>
        </w:drawing>
      </w:r>
    </w:p>
    <w:p w14:paraId="2AE5114A" w14:textId="501D3D0D" w:rsidR="00131E41" w:rsidRDefault="00131E41" w:rsidP="00131E41">
      <w:pPr>
        <w:pStyle w:val="Caption"/>
        <w:rPr>
          <w:rFonts w:eastAsia="Calibri"/>
        </w:rPr>
      </w:pPr>
      <w:bookmarkStart w:id="324" w:name="_Ref432674621"/>
      <w:bookmarkStart w:id="325" w:name="_Toc427833300"/>
      <w:bookmarkStart w:id="326" w:name="_Toc454303931"/>
      <w:r w:rsidRPr="000632E4">
        <w:rPr>
          <w:rFonts w:eastAsia="Calibri"/>
        </w:rPr>
        <w:t xml:space="preserve">Figure </w:t>
      </w:r>
      <w:r w:rsidR="009F4CB0">
        <w:rPr>
          <w:rFonts w:eastAsia="Calibri"/>
        </w:rPr>
        <w:fldChar w:fldCharType="begin"/>
      </w:r>
      <w:r w:rsidR="009F4CB0">
        <w:rPr>
          <w:rFonts w:eastAsia="Calibri"/>
        </w:rPr>
        <w:instrText xml:space="preserve"> STYLEREF 1 \s </w:instrText>
      </w:r>
      <w:r w:rsidR="009F4CB0">
        <w:rPr>
          <w:rFonts w:eastAsia="Calibri"/>
        </w:rPr>
        <w:fldChar w:fldCharType="separate"/>
      </w:r>
      <w:r w:rsidR="000E22F3">
        <w:rPr>
          <w:rFonts w:eastAsia="Calibri"/>
          <w:noProof/>
        </w:rPr>
        <w:t>5</w:t>
      </w:r>
      <w:r w:rsidR="009F4CB0">
        <w:rPr>
          <w:rFonts w:eastAsia="Calibri"/>
        </w:rPr>
        <w:fldChar w:fldCharType="end"/>
      </w:r>
      <w:r w:rsidR="009F4CB0">
        <w:rPr>
          <w:rFonts w:eastAsia="Calibri"/>
        </w:rPr>
        <w:noBreakHyphen/>
      </w:r>
      <w:r w:rsidR="009F4CB0">
        <w:rPr>
          <w:rFonts w:eastAsia="Calibri"/>
        </w:rPr>
        <w:fldChar w:fldCharType="begin"/>
      </w:r>
      <w:r w:rsidR="009F4CB0">
        <w:rPr>
          <w:rFonts w:eastAsia="Calibri"/>
        </w:rPr>
        <w:instrText xml:space="preserve"> SEQ Figure \* ARABIC \s 1 </w:instrText>
      </w:r>
      <w:r w:rsidR="009F4CB0">
        <w:rPr>
          <w:rFonts w:eastAsia="Calibri"/>
        </w:rPr>
        <w:fldChar w:fldCharType="separate"/>
      </w:r>
      <w:r w:rsidR="000E22F3">
        <w:rPr>
          <w:rFonts w:eastAsia="Calibri"/>
          <w:noProof/>
        </w:rPr>
        <w:t>14</w:t>
      </w:r>
      <w:r w:rsidR="009F4CB0">
        <w:rPr>
          <w:rFonts w:eastAsia="Calibri"/>
        </w:rPr>
        <w:fldChar w:fldCharType="end"/>
      </w:r>
      <w:bookmarkEnd w:id="324"/>
      <w:r w:rsidRPr="000632E4">
        <w:rPr>
          <w:rFonts w:eastAsia="Calibri"/>
        </w:rPr>
        <w:t>: Multi-annual (2007-2013) “potential” river plume risk maps of (</w:t>
      </w:r>
      <w:r w:rsidR="00165B39">
        <w:rPr>
          <w:rFonts w:eastAsia="Calibri"/>
        </w:rPr>
        <w:t>a</w:t>
      </w:r>
      <w:r w:rsidRPr="000632E4">
        <w:rPr>
          <w:rFonts w:eastAsia="Calibri"/>
        </w:rPr>
        <w:t>) the GBR; (</w:t>
      </w:r>
      <w:r w:rsidR="00165B39">
        <w:rPr>
          <w:rFonts w:eastAsia="Calibri"/>
        </w:rPr>
        <w:t>b</w:t>
      </w:r>
      <w:r w:rsidRPr="000632E4">
        <w:rPr>
          <w:rFonts w:eastAsia="Calibri"/>
        </w:rPr>
        <w:t>) the Tully Herbert region and (</w:t>
      </w:r>
      <w:r w:rsidR="00165B39">
        <w:rPr>
          <w:rFonts w:eastAsia="Calibri"/>
        </w:rPr>
        <w:t>c</w:t>
      </w:r>
      <w:r w:rsidRPr="000632E4">
        <w:rPr>
          <w:rFonts w:eastAsia="Calibri"/>
        </w:rPr>
        <w:t>) the Burdekin region. Maps have been smoothed twice with a 4 pixel majority filter (ArcGIS).</w:t>
      </w:r>
      <w:bookmarkEnd w:id="325"/>
      <w:bookmarkEnd w:id="326"/>
    </w:p>
    <w:p w14:paraId="79D99FC6" w14:textId="5C3E0E13" w:rsidR="00165B39" w:rsidRPr="000632E4" w:rsidRDefault="00165B39" w:rsidP="00165B39">
      <w:pPr>
        <w:rPr>
          <w:rFonts w:ascii="Calibri" w:eastAsia="Calibri" w:hAnsi="Calibri" w:cs="Times New Roman"/>
          <w:lang w:eastAsia="en-US"/>
        </w:rPr>
      </w:pPr>
      <w:r w:rsidRPr="000632E4">
        <w:rPr>
          <w:rFonts w:ascii="Calibri" w:eastAsia="Calibri" w:hAnsi="Calibri" w:cs="Times New Roman"/>
          <w:lang w:eastAsia="en-US"/>
        </w:rPr>
        <w:t xml:space="preserve">As observed on the </w:t>
      </w:r>
      <w:r w:rsidR="00925C94">
        <w:rPr>
          <w:rFonts w:ascii="Calibri" w:eastAsia="Calibri" w:hAnsi="Calibri" w:cs="Times New Roman"/>
          <w:lang w:eastAsia="en-US"/>
        </w:rPr>
        <w:t>2013-</w:t>
      </w:r>
      <w:r w:rsidRPr="000632E4">
        <w:rPr>
          <w:rFonts w:ascii="Calibri" w:eastAsia="Calibri" w:hAnsi="Calibri" w:cs="Times New Roman"/>
          <w:lang w:eastAsia="en-US"/>
        </w:rPr>
        <w:t xml:space="preserve">2014 risk maps, an inshore to offshore spatial pattern </w:t>
      </w:r>
      <w:r>
        <w:rPr>
          <w:rFonts w:ascii="Calibri" w:eastAsia="Calibri" w:hAnsi="Calibri" w:cs="Times New Roman"/>
          <w:lang w:eastAsia="en-US"/>
        </w:rPr>
        <w:t>was</w:t>
      </w:r>
      <w:r w:rsidRPr="000632E4">
        <w:rPr>
          <w:rFonts w:ascii="Calibri" w:eastAsia="Calibri" w:hAnsi="Calibri" w:cs="Times New Roman"/>
          <w:lang w:eastAsia="en-US"/>
        </w:rPr>
        <w:t xml:space="preserve"> present, with inshore areas within ~ 20 km of the coast experiencing high frequency of Primary waters and thus highest potential risk from river plume water (as Primary waters are the most concentrated in land-sourced pollutants), and offshore areas experiencing highest/lowest frequency of Tertiary/Primary plume water types and thus lowest potential risk from river plume exposure (as Tertiary waters are the less concentrated in land-sourced pollutants). Total areas exposed to river plumes extended about 1</w:t>
      </w:r>
      <w:r>
        <w:rPr>
          <w:rFonts w:ascii="Calibri" w:eastAsia="Calibri" w:hAnsi="Calibri" w:cs="Times New Roman"/>
          <w:lang w:eastAsia="en-US"/>
        </w:rPr>
        <w:t>5</w:t>
      </w:r>
      <w:r w:rsidRPr="000632E4">
        <w:rPr>
          <w:rFonts w:ascii="Calibri" w:eastAsia="Calibri" w:hAnsi="Calibri" w:cs="Times New Roman"/>
          <w:lang w:eastAsia="en-US"/>
        </w:rPr>
        <w:t xml:space="preserve">0 km offshore of the Herbert River mouth and </w:t>
      </w:r>
      <w:r>
        <w:rPr>
          <w:rFonts w:ascii="Calibri" w:eastAsia="Calibri" w:hAnsi="Calibri" w:cs="Times New Roman"/>
          <w:lang w:eastAsia="en-US"/>
        </w:rPr>
        <w:t>230</w:t>
      </w:r>
      <w:r w:rsidRPr="000632E4">
        <w:rPr>
          <w:rFonts w:ascii="Calibri" w:eastAsia="Calibri" w:hAnsi="Calibri" w:cs="Times New Roman"/>
          <w:lang w:eastAsia="en-US"/>
        </w:rPr>
        <w:t xml:space="preserve"> km offshore of the Burdekin River mouth (if measured along a NE/SW strait line from both estuary mouths) </w:t>
      </w:r>
    </w:p>
    <w:p w14:paraId="2CD36A30" w14:textId="6F657A21" w:rsidR="00131E41" w:rsidRPr="000632E4" w:rsidRDefault="00131E41" w:rsidP="00131E41">
      <w:pPr>
        <w:spacing w:after="200" w:line="276" w:lineRule="auto"/>
        <w:rPr>
          <w:rFonts w:ascii="Calibri" w:eastAsia="Calibri" w:hAnsi="Calibri" w:cs="Times New Roman"/>
          <w:lang w:eastAsia="en-US"/>
        </w:rPr>
      </w:pPr>
      <w:r w:rsidRPr="000632E4">
        <w:rPr>
          <w:rFonts w:ascii="Calibri" w:eastAsia="Calibri" w:hAnsi="Calibri" w:cs="Times New Roman"/>
          <w:lang w:eastAsia="en-US"/>
        </w:rPr>
        <w:t>Using the mean multi-annual (2007-</w:t>
      </w:r>
      <w:r w:rsidR="00165B39" w:rsidRPr="000632E4">
        <w:rPr>
          <w:rFonts w:ascii="Calibri" w:eastAsia="Calibri" w:hAnsi="Calibri" w:cs="Times New Roman"/>
          <w:lang w:eastAsia="en-US"/>
        </w:rPr>
        <w:t>201</w:t>
      </w:r>
      <w:r w:rsidR="00165B39">
        <w:rPr>
          <w:rFonts w:ascii="Calibri" w:eastAsia="Calibri" w:hAnsi="Calibri" w:cs="Times New Roman"/>
          <w:lang w:eastAsia="en-US"/>
        </w:rPr>
        <w:t>4</w:t>
      </w:r>
      <w:r w:rsidRPr="000632E4">
        <w:rPr>
          <w:rFonts w:ascii="Calibri" w:eastAsia="Calibri" w:hAnsi="Calibri" w:cs="Times New Roman"/>
          <w:lang w:eastAsia="en-US"/>
        </w:rPr>
        <w:t>) surface areas (in km</w:t>
      </w:r>
      <w:r w:rsidRPr="000632E4">
        <w:rPr>
          <w:rFonts w:ascii="Calibri" w:eastAsia="Calibri" w:hAnsi="Calibri" w:cs="Times New Roman"/>
          <w:vertAlign w:val="superscript"/>
          <w:lang w:eastAsia="en-US"/>
        </w:rPr>
        <w:t>2</w:t>
      </w:r>
      <w:r w:rsidRPr="000632E4">
        <w:rPr>
          <w:rFonts w:ascii="Calibri" w:eastAsia="Calibri" w:hAnsi="Calibri" w:cs="Times New Roman"/>
          <w:lang w:eastAsia="en-US"/>
        </w:rPr>
        <w:t>) of coral and seagrass beds under the highest potential risk categories (III and IV) from plume exposure (and without considering Cape York) were calculated (</w:t>
      </w:r>
      <w:r w:rsidR="00434EFC">
        <w:fldChar w:fldCharType="begin"/>
      </w:r>
      <w:r w:rsidR="00434EFC">
        <w:instrText xml:space="preserve"> REF _Ref427833072 \h  \* MERGEFORMAT </w:instrText>
      </w:r>
      <w:r w:rsidR="00434EFC">
        <w:fldChar w:fldCharType="separate"/>
      </w:r>
      <w:r w:rsidR="000E22F3" w:rsidRPr="004E0CB3">
        <w:rPr>
          <w:rFonts w:eastAsia="Calibri"/>
        </w:rPr>
        <w:t xml:space="preserve">Figure </w:t>
      </w:r>
      <w:r w:rsidR="000E22F3">
        <w:rPr>
          <w:rFonts w:eastAsia="Calibri"/>
          <w:noProof/>
        </w:rPr>
        <w:t>5</w:t>
      </w:r>
      <w:r w:rsidR="000E22F3">
        <w:rPr>
          <w:rFonts w:eastAsia="Calibri"/>
          <w:noProof/>
        </w:rPr>
        <w:noBreakHyphen/>
        <w:t>15</w:t>
      </w:r>
      <w:r w:rsidR="00434EFC">
        <w:fldChar w:fldCharType="end"/>
      </w:r>
      <w:r w:rsidRPr="000632E4">
        <w:rPr>
          <w:rFonts w:ascii="Calibri" w:eastAsia="Calibri" w:hAnsi="Calibri" w:cs="Times New Roman"/>
          <w:lang w:eastAsia="en-US"/>
        </w:rPr>
        <w:t>):</w:t>
      </w:r>
    </w:p>
    <w:p w14:paraId="459D85A2" w14:textId="77777777" w:rsidR="00131E41" w:rsidRPr="000632E4" w:rsidRDefault="00131E41" w:rsidP="00046E8A">
      <w:pPr>
        <w:numPr>
          <w:ilvl w:val="0"/>
          <w:numId w:val="15"/>
        </w:numPr>
        <w:spacing w:before="0" w:after="200" w:line="276" w:lineRule="auto"/>
        <w:contextualSpacing/>
        <w:jc w:val="left"/>
        <w:rPr>
          <w:rFonts w:ascii="Calibri" w:eastAsia="Calibri" w:hAnsi="Calibri" w:cs="Times New Roman"/>
          <w:lang w:eastAsia="en-US"/>
        </w:rPr>
      </w:pPr>
      <w:r w:rsidRPr="000632E4">
        <w:rPr>
          <w:rFonts w:ascii="Calibri" w:eastAsia="Calibri" w:hAnsi="Calibri" w:cs="Times New Roman"/>
          <w:lang w:eastAsia="en-US"/>
        </w:rPr>
        <w:t xml:space="preserve">Coral reef areas under potential risk categories III and IV were greater in Mackay-Whitsunday &gt; Fitzroy &gt; Wet Tropics &gt; Burdekin &gt; Burnett-Mary NRM regions. </w:t>
      </w:r>
    </w:p>
    <w:p w14:paraId="471C7BA8" w14:textId="77777777" w:rsidR="00131E41" w:rsidRDefault="00131E41" w:rsidP="00046E8A">
      <w:pPr>
        <w:numPr>
          <w:ilvl w:val="0"/>
          <w:numId w:val="15"/>
        </w:numPr>
        <w:spacing w:before="0" w:after="200" w:line="276" w:lineRule="auto"/>
        <w:contextualSpacing/>
        <w:jc w:val="left"/>
        <w:rPr>
          <w:rFonts w:ascii="Calibri" w:eastAsia="Calibri" w:hAnsi="Calibri" w:cs="Times New Roman"/>
          <w:lang w:eastAsia="en-US"/>
        </w:rPr>
      </w:pPr>
      <w:r w:rsidRPr="000632E4">
        <w:rPr>
          <w:rFonts w:ascii="Calibri" w:eastAsia="Calibri" w:hAnsi="Calibri" w:cs="Times New Roman"/>
          <w:lang w:eastAsia="en-US"/>
        </w:rPr>
        <w:t>Total seagrass areas under potential risk categories III and IV greater in Fitzroy &gt; Burdekin &gt; Mackay-Whitsunday &gt; Wet Tropics &gt; Burnett-Mary NRM regions.</w:t>
      </w:r>
    </w:p>
    <w:p w14:paraId="2AC0B3C6" w14:textId="77777777" w:rsidR="00165B39" w:rsidRPr="000632E4" w:rsidRDefault="00165B39" w:rsidP="008F30B3">
      <w:pPr>
        <w:spacing w:before="0" w:after="200" w:line="276" w:lineRule="auto"/>
        <w:contextualSpacing/>
        <w:jc w:val="left"/>
        <w:rPr>
          <w:rFonts w:ascii="Calibri" w:eastAsia="Calibri" w:hAnsi="Calibri" w:cs="Times New Roman"/>
          <w:lang w:eastAsia="en-US"/>
        </w:rPr>
      </w:pPr>
    </w:p>
    <w:p w14:paraId="3DBD814E" w14:textId="77777777" w:rsidR="00131E41" w:rsidRPr="0022733B" w:rsidRDefault="008F30B3" w:rsidP="008F30B3">
      <w:pPr>
        <w:jc w:val="center"/>
        <w:rPr>
          <w:rFonts w:ascii="Calibri" w:eastAsia="Calibri" w:hAnsi="Calibri" w:cs="Times New Roman"/>
          <w:noProof/>
        </w:rPr>
      </w:pPr>
      <w:r>
        <w:rPr>
          <w:rFonts w:ascii="Calibri" w:eastAsia="Calibri" w:hAnsi="Calibri" w:cs="Times New Roman"/>
          <w:noProof/>
        </w:rPr>
        <w:drawing>
          <wp:inline distT="0" distB="0" distL="0" distR="0" wp14:anchorId="1A1AAFF8" wp14:editId="4E0ACF03">
            <wp:extent cx="5793492" cy="3741683"/>
            <wp:effectExtent l="0" t="0" r="0" b="0"/>
            <wp:docPr id="79" name="Picture 79" descr="Multiannual (2007-2014) areas (km2) of a) coral reefs ,b) total seagrass, c and d) coastal and deep segrasses exposed to potential risk categories III and IV." title="Figure 5-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09" cstate="screen">
                      <a:extLst>
                        <a:ext uri="{28A0092B-C50C-407E-A947-70E740481C1C}">
                          <a14:useLocalDpi xmlns:a14="http://schemas.microsoft.com/office/drawing/2010/main"/>
                        </a:ext>
                      </a:extLst>
                    </a:blip>
                    <a:srcRect/>
                    <a:stretch>
                      <a:fillRect/>
                    </a:stretch>
                  </pic:blipFill>
                  <pic:spPr bwMode="auto">
                    <a:xfrm>
                      <a:off x="0" y="0"/>
                      <a:ext cx="5800743" cy="3746366"/>
                    </a:xfrm>
                    <a:prstGeom prst="rect">
                      <a:avLst/>
                    </a:prstGeom>
                    <a:noFill/>
                  </pic:spPr>
                </pic:pic>
              </a:graphicData>
            </a:graphic>
          </wp:inline>
        </w:drawing>
      </w:r>
    </w:p>
    <w:p w14:paraId="2A166707" w14:textId="68661CDF" w:rsidR="00131E41" w:rsidRPr="00DF1C49" w:rsidRDefault="00131E41" w:rsidP="00131E41">
      <w:pPr>
        <w:pStyle w:val="Caption"/>
        <w:rPr>
          <w:rFonts w:eastAsia="Calibri"/>
          <w:sz w:val="18"/>
          <w:szCs w:val="18"/>
        </w:rPr>
      </w:pPr>
      <w:bookmarkStart w:id="327" w:name="_Ref427833072"/>
      <w:bookmarkStart w:id="328" w:name="_Toc427833301"/>
      <w:bookmarkStart w:id="329" w:name="_Toc454303932"/>
      <w:r w:rsidRPr="004E0CB3">
        <w:rPr>
          <w:rFonts w:eastAsia="Calibri"/>
        </w:rPr>
        <w:t xml:space="preserve">Figure </w:t>
      </w:r>
      <w:r w:rsidR="009F4CB0">
        <w:rPr>
          <w:rFonts w:eastAsia="Calibri"/>
        </w:rPr>
        <w:fldChar w:fldCharType="begin"/>
      </w:r>
      <w:r w:rsidR="009F4CB0">
        <w:rPr>
          <w:rFonts w:eastAsia="Calibri"/>
        </w:rPr>
        <w:instrText xml:space="preserve"> STYLEREF 1 \s </w:instrText>
      </w:r>
      <w:r w:rsidR="009F4CB0">
        <w:rPr>
          <w:rFonts w:eastAsia="Calibri"/>
        </w:rPr>
        <w:fldChar w:fldCharType="separate"/>
      </w:r>
      <w:r w:rsidR="000E22F3">
        <w:rPr>
          <w:rFonts w:eastAsia="Calibri"/>
          <w:noProof/>
        </w:rPr>
        <w:t>5</w:t>
      </w:r>
      <w:r w:rsidR="009F4CB0">
        <w:rPr>
          <w:rFonts w:eastAsia="Calibri"/>
        </w:rPr>
        <w:fldChar w:fldCharType="end"/>
      </w:r>
      <w:r w:rsidR="009F4CB0">
        <w:rPr>
          <w:rFonts w:eastAsia="Calibri"/>
        </w:rPr>
        <w:noBreakHyphen/>
      </w:r>
      <w:r w:rsidR="009F4CB0">
        <w:rPr>
          <w:rFonts w:eastAsia="Calibri"/>
        </w:rPr>
        <w:fldChar w:fldCharType="begin"/>
      </w:r>
      <w:r w:rsidR="009F4CB0">
        <w:rPr>
          <w:rFonts w:eastAsia="Calibri"/>
        </w:rPr>
        <w:instrText xml:space="preserve"> SEQ Figure \* ARABIC \s 1 </w:instrText>
      </w:r>
      <w:r w:rsidR="009F4CB0">
        <w:rPr>
          <w:rFonts w:eastAsia="Calibri"/>
        </w:rPr>
        <w:fldChar w:fldCharType="separate"/>
      </w:r>
      <w:r w:rsidR="000E22F3">
        <w:rPr>
          <w:rFonts w:eastAsia="Calibri"/>
          <w:noProof/>
        </w:rPr>
        <w:t>15</w:t>
      </w:r>
      <w:r w:rsidR="009F4CB0">
        <w:rPr>
          <w:rFonts w:eastAsia="Calibri"/>
        </w:rPr>
        <w:fldChar w:fldCharType="end"/>
      </w:r>
      <w:bookmarkEnd w:id="327"/>
      <w:r w:rsidRPr="00D65C75">
        <w:rPr>
          <w:rFonts w:eastAsia="Calibri"/>
        </w:rPr>
        <w:t xml:space="preserve">: </w:t>
      </w:r>
      <w:r w:rsidR="008F30B3">
        <w:rPr>
          <w:rFonts w:eastAsia="Calibri"/>
        </w:rPr>
        <w:t>M</w:t>
      </w:r>
      <w:r w:rsidRPr="00D65C75">
        <w:rPr>
          <w:rFonts w:eastAsia="Calibri"/>
        </w:rPr>
        <w:t>ulti</w:t>
      </w:r>
      <w:r w:rsidR="007F057A">
        <w:rPr>
          <w:rFonts w:eastAsia="Calibri"/>
        </w:rPr>
        <w:t>-</w:t>
      </w:r>
      <w:r w:rsidRPr="00D65C75">
        <w:rPr>
          <w:rFonts w:eastAsia="Calibri"/>
        </w:rPr>
        <w:t>annual (2007-</w:t>
      </w:r>
      <w:r w:rsidR="008F30B3" w:rsidRPr="00D65C75">
        <w:rPr>
          <w:rFonts w:eastAsia="Calibri"/>
        </w:rPr>
        <w:t>201</w:t>
      </w:r>
      <w:r w:rsidR="008F30B3">
        <w:rPr>
          <w:rFonts w:eastAsia="Calibri"/>
        </w:rPr>
        <w:t>4</w:t>
      </w:r>
      <w:r w:rsidRPr="00D65C75">
        <w:rPr>
          <w:rFonts w:eastAsia="Calibri"/>
        </w:rPr>
        <w:t>) areas (km</w:t>
      </w:r>
      <w:r w:rsidRPr="00D65C75">
        <w:rPr>
          <w:rFonts w:eastAsia="Calibri"/>
          <w:vertAlign w:val="superscript"/>
        </w:rPr>
        <w:t>2</w:t>
      </w:r>
      <w:r w:rsidRPr="00D65C75">
        <w:rPr>
          <w:rFonts w:eastAsia="Calibri"/>
        </w:rPr>
        <w:t>) of a) coral reefs</w:t>
      </w:r>
      <w:r w:rsidR="007F057A">
        <w:rPr>
          <w:rFonts w:eastAsia="Calibri"/>
        </w:rPr>
        <w:t>,</w:t>
      </w:r>
      <w:r w:rsidRPr="00D65C75">
        <w:rPr>
          <w:rFonts w:eastAsia="Calibri"/>
        </w:rPr>
        <w:t xml:space="preserve"> b) total seagrass</w:t>
      </w:r>
      <w:r w:rsidR="008F30B3">
        <w:rPr>
          <w:rFonts w:eastAsia="Calibri"/>
        </w:rPr>
        <w:t>, c</w:t>
      </w:r>
      <w:r w:rsidR="007F057A">
        <w:rPr>
          <w:rFonts w:eastAsia="Calibri"/>
        </w:rPr>
        <w:t>)</w:t>
      </w:r>
      <w:r w:rsidR="008F30B3">
        <w:rPr>
          <w:rFonts w:eastAsia="Calibri"/>
        </w:rPr>
        <w:t xml:space="preserve"> </w:t>
      </w:r>
      <w:r w:rsidR="007F057A">
        <w:rPr>
          <w:rFonts w:eastAsia="Calibri"/>
        </w:rPr>
        <w:t xml:space="preserve">coastal seagrass </w:t>
      </w:r>
      <w:r w:rsidR="008F30B3">
        <w:rPr>
          <w:rFonts w:eastAsia="Calibri"/>
        </w:rPr>
        <w:t>and d) deep</w:t>
      </w:r>
      <w:r w:rsidR="007F057A">
        <w:rPr>
          <w:rFonts w:eastAsia="Calibri"/>
        </w:rPr>
        <w:t>water</w:t>
      </w:r>
      <w:r w:rsidR="008F30B3">
        <w:rPr>
          <w:rFonts w:eastAsia="Calibri"/>
        </w:rPr>
        <w:t xml:space="preserve"> se</w:t>
      </w:r>
      <w:r w:rsidR="007F057A">
        <w:rPr>
          <w:rFonts w:eastAsia="Calibri"/>
        </w:rPr>
        <w:t>a</w:t>
      </w:r>
      <w:r w:rsidR="008F30B3">
        <w:rPr>
          <w:rFonts w:eastAsia="Calibri"/>
        </w:rPr>
        <w:t xml:space="preserve">grass </w:t>
      </w:r>
      <w:r w:rsidRPr="00D65C75">
        <w:rPr>
          <w:rFonts w:eastAsia="Calibri"/>
        </w:rPr>
        <w:t xml:space="preserve">exposed to potential risk categories </w:t>
      </w:r>
      <w:bookmarkEnd w:id="328"/>
      <w:r w:rsidRPr="00D65C75">
        <w:rPr>
          <w:rFonts w:eastAsia="Calibri"/>
        </w:rPr>
        <w:t>I</w:t>
      </w:r>
      <w:r w:rsidR="008F30B3">
        <w:rPr>
          <w:rFonts w:eastAsia="Calibri"/>
        </w:rPr>
        <w:t>II and IV.</w:t>
      </w:r>
      <w:bookmarkEnd w:id="329"/>
    </w:p>
    <w:p w14:paraId="387B3B47" w14:textId="77777777" w:rsidR="00131E41" w:rsidRPr="007B0091" w:rsidRDefault="00131E41" w:rsidP="007B0091">
      <w:pPr>
        <w:pStyle w:val="Heading1"/>
        <w:numPr>
          <w:ilvl w:val="0"/>
          <w:numId w:val="3"/>
        </w:numPr>
        <w:spacing w:after="240" w:line="80" w:lineRule="atLeast"/>
        <w:rPr>
          <w:i/>
          <w:caps w:val="0"/>
        </w:rPr>
      </w:pPr>
      <w:bookmarkStart w:id="330" w:name="_Toc427251556"/>
      <w:bookmarkStart w:id="331" w:name="_Toc427831227"/>
      <w:bookmarkStart w:id="332" w:name="_Toc428793358"/>
      <w:bookmarkStart w:id="333" w:name="_Toc428851363"/>
      <w:bookmarkStart w:id="334" w:name="_Toc443299503"/>
      <w:bookmarkStart w:id="335" w:name="_Toc443299716"/>
      <w:bookmarkStart w:id="336" w:name="_Toc454304732"/>
      <w:r w:rsidRPr="007B0091">
        <w:rPr>
          <w:i/>
          <w:caps w:val="0"/>
        </w:rPr>
        <w:t>Discussion and conclusions</w:t>
      </w:r>
      <w:bookmarkEnd w:id="330"/>
      <w:bookmarkEnd w:id="331"/>
      <w:bookmarkEnd w:id="332"/>
      <w:bookmarkEnd w:id="333"/>
      <w:bookmarkEnd w:id="334"/>
      <w:bookmarkEnd w:id="335"/>
      <w:bookmarkEnd w:id="336"/>
    </w:p>
    <w:p w14:paraId="6A9DF46C" w14:textId="77777777" w:rsidR="00131E41" w:rsidRPr="007B0091" w:rsidRDefault="00131E41" w:rsidP="00B46AF9">
      <w:pPr>
        <w:pStyle w:val="Heading2"/>
        <w:numPr>
          <w:ilvl w:val="1"/>
          <w:numId w:val="3"/>
        </w:numPr>
      </w:pPr>
      <w:bookmarkStart w:id="337" w:name="_Toc427251559"/>
      <w:bookmarkStart w:id="338" w:name="_Toc427831231"/>
      <w:bookmarkStart w:id="339" w:name="_Toc428793362"/>
      <w:bookmarkStart w:id="340" w:name="_Toc428851367"/>
      <w:bookmarkStart w:id="341" w:name="_Toc443299504"/>
      <w:bookmarkStart w:id="342" w:name="_Toc443299717"/>
      <w:bookmarkStart w:id="343" w:name="_Toc454304733"/>
      <w:r w:rsidRPr="007B0091">
        <w:t xml:space="preserve">The </w:t>
      </w:r>
      <w:r w:rsidR="005006CE">
        <w:t>2013-2014</w:t>
      </w:r>
      <w:r w:rsidR="00CF0671" w:rsidRPr="007B0091">
        <w:t xml:space="preserve"> </w:t>
      </w:r>
      <w:r w:rsidRPr="007B0091">
        <w:t>wet season</w:t>
      </w:r>
      <w:bookmarkEnd w:id="337"/>
      <w:bookmarkEnd w:id="338"/>
      <w:bookmarkEnd w:id="339"/>
      <w:bookmarkEnd w:id="340"/>
      <w:bookmarkEnd w:id="341"/>
      <w:bookmarkEnd w:id="342"/>
      <w:bookmarkEnd w:id="343"/>
    </w:p>
    <w:p w14:paraId="48B6C713" w14:textId="4264885C" w:rsidR="00CF0671" w:rsidRDefault="00CF0671" w:rsidP="00CF0671">
      <w:r w:rsidRPr="00F71A97">
        <w:t xml:space="preserve">The wet season 2014 was characterised by neutral (neither El Niño nor La Niña) climatic conditions and tropical cyclone activity for the </w:t>
      </w:r>
      <w:r w:rsidR="005006CE">
        <w:t>2013-2014</w:t>
      </w:r>
      <w:r w:rsidR="001D6FE0" w:rsidRPr="00F71A97">
        <w:t xml:space="preserve"> </w:t>
      </w:r>
      <w:r w:rsidRPr="00F71A97">
        <w:t>wet season was near average the typical cyclone season activity of Queensland.</w:t>
      </w:r>
      <w:r>
        <w:t xml:space="preserve"> </w:t>
      </w:r>
      <w:r w:rsidRPr="000F0FC0">
        <w:t xml:space="preserve">After a late start to the wet season, Queensland’s </w:t>
      </w:r>
      <w:r>
        <w:t>NRM regions</w:t>
      </w:r>
      <w:r w:rsidRPr="000F0FC0">
        <w:t xml:space="preserve"> experienced two minor flood events around 26 January </w:t>
      </w:r>
      <w:r w:rsidR="00925C94">
        <w:t xml:space="preserve">2014 </w:t>
      </w:r>
      <w:r w:rsidRPr="000F0FC0">
        <w:t xml:space="preserve">to 17 February </w:t>
      </w:r>
      <w:r w:rsidR="00925C94">
        <w:t xml:space="preserve">2014 </w:t>
      </w:r>
      <w:r w:rsidRPr="000F0FC0">
        <w:t>and around 19 March</w:t>
      </w:r>
      <w:r w:rsidR="00925C94">
        <w:t xml:space="preserve"> 2014</w:t>
      </w:r>
      <w:r w:rsidRPr="000F0FC0">
        <w:t xml:space="preserve"> to 6 April </w:t>
      </w:r>
      <w:r w:rsidR="00925C94">
        <w:t xml:space="preserve">2014, </w:t>
      </w:r>
      <w:r w:rsidRPr="000F0FC0">
        <w:t xml:space="preserve">as well as a more important under flood event under the influence of Tropical Cyclone Ita which developed </w:t>
      </w:r>
      <w:r w:rsidR="00BE1A79">
        <w:t>in the northern GBR in mid-</w:t>
      </w:r>
      <w:r w:rsidRPr="000F0FC0">
        <w:t>April</w:t>
      </w:r>
      <w:r w:rsidR="00925C94">
        <w:t xml:space="preserve"> 2014</w:t>
      </w:r>
      <w:r w:rsidRPr="000F0FC0">
        <w:t>.</w:t>
      </w:r>
    </w:p>
    <w:p w14:paraId="26FFF6B3" w14:textId="30320662" w:rsidR="00CF0671" w:rsidRPr="00CF0671" w:rsidRDefault="00CF0671" w:rsidP="00CF0671">
      <w:pPr>
        <w:spacing w:after="120"/>
        <w:rPr>
          <w:lang w:val="en-US"/>
        </w:rPr>
      </w:pPr>
      <w:r w:rsidRPr="00CF0671">
        <w:rPr>
          <w:lang w:val="en-US"/>
        </w:rPr>
        <w:t xml:space="preserve">Tropical Cyclone Ita </w:t>
      </w:r>
      <w:r w:rsidR="00925C94">
        <w:rPr>
          <w:lang w:val="en-US"/>
        </w:rPr>
        <w:t>resulted in</w:t>
      </w:r>
      <w:r w:rsidRPr="00CF0671">
        <w:rPr>
          <w:lang w:val="en-US"/>
        </w:rPr>
        <w:t xml:space="preserve"> heavy rainfall as it moved southward between </w:t>
      </w:r>
      <w:r w:rsidR="00925C94">
        <w:rPr>
          <w:lang w:val="en-US"/>
        </w:rPr>
        <w:t>11 and 14 April 2014</w:t>
      </w:r>
      <w:r w:rsidRPr="00CF0671">
        <w:rPr>
          <w:lang w:val="en-US"/>
        </w:rPr>
        <w:t xml:space="preserve"> and caused flooding in many areas of northeastern Queensland. </w:t>
      </w:r>
      <w:r w:rsidR="00925C94">
        <w:rPr>
          <w:lang w:val="en-US"/>
        </w:rPr>
        <w:t>On14 April 2014</w:t>
      </w:r>
      <w:r w:rsidRPr="00CF0671">
        <w:rPr>
          <w:lang w:val="en-US"/>
        </w:rPr>
        <w:t xml:space="preserve"> river plumes were large (up to 70 km wide in Front of the Mossman River) and interconnected in the Wet Tropics. Secondary and Tertiary plume water types reached the reef in the wet tropics, north of the Tully River. The satellite image of Tully and Her</w:t>
      </w:r>
      <w:r w:rsidRPr="00481E0D">
        <w:rPr>
          <w:lang w:val="en-US"/>
        </w:rPr>
        <w:t>bert coastal waters acquired on the 15</w:t>
      </w:r>
      <w:r w:rsidR="00925C94">
        <w:rPr>
          <w:vertAlign w:val="superscript"/>
          <w:lang w:val="en-US"/>
        </w:rPr>
        <w:t xml:space="preserve"> </w:t>
      </w:r>
      <w:r w:rsidRPr="00B83630">
        <w:rPr>
          <w:lang w:val="en-US"/>
        </w:rPr>
        <w:t xml:space="preserve">April </w:t>
      </w:r>
      <w:r w:rsidR="00925C94">
        <w:rPr>
          <w:lang w:val="en-US"/>
        </w:rPr>
        <w:t>2014</w:t>
      </w:r>
      <w:r w:rsidRPr="00B83630">
        <w:rPr>
          <w:lang w:val="en-US"/>
        </w:rPr>
        <w:t>suggests that sediments settled rapidly and turbidity levels dropped after the</w:t>
      </w:r>
      <w:r w:rsidRPr="00CF0671">
        <w:rPr>
          <w:lang w:val="en-US"/>
        </w:rPr>
        <w:t xml:space="preserve"> passage of the cyclonic system.</w:t>
      </w:r>
    </w:p>
    <w:p w14:paraId="44A7FFDA" w14:textId="61FCD965" w:rsidR="009259F9" w:rsidRDefault="009259F9" w:rsidP="009259F9">
      <w:r w:rsidRPr="0022733B">
        <w:t xml:space="preserve">Outcomes of the temporal analysis shows the Tully has </w:t>
      </w:r>
      <w:r w:rsidR="001D6FE0">
        <w:t>only Si</w:t>
      </w:r>
      <w:r w:rsidRPr="0022733B">
        <w:t xml:space="preserve"> correlating significantly with river discharge</w:t>
      </w:r>
      <w:r w:rsidR="00933636">
        <w:t xml:space="preserve">. </w:t>
      </w:r>
      <w:r w:rsidRPr="0022733B">
        <w:t xml:space="preserve">PP. For </w:t>
      </w:r>
      <w:r w:rsidR="001D6FE0">
        <w:t>Russell-Mulgrave</w:t>
      </w:r>
      <w:r w:rsidRPr="0022733B">
        <w:t xml:space="preserve">, TN, DIN and PN were significantly correlated with discharge. The dissolved nutrients were not significant for the Burdekin, but TN, TP, PN and PP all correlated strongly. The Fitzroy river discharge correlates with all the nitrogen species, including TN, DIN and PN. For most of the WQ parameters analysed, the best temporal model was obtained by using all variables, i.e., salinity, flow, distance, River and water type as random effects. For light extinction, the best model was obtained using salinity, distance and water type only, and for </w:t>
      </w:r>
      <w:r w:rsidR="00A80E09">
        <w:t>Chl</w:t>
      </w:r>
      <w:r w:rsidRPr="0022733B">
        <w:t xml:space="preserve">-a, distance was used as a single random effect to produce the best model. The low r-squared indicates that in general the models do not explain much of the data variability, although they capture the general temporal trend of the data (all-significant at p &lt; 0.05). For </w:t>
      </w:r>
      <w:r w:rsidR="00925C94">
        <w:t>C</w:t>
      </w:r>
      <w:r w:rsidR="005F304A" w:rsidRPr="0022733B">
        <w:t>hl</w:t>
      </w:r>
      <w:r w:rsidRPr="0022733B">
        <w:t>-a, DIN and DIP, one can see a clear reduction in values after</w:t>
      </w:r>
      <w:r w:rsidR="007D2ADE">
        <w:t xml:space="preserve"> </w:t>
      </w:r>
      <w:r w:rsidRPr="0022733B">
        <w:t xml:space="preserve"> 201</w:t>
      </w:r>
      <w:r w:rsidR="007D2ADE">
        <w:t>3</w:t>
      </w:r>
      <w:r w:rsidRPr="0022733B">
        <w:t xml:space="preserve">, which was precede by an increasing in concentrations in 2010-11 wet season, corresponding to the Ex-Tropical Cyclone Yasi passage in January-February, 2011. Interesting to note that the same trend was observed for light attenuation, suggesting clear waters in 2010-11 wet season. As a general trend the majority of the parameters show reducing values towards the end of the analysed period, except for CDOM and DIP, which all show increasing values from </w:t>
      </w:r>
      <w:r w:rsidR="005006CE">
        <w:t>2013-2014</w:t>
      </w:r>
      <w:r w:rsidR="001D6FE0">
        <w:t xml:space="preserve"> </w:t>
      </w:r>
      <w:r w:rsidRPr="0022733B">
        <w:t>wet season onwards.</w:t>
      </w:r>
    </w:p>
    <w:p w14:paraId="7C0F2B54" w14:textId="303B7896" w:rsidR="00CF0671" w:rsidRPr="00CF0671" w:rsidRDefault="00CF0671" w:rsidP="00CF0671">
      <w:pPr>
        <w:rPr>
          <w:rFonts w:ascii="Calibri" w:eastAsia="Calibri" w:hAnsi="Calibri" w:cs="Times New Roman"/>
          <w:lang w:eastAsia="en-US"/>
        </w:rPr>
      </w:pPr>
      <w:r w:rsidRPr="00CF0671">
        <w:rPr>
          <w:rFonts w:ascii="Calibri" w:eastAsia="Calibri" w:hAnsi="Calibri" w:cs="Times New Roman"/>
          <w:lang w:eastAsia="en-US"/>
        </w:rPr>
        <w:t xml:space="preserve">The river plume and plume water type frequency maps illustrate GBR marine areas affected by river plume waters and inform on the type/composition of river plume through the Primary, Secondary, and Tertiary water type classification. They also inform on the frequency of occurrence of these plume water types during the wet season </w:t>
      </w:r>
      <w:r w:rsidR="005006CE">
        <w:rPr>
          <w:rFonts w:ascii="Calibri" w:eastAsia="Calibri" w:hAnsi="Calibri" w:cs="Times New Roman"/>
          <w:lang w:eastAsia="en-US"/>
        </w:rPr>
        <w:t>2013-2014</w:t>
      </w:r>
      <w:r w:rsidRPr="00CF0671">
        <w:rPr>
          <w:rFonts w:ascii="Calibri" w:eastAsia="Calibri" w:hAnsi="Calibri" w:cs="Times New Roman"/>
          <w:lang w:eastAsia="en-US"/>
        </w:rPr>
        <w:t xml:space="preserve">. These maps are in agreement with previous year’s reports and showed an inshore to offshore spatial pattern, with coastal areas experiencing the highest frequency of occurrence of Primary plume waters and offshore areas less frequently exposed to plume and, when exposed, </w:t>
      </w:r>
      <w:r w:rsidR="00925C94">
        <w:rPr>
          <w:rFonts w:ascii="Calibri" w:eastAsia="Calibri" w:hAnsi="Calibri" w:cs="Times New Roman"/>
          <w:lang w:eastAsia="en-US"/>
        </w:rPr>
        <w:t>more frequently reached by the T</w:t>
      </w:r>
      <w:r w:rsidRPr="00CF0671">
        <w:rPr>
          <w:rFonts w:ascii="Calibri" w:eastAsia="Calibri" w:hAnsi="Calibri" w:cs="Times New Roman"/>
          <w:lang w:eastAsia="en-US"/>
        </w:rPr>
        <w:t>ertiary water type of river plumes.</w:t>
      </w:r>
      <w:r w:rsidR="00876812">
        <w:rPr>
          <w:rFonts w:ascii="Calibri" w:eastAsia="Calibri" w:hAnsi="Calibri" w:cs="Times New Roman"/>
          <w:lang w:eastAsia="en-US"/>
        </w:rPr>
        <w:t xml:space="preserve"> </w:t>
      </w:r>
      <w:r w:rsidR="00876812" w:rsidRPr="008029CF">
        <w:rPr>
          <w:rFonts w:ascii="Calibri" w:eastAsia="Calibri" w:hAnsi="Calibri" w:cs="Calibri"/>
        </w:rPr>
        <w:t xml:space="preserve">Note that any results obtained in the Cape York NRM should be considered with care. Cape York is a shallow and optically complex environment where the </w:t>
      </w:r>
      <w:r w:rsidR="00925C94">
        <w:rPr>
          <w:rFonts w:ascii="Calibri" w:eastAsia="Calibri" w:hAnsi="Calibri" w:cs="Calibri"/>
        </w:rPr>
        <w:t>true colour</w:t>
      </w:r>
      <w:r w:rsidR="00876812" w:rsidRPr="008029CF">
        <w:rPr>
          <w:rFonts w:ascii="Calibri" w:eastAsia="Calibri" w:hAnsi="Calibri" w:cs="Calibri"/>
        </w:rPr>
        <w:t xml:space="preserve"> method hasn’t been fully validated.</w:t>
      </w:r>
    </w:p>
    <w:p w14:paraId="6CFE2D40" w14:textId="77777777" w:rsidR="00CF0671" w:rsidRPr="00CF0671" w:rsidRDefault="004C78F6" w:rsidP="00CF0671">
      <w:pPr>
        <w:rPr>
          <w:rFonts w:ascii="Calibri" w:eastAsia="Calibri" w:hAnsi="Calibri" w:cs="Times New Roman"/>
          <w:lang w:eastAsia="en-US"/>
        </w:rPr>
      </w:pPr>
      <w:r>
        <w:rPr>
          <w:rFonts w:ascii="Calibri" w:eastAsia="Calibri" w:hAnsi="Calibri" w:cs="Times New Roman"/>
          <w:lang w:eastAsia="en-US"/>
        </w:rPr>
        <w:t>A</w:t>
      </w:r>
      <w:r w:rsidR="00CF0671" w:rsidRPr="00CF0671">
        <w:rPr>
          <w:rFonts w:ascii="Calibri" w:eastAsia="Calibri" w:hAnsi="Calibri" w:cs="Times New Roman"/>
          <w:lang w:eastAsia="en-US"/>
        </w:rPr>
        <w:t xml:space="preserve"> general inshore to offshore spatial pattern is present in the potential risk maps from plume exposure of the </w:t>
      </w:r>
      <w:r w:rsidR="005006CE">
        <w:rPr>
          <w:rFonts w:ascii="Calibri" w:eastAsia="Calibri" w:hAnsi="Calibri" w:cs="Times New Roman"/>
          <w:lang w:eastAsia="en-US"/>
        </w:rPr>
        <w:t>2013-2014</w:t>
      </w:r>
      <w:r w:rsidR="00CF0671" w:rsidRPr="00CF0671">
        <w:rPr>
          <w:rFonts w:ascii="Calibri" w:eastAsia="Calibri" w:hAnsi="Calibri" w:cs="Times New Roman"/>
          <w:lang w:eastAsia="en-US"/>
        </w:rPr>
        <w:t xml:space="preserve"> wet season, with inshore areas and ecosystems within 10 to 30 km of the coast, including the coastal (surveyed seagrass) </w:t>
      </w:r>
      <w:r>
        <w:t>exposed to the medium categories of potential river plume risk (II and III)</w:t>
      </w:r>
      <w:r w:rsidR="00CF0671" w:rsidRPr="00CF0671">
        <w:rPr>
          <w:rFonts w:ascii="Calibri" w:eastAsia="Calibri" w:hAnsi="Calibri" w:cs="Times New Roman"/>
          <w:lang w:eastAsia="en-US"/>
        </w:rPr>
        <w:t>, and offshore areas and ecosystems, including the offshore seagrass and coral reef, estimated at lower risk from river plume water</w:t>
      </w:r>
      <w:r w:rsidR="00876812">
        <w:rPr>
          <w:rFonts w:ascii="Calibri" w:eastAsia="Calibri" w:hAnsi="Calibri" w:cs="Times New Roman"/>
          <w:lang w:eastAsia="en-US"/>
        </w:rPr>
        <w:t xml:space="preserve"> </w:t>
      </w:r>
      <w:r w:rsidR="00876812">
        <w:t>(potential river plume risk categories I and II)</w:t>
      </w:r>
      <w:r w:rsidR="00CF0671" w:rsidRPr="00CF0671">
        <w:rPr>
          <w:rFonts w:ascii="Calibri" w:eastAsia="Calibri" w:hAnsi="Calibri" w:cs="Times New Roman"/>
          <w:lang w:eastAsia="en-US"/>
        </w:rPr>
        <w:t>.</w:t>
      </w:r>
      <w:r w:rsidR="00876812">
        <w:rPr>
          <w:rFonts w:ascii="Calibri" w:eastAsia="Calibri" w:hAnsi="Calibri" w:cs="Times New Roman"/>
          <w:lang w:eastAsia="en-US"/>
        </w:rPr>
        <w:t xml:space="preserve"> </w:t>
      </w:r>
      <w:r w:rsidR="00CF0671" w:rsidRPr="00CF0671">
        <w:rPr>
          <w:rFonts w:ascii="Calibri" w:eastAsia="Calibri" w:hAnsi="Calibri" w:cs="Times New Roman"/>
          <w:lang w:eastAsia="en-US"/>
        </w:rPr>
        <w:t xml:space="preserve">From the </w:t>
      </w:r>
      <w:r w:rsidR="005006CE">
        <w:rPr>
          <w:rFonts w:ascii="Calibri" w:eastAsia="Calibri" w:hAnsi="Calibri" w:cs="Times New Roman"/>
          <w:lang w:eastAsia="en-US"/>
        </w:rPr>
        <w:t>2013-2014</w:t>
      </w:r>
      <w:r w:rsidR="00CF0671" w:rsidRPr="00CF0671">
        <w:rPr>
          <w:rFonts w:ascii="Calibri" w:eastAsia="Calibri" w:hAnsi="Calibri" w:cs="Times New Roman"/>
          <w:lang w:eastAsia="en-US"/>
        </w:rPr>
        <w:t xml:space="preserve"> plume frequency maps and potential risk map, it was estimated that the total GBR area exposed to river plume waters was 18</w:t>
      </w:r>
      <w:r w:rsidR="00876812">
        <w:rPr>
          <w:rFonts w:ascii="Calibri" w:eastAsia="Calibri" w:hAnsi="Calibri" w:cs="Times New Roman"/>
          <w:lang w:eastAsia="en-US"/>
        </w:rPr>
        <w:t>,</w:t>
      </w:r>
      <w:r w:rsidR="00CF0671" w:rsidRPr="00CF0671">
        <w:rPr>
          <w:rFonts w:ascii="Calibri" w:eastAsia="Calibri" w:hAnsi="Calibri" w:cs="Times New Roman"/>
          <w:lang w:eastAsia="en-US"/>
        </w:rPr>
        <w:t>2952 km</w:t>
      </w:r>
      <w:r w:rsidR="00CF0671" w:rsidRPr="002A68F3">
        <w:rPr>
          <w:rFonts w:ascii="Calibri" w:eastAsia="Calibri" w:hAnsi="Calibri" w:cs="Times New Roman"/>
          <w:vertAlign w:val="superscript"/>
          <w:lang w:eastAsia="en-US"/>
        </w:rPr>
        <w:t xml:space="preserve">2 </w:t>
      </w:r>
      <w:r w:rsidR="00CF0671" w:rsidRPr="00CF0671">
        <w:rPr>
          <w:rFonts w:ascii="Calibri" w:eastAsia="Calibri" w:hAnsi="Calibri" w:cs="Times New Roman"/>
          <w:lang w:eastAsia="en-US"/>
        </w:rPr>
        <w:t xml:space="preserve">i.e., 52% of the GBR. </w:t>
      </w:r>
      <w:r w:rsidR="00876812" w:rsidRPr="00876812">
        <w:rPr>
          <w:rFonts w:ascii="Calibri" w:eastAsia="Calibri" w:hAnsi="Calibri" w:cs="Times New Roman"/>
          <w:lang w:eastAsia="en-US"/>
        </w:rPr>
        <w:t>NRM areas exposed to river plume ranged from 11,680 km</w:t>
      </w:r>
      <w:r w:rsidR="00876812" w:rsidRPr="002A68F3">
        <w:rPr>
          <w:rFonts w:ascii="Calibri" w:eastAsia="Calibri" w:hAnsi="Calibri" w:cs="Times New Roman"/>
          <w:vertAlign w:val="superscript"/>
          <w:lang w:eastAsia="en-US"/>
        </w:rPr>
        <w:t>2</w:t>
      </w:r>
      <w:r w:rsidR="00876812" w:rsidRPr="00876812">
        <w:rPr>
          <w:rFonts w:ascii="Calibri" w:eastAsia="Calibri" w:hAnsi="Calibri" w:cs="Times New Roman"/>
          <w:lang w:eastAsia="en-US"/>
        </w:rPr>
        <w:t xml:space="preserve"> (31 %) in the Burnett-Mary NRM to 53,893 km</w:t>
      </w:r>
      <w:r w:rsidR="00876812" w:rsidRPr="002A68F3">
        <w:rPr>
          <w:rFonts w:ascii="Calibri" w:eastAsia="Calibri" w:hAnsi="Calibri" w:cs="Times New Roman"/>
          <w:vertAlign w:val="superscript"/>
          <w:lang w:eastAsia="en-US"/>
        </w:rPr>
        <w:t>2</w:t>
      </w:r>
      <w:r w:rsidR="00876812" w:rsidRPr="00876812">
        <w:rPr>
          <w:rFonts w:ascii="Calibri" w:eastAsia="Calibri" w:hAnsi="Calibri" w:cs="Times New Roman"/>
          <w:lang w:eastAsia="en-US"/>
        </w:rPr>
        <w:t xml:space="preserve"> (56 %) in Cape York NRM and 42,587 km</w:t>
      </w:r>
      <w:r w:rsidR="00876812" w:rsidRPr="002A68F3">
        <w:rPr>
          <w:rFonts w:ascii="Calibri" w:eastAsia="Calibri" w:hAnsi="Calibri" w:cs="Times New Roman"/>
          <w:vertAlign w:val="superscript"/>
          <w:lang w:eastAsia="en-US"/>
        </w:rPr>
        <w:t>2</w:t>
      </w:r>
      <w:r w:rsidR="00876812" w:rsidRPr="00876812">
        <w:rPr>
          <w:rFonts w:ascii="Calibri" w:eastAsia="Calibri" w:hAnsi="Calibri" w:cs="Times New Roman"/>
          <w:lang w:eastAsia="en-US"/>
        </w:rPr>
        <w:t xml:space="preserve"> (49%) in the Fitzroy NRM</w:t>
      </w:r>
      <w:r w:rsidR="00CF0671" w:rsidRPr="00CF0671">
        <w:rPr>
          <w:rFonts w:ascii="Calibri" w:eastAsia="Calibri" w:hAnsi="Calibri" w:cs="Times New Roman"/>
          <w:lang w:eastAsia="en-US"/>
        </w:rPr>
        <w:t xml:space="preserve">. </w:t>
      </w:r>
      <w:r w:rsidR="00876812" w:rsidRPr="00876812">
        <w:rPr>
          <w:rFonts w:ascii="Calibri" w:eastAsia="Calibri" w:hAnsi="Calibri" w:cs="Times New Roman"/>
          <w:lang w:eastAsia="en-US"/>
        </w:rPr>
        <w:t>Areas under the highest potential risk categories (III and IV) from the river plumes were</w:t>
      </w:r>
      <w:r w:rsidR="00876812">
        <w:rPr>
          <w:rFonts w:ascii="Calibri" w:eastAsia="Calibri" w:hAnsi="Calibri" w:cs="Times New Roman"/>
          <w:lang w:eastAsia="en-US"/>
        </w:rPr>
        <w:t>, however,</w:t>
      </w:r>
      <w:r w:rsidR="00876812" w:rsidRPr="00876812">
        <w:rPr>
          <w:rFonts w:ascii="Calibri" w:eastAsia="Calibri" w:hAnsi="Calibri" w:cs="Times New Roman"/>
          <w:lang w:eastAsia="en-US"/>
        </w:rPr>
        <w:t xml:space="preserve"> much lower with 26,550 km2 (8 %) of the GBR, 656 (2%) of the Burnett-Mary and 4,013 km</w:t>
      </w:r>
      <w:r w:rsidR="00876812" w:rsidRPr="00925C94">
        <w:rPr>
          <w:rFonts w:ascii="Calibri" w:eastAsia="Calibri" w:hAnsi="Calibri" w:cs="Times New Roman"/>
          <w:vertAlign w:val="superscript"/>
          <w:lang w:eastAsia="en-US"/>
        </w:rPr>
        <w:t>2</w:t>
      </w:r>
      <w:r w:rsidR="00876812" w:rsidRPr="00876812">
        <w:rPr>
          <w:rFonts w:ascii="Calibri" w:eastAsia="Calibri" w:hAnsi="Calibri" w:cs="Times New Roman"/>
          <w:lang w:eastAsia="en-US"/>
        </w:rPr>
        <w:t xml:space="preserve"> (4 %) and 7,687 km</w:t>
      </w:r>
      <w:r w:rsidR="00876812" w:rsidRPr="00925C94">
        <w:rPr>
          <w:rFonts w:ascii="Calibri" w:eastAsia="Calibri" w:hAnsi="Calibri" w:cs="Times New Roman"/>
          <w:vertAlign w:val="superscript"/>
          <w:lang w:eastAsia="en-US"/>
        </w:rPr>
        <w:t>2</w:t>
      </w:r>
      <w:r w:rsidR="00876812" w:rsidRPr="00876812">
        <w:rPr>
          <w:rFonts w:ascii="Calibri" w:eastAsia="Calibri" w:hAnsi="Calibri" w:cs="Times New Roman"/>
          <w:lang w:eastAsia="en-US"/>
        </w:rPr>
        <w:t xml:space="preserve"> (9%) in the Cape York and Fitzroy NRM regions, respectively.</w:t>
      </w:r>
    </w:p>
    <w:p w14:paraId="6E1AD447" w14:textId="2E4FBAAB" w:rsidR="00CF0671" w:rsidRDefault="00CF0671" w:rsidP="00CF0671">
      <w:pPr>
        <w:rPr>
          <w:rFonts w:ascii="Calibri" w:eastAsia="Calibri" w:hAnsi="Calibri" w:cs="Times New Roman"/>
          <w:lang w:eastAsia="en-US"/>
        </w:rPr>
      </w:pPr>
      <w:r w:rsidRPr="00CF0671">
        <w:rPr>
          <w:rFonts w:ascii="Calibri" w:eastAsia="Calibri" w:hAnsi="Calibri" w:cs="Times New Roman"/>
          <w:lang w:eastAsia="en-US"/>
        </w:rPr>
        <w:t>About twenty percent (Fitzroy and Mackay-Whitsundays NRM regions) to 90% (Cape York and Wet Tropics NRM regions) of the coral reefs were exposed to river plumes. The Mackay-Whitsundays and Fitzroy reefs experienced the highest potential risk (category III) from river plume exposure (203 km</w:t>
      </w:r>
      <w:r w:rsidRPr="002A68F3">
        <w:rPr>
          <w:rFonts w:ascii="Calibri" w:eastAsia="Calibri" w:hAnsi="Calibri" w:cs="Times New Roman"/>
          <w:vertAlign w:val="superscript"/>
          <w:lang w:eastAsia="en-US"/>
        </w:rPr>
        <w:t>2</w:t>
      </w:r>
      <w:r w:rsidRPr="00CF0671">
        <w:rPr>
          <w:rFonts w:ascii="Calibri" w:eastAsia="Calibri" w:hAnsi="Calibri" w:cs="Times New Roman"/>
          <w:lang w:eastAsia="en-US"/>
        </w:rPr>
        <w:t xml:space="preserve"> or 6% and 124 or 3 %, respectively), but nearly no reefs were exposed to the potential risk category IV (</w:t>
      </w:r>
      <w:r w:rsidR="00876812">
        <w:rPr>
          <w:rFonts w:ascii="Calibri" w:eastAsia="Calibri" w:hAnsi="Calibri" w:cs="Times New Roman"/>
          <w:lang w:eastAsia="en-US"/>
        </w:rPr>
        <w:t>&lt;</w:t>
      </w:r>
      <w:r w:rsidRPr="00CF0671">
        <w:rPr>
          <w:rFonts w:ascii="Calibri" w:eastAsia="Calibri" w:hAnsi="Calibri" w:cs="Times New Roman"/>
          <w:lang w:eastAsia="en-US"/>
        </w:rPr>
        <w:t>1% of the GBR reefs).</w:t>
      </w:r>
      <w:r w:rsidR="00876812">
        <w:rPr>
          <w:rFonts w:ascii="Calibri" w:eastAsia="Calibri" w:hAnsi="Calibri" w:cs="Times New Roman"/>
          <w:lang w:eastAsia="en-US"/>
        </w:rPr>
        <w:t xml:space="preserve"> </w:t>
      </w:r>
      <w:r w:rsidRPr="00CF0671">
        <w:rPr>
          <w:rFonts w:ascii="Calibri" w:eastAsia="Calibri" w:hAnsi="Calibri" w:cs="Times New Roman"/>
          <w:lang w:eastAsia="en-US"/>
        </w:rPr>
        <w:t>Eighty three percent (Wet Tropics NRM) to 100% (Cape York NRM) of the coastal seagrass beds were exposed to river plumes. The Cape York, Burdekin and Fitzroy reefs experienced the highest potential risk (category III and IV) from river plume exposure (1228 km</w:t>
      </w:r>
      <w:r w:rsidRPr="002A68F3">
        <w:rPr>
          <w:rFonts w:ascii="Calibri" w:eastAsia="Calibri" w:hAnsi="Calibri" w:cs="Times New Roman"/>
          <w:vertAlign w:val="superscript"/>
          <w:lang w:eastAsia="en-US"/>
        </w:rPr>
        <w:t>2</w:t>
      </w:r>
      <w:r w:rsidRPr="00CF0671">
        <w:rPr>
          <w:rFonts w:ascii="Calibri" w:eastAsia="Calibri" w:hAnsi="Calibri" w:cs="Times New Roman"/>
          <w:lang w:eastAsia="en-US"/>
        </w:rPr>
        <w:t xml:space="preserve"> or 50%, 530 km</w:t>
      </w:r>
      <w:r w:rsidRPr="002A68F3">
        <w:rPr>
          <w:rFonts w:ascii="Calibri" w:eastAsia="Calibri" w:hAnsi="Calibri" w:cs="Times New Roman"/>
          <w:vertAlign w:val="superscript"/>
          <w:lang w:eastAsia="en-US"/>
        </w:rPr>
        <w:t>2</w:t>
      </w:r>
      <w:r w:rsidRPr="00CF0671">
        <w:rPr>
          <w:rFonts w:ascii="Calibri" w:eastAsia="Calibri" w:hAnsi="Calibri" w:cs="Times New Roman"/>
          <w:lang w:eastAsia="en-US"/>
        </w:rPr>
        <w:t xml:space="preserve"> or 85% and 236 km</w:t>
      </w:r>
      <w:r w:rsidRPr="002A68F3">
        <w:rPr>
          <w:rFonts w:ascii="Calibri" w:eastAsia="Calibri" w:hAnsi="Calibri" w:cs="Times New Roman"/>
          <w:vertAlign w:val="superscript"/>
          <w:lang w:eastAsia="en-US"/>
        </w:rPr>
        <w:t>2</w:t>
      </w:r>
      <w:r w:rsidRPr="00CF0671">
        <w:rPr>
          <w:rFonts w:ascii="Calibri" w:eastAsia="Calibri" w:hAnsi="Calibri" w:cs="Times New Roman"/>
          <w:lang w:eastAsia="en-US"/>
        </w:rPr>
        <w:t xml:space="preserve"> or 95 %, respectively). Nearly 100% of offshores seagrasses areas were exposed to river plumes in all NRM, except in the Burnett-Mary were meadows exposed were about 79% (4</w:t>
      </w:r>
      <w:r w:rsidR="002A68F3">
        <w:rPr>
          <w:rFonts w:ascii="Calibri" w:eastAsia="Calibri" w:hAnsi="Calibri" w:cs="Times New Roman"/>
          <w:lang w:eastAsia="en-US"/>
        </w:rPr>
        <w:t>,</w:t>
      </w:r>
      <w:r w:rsidRPr="00CF0671">
        <w:rPr>
          <w:rFonts w:ascii="Calibri" w:eastAsia="Calibri" w:hAnsi="Calibri" w:cs="Times New Roman"/>
          <w:lang w:eastAsia="en-US"/>
        </w:rPr>
        <w:t>979 km</w:t>
      </w:r>
      <w:r w:rsidRPr="002A68F3">
        <w:rPr>
          <w:rFonts w:ascii="Calibri" w:eastAsia="Calibri" w:hAnsi="Calibri" w:cs="Times New Roman"/>
          <w:vertAlign w:val="superscript"/>
          <w:lang w:eastAsia="en-US"/>
        </w:rPr>
        <w:t>2</w:t>
      </w:r>
      <w:r w:rsidRPr="00CF0671">
        <w:rPr>
          <w:rFonts w:ascii="Calibri" w:eastAsia="Calibri" w:hAnsi="Calibri" w:cs="Times New Roman"/>
          <w:lang w:eastAsia="en-US"/>
        </w:rPr>
        <w:t>) out of the total local meadows.</w:t>
      </w:r>
      <w:r w:rsidR="00F76E93">
        <w:rPr>
          <w:rFonts w:ascii="Calibri" w:eastAsia="Calibri" w:hAnsi="Calibri" w:cs="Times New Roman"/>
          <w:lang w:eastAsia="en-US"/>
        </w:rPr>
        <w:t xml:space="preserve"> </w:t>
      </w:r>
      <w:r w:rsidRPr="00CF0671">
        <w:rPr>
          <w:rFonts w:ascii="Calibri" w:eastAsia="Calibri" w:hAnsi="Calibri" w:cs="Times New Roman"/>
          <w:lang w:eastAsia="en-US"/>
        </w:rPr>
        <w:t>Offshore seagrasses of the Fitzroy and Mackay-Whitsundays NRM experienced the highest potential risk from river plume exposure (282 km</w:t>
      </w:r>
      <w:r w:rsidRPr="002A68F3">
        <w:rPr>
          <w:rFonts w:ascii="Calibri" w:eastAsia="Calibri" w:hAnsi="Calibri" w:cs="Times New Roman"/>
          <w:vertAlign w:val="superscript"/>
          <w:lang w:eastAsia="en-US"/>
        </w:rPr>
        <w:t>2</w:t>
      </w:r>
      <w:r w:rsidRPr="00CF0671">
        <w:rPr>
          <w:rFonts w:ascii="Calibri" w:eastAsia="Calibri" w:hAnsi="Calibri" w:cs="Times New Roman"/>
          <w:lang w:eastAsia="en-US"/>
        </w:rPr>
        <w:t xml:space="preserve"> or 7% and 122 </w:t>
      </w:r>
      <w:r w:rsidR="002A68F3" w:rsidRPr="00CF0671">
        <w:rPr>
          <w:rFonts w:ascii="Calibri" w:eastAsia="Calibri" w:hAnsi="Calibri" w:cs="Times New Roman"/>
          <w:lang w:eastAsia="en-US"/>
        </w:rPr>
        <w:t>km</w:t>
      </w:r>
      <w:r w:rsidR="002A68F3" w:rsidRPr="002A68F3">
        <w:rPr>
          <w:rFonts w:ascii="Calibri" w:eastAsia="Calibri" w:hAnsi="Calibri" w:cs="Times New Roman"/>
          <w:vertAlign w:val="superscript"/>
          <w:lang w:eastAsia="en-US"/>
        </w:rPr>
        <w:t>2</w:t>
      </w:r>
      <w:r w:rsidRPr="00CF0671">
        <w:rPr>
          <w:rFonts w:ascii="Calibri" w:eastAsia="Calibri" w:hAnsi="Calibri" w:cs="Times New Roman"/>
          <w:lang w:eastAsia="en-US"/>
        </w:rPr>
        <w:t>or 55 %, respectively, under risk categories III).  Finally, the Cape York (1405 km2 or 12%), Burdekin (530 km</w:t>
      </w:r>
      <w:r w:rsidRPr="00876812">
        <w:rPr>
          <w:rFonts w:ascii="Calibri" w:eastAsia="Calibri" w:hAnsi="Calibri" w:cs="Times New Roman"/>
          <w:vertAlign w:val="superscript"/>
          <w:lang w:eastAsia="en-US"/>
        </w:rPr>
        <w:t>2</w:t>
      </w:r>
      <w:r w:rsidRPr="00CF0671">
        <w:rPr>
          <w:rFonts w:ascii="Calibri" w:eastAsia="Calibri" w:hAnsi="Calibri" w:cs="Times New Roman"/>
          <w:lang w:eastAsia="en-US"/>
        </w:rPr>
        <w:t xml:space="preserve"> or 9%) and Fitzroy (518 km</w:t>
      </w:r>
      <w:r w:rsidRPr="00876812">
        <w:rPr>
          <w:rFonts w:ascii="Calibri" w:eastAsia="Calibri" w:hAnsi="Calibri" w:cs="Times New Roman"/>
          <w:vertAlign w:val="superscript"/>
          <w:lang w:eastAsia="en-US"/>
        </w:rPr>
        <w:t>2</w:t>
      </w:r>
      <w:r w:rsidRPr="00CF0671">
        <w:rPr>
          <w:rFonts w:ascii="Calibri" w:eastAsia="Calibri" w:hAnsi="Calibri" w:cs="Times New Roman"/>
          <w:lang w:eastAsia="en-US"/>
        </w:rPr>
        <w:t xml:space="preserve"> or 9%) NRM regions had the largest total seagrass areas estimated under risk categories III and IV from river plume exposure. </w:t>
      </w:r>
      <w:r w:rsidR="00876812" w:rsidRPr="00724A30">
        <w:t>However it is in the Mackay-Whitsundays that the highest percentage (73% corresponding to 328 km</w:t>
      </w:r>
      <w:r w:rsidR="00876812" w:rsidRPr="00724A30">
        <w:rPr>
          <w:vertAlign w:val="superscript"/>
        </w:rPr>
        <w:t>2</w:t>
      </w:r>
      <w:r w:rsidR="00876812" w:rsidRPr="00724A30">
        <w:t>) was recorded.</w:t>
      </w:r>
    </w:p>
    <w:p w14:paraId="164E9484" w14:textId="77777777" w:rsidR="00CF0671" w:rsidRDefault="00CF0671" w:rsidP="0065493C">
      <w:r w:rsidRPr="00DF1C49">
        <w:t>River plume models</w:t>
      </w:r>
      <w:r>
        <w:t xml:space="preserve"> help</w:t>
      </w:r>
      <w:r w:rsidRPr="00DF1C49">
        <w:t xml:space="preserve"> </w:t>
      </w:r>
      <w:r>
        <w:t xml:space="preserve">mapping </w:t>
      </w:r>
      <w:r w:rsidRPr="00DF1C49">
        <w:t>areas which may experience acute or chronic high exposure to river plumes and associated land-</w:t>
      </w:r>
      <w:r>
        <w:t>sourced</w:t>
      </w:r>
      <w:r w:rsidRPr="00DF1C49">
        <w:t xml:space="preserve"> pollutants</w:t>
      </w:r>
      <w:r>
        <w:t>, including sediments, nutrients and pesticides.</w:t>
      </w:r>
      <w:r>
        <w:rPr>
          <w:rStyle w:val="CommentReference"/>
        </w:rPr>
        <w:t xml:space="preserve"> </w:t>
      </w:r>
      <w:r w:rsidRPr="00DF1C49">
        <w:t xml:space="preserve"> Knowledge of the areas and the type of ecosystem that is the most likely to be impacted by </w:t>
      </w:r>
      <w:r>
        <w:t>degraded</w:t>
      </w:r>
      <w:r w:rsidRPr="00DF1C49">
        <w:t xml:space="preserve"> WQ</w:t>
      </w:r>
      <w:r>
        <w:t xml:space="preserve"> through river plume exposure</w:t>
      </w:r>
      <w:r w:rsidRPr="00DF1C49">
        <w:t xml:space="preserve"> help focus our understanding on what type of ecological impacts are occurring to those ecosystems and help marine, coastal and catchment management. </w:t>
      </w:r>
      <w:r w:rsidRPr="001769AB">
        <w:t xml:space="preserve">As part of our efforts for the MMP in </w:t>
      </w:r>
      <w:r w:rsidR="005006CE">
        <w:t>2013-2014</w:t>
      </w:r>
      <w:r w:rsidRPr="001769AB">
        <w:t xml:space="preserve">, we have undertaken a number of important steps to improve our capacity to identify and monitor the level of exposure of GBR coral reefs and seagrass meadows to river plumes and land-sourced contaminants during the wet season. These steps include the </w:t>
      </w:r>
      <w:r>
        <w:t>application</w:t>
      </w:r>
      <w:r w:rsidRPr="001769AB">
        <w:t xml:space="preserve"> of innovative </w:t>
      </w:r>
      <w:r w:rsidRPr="00F26A41">
        <w:t>remote sensing</w:t>
      </w:r>
      <w:r w:rsidRPr="001769AB">
        <w:t xml:space="preserve"> methods, the production of synoptic maps describing the spatial and temporal movements of GBR river plumes</w:t>
      </w:r>
      <w:r>
        <w:t xml:space="preserve">. </w:t>
      </w:r>
      <w:r w:rsidRPr="001769AB">
        <w:t xml:space="preserve"> </w:t>
      </w:r>
      <w:r>
        <w:t>We also improved our understanding</w:t>
      </w:r>
      <w:r w:rsidRPr="001769AB">
        <w:t xml:space="preserve"> of the potential of using MODIS-derived products to assess the risk of GBR ecosystems </w:t>
      </w:r>
      <w:r>
        <w:t>from river plume exposure.</w:t>
      </w:r>
    </w:p>
    <w:p w14:paraId="5FA45502" w14:textId="3EB6D996" w:rsidR="00CF0671" w:rsidRDefault="00CF0671" w:rsidP="00CF0671">
      <w:pPr>
        <w:rPr>
          <w:rFonts w:ascii="Calibri" w:eastAsia="Calibri" w:hAnsi="Calibri" w:cs="Calibri"/>
        </w:rPr>
      </w:pPr>
      <w:r w:rsidRPr="00DF1C49">
        <w:rPr>
          <w:rFonts w:ascii="Calibri" w:eastAsia="Calibri" w:hAnsi="Calibri" w:cs="Calibri"/>
        </w:rPr>
        <w:t>It should nevertheless be emphasi</w:t>
      </w:r>
      <w:r w:rsidR="00554012">
        <w:rPr>
          <w:rFonts w:ascii="Calibri" w:eastAsia="Calibri" w:hAnsi="Calibri" w:cs="Calibri"/>
        </w:rPr>
        <w:t>s</w:t>
      </w:r>
      <w:r w:rsidRPr="00DF1C49">
        <w:rPr>
          <w:rFonts w:ascii="Calibri" w:eastAsia="Calibri" w:hAnsi="Calibri" w:cs="Calibri"/>
        </w:rPr>
        <w:t xml:space="preserve">ed the mapping of exposure and water types; and thus of the final river plume risk; is depend on the availability of MODIS images. Number of MODIS cloud free images available for a specific study area is, in general, inversely proportional to the local river discharge conditions (Petus et al., 2014). Strong river discharge rates are associated with stormy/cyclonic conditions and characterised by high rainfall rates and high cloud coverage. This cloud contamination prevents ocean colour observations (TC method allow to map river plumes and plume water types only under light cloud cover) and to map GBR River plumes through MODIS images. Inversely, a greater availability of satellite information due to a less frequent cloud cover </w:t>
      </w:r>
      <w:r>
        <w:rPr>
          <w:rFonts w:ascii="Calibri" w:eastAsia="Calibri" w:hAnsi="Calibri" w:cs="Calibri"/>
        </w:rPr>
        <w:t xml:space="preserve">can results in mapping relatively higher frequency of occurrence of river plume. </w:t>
      </w:r>
    </w:p>
    <w:p w14:paraId="2B74A326" w14:textId="173F5ABE" w:rsidR="00131E41" w:rsidRPr="007B0091" w:rsidRDefault="00131E41" w:rsidP="00B46AF9">
      <w:pPr>
        <w:pStyle w:val="Heading2"/>
        <w:numPr>
          <w:ilvl w:val="1"/>
          <w:numId w:val="3"/>
        </w:numPr>
      </w:pPr>
      <w:bookmarkStart w:id="344" w:name="_Toc427831230"/>
      <w:bookmarkStart w:id="345" w:name="_Toc428793361"/>
      <w:bookmarkStart w:id="346" w:name="_Toc428851366"/>
      <w:bookmarkStart w:id="347" w:name="_Toc443299505"/>
      <w:bookmarkStart w:id="348" w:name="_Toc443299718"/>
      <w:bookmarkStart w:id="349" w:name="_Toc454304734"/>
      <w:r w:rsidRPr="007B0091">
        <w:t>Toward</w:t>
      </w:r>
      <w:r w:rsidR="008C3B95">
        <w:t>s</w:t>
      </w:r>
      <w:r w:rsidRPr="007B0091">
        <w:t xml:space="preserve"> the production of river plume risk maps for the GBR ecosystems</w:t>
      </w:r>
      <w:bookmarkEnd w:id="344"/>
      <w:bookmarkEnd w:id="345"/>
      <w:bookmarkEnd w:id="346"/>
      <w:bookmarkEnd w:id="347"/>
      <w:bookmarkEnd w:id="348"/>
      <w:bookmarkEnd w:id="349"/>
    </w:p>
    <w:p w14:paraId="34A3A3C6" w14:textId="77777777" w:rsidR="00CF0671" w:rsidRPr="00CF0671" w:rsidRDefault="00876812" w:rsidP="00CF0671">
      <w:pPr>
        <w:rPr>
          <w:rFonts w:ascii="Calibri" w:eastAsia="Calibri" w:hAnsi="Calibri" w:cs="Calibri"/>
          <w:lang w:eastAsia="en-US"/>
        </w:rPr>
      </w:pPr>
      <w:r>
        <w:rPr>
          <w:rFonts w:ascii="Calibri" w:eastAsia="Calibri" w:hAnsi="Calibri" w:cs="Calibri"/>
          <w:lang w:eastAsia="en-US"/>
        </w:rPr>
        <w:t>A</w:t>
      </w:r>
      <w:r w:rsidR="00CF0671" w:rsidRPr="00CF0671">
        <w:rPr>
          <w:rFonts w:ascii="Calibri" w:eastAsia="Calibri" w:hAnsi="Calibri" w:cs="Calibri"/>
          <w:lang w:eastAsia="en-US"/>
        </w:rPr>
        <w:t xml:space="preserve"> simplified risk framework</w:t>
      </w:r>
      <w:r>
        <w:rPr>
          <w:rFonts w:ascii="Calibri" w:eastAsia="Calibri" w:hAnsi="Calibri" w:cs="Calibri"/>
          <w:lang w:eastAsia="en-US"/>
        </w:rPr>
        <w:t xml:space="preserve"> was</w:t>
      </w:r>
      <w:r w:rsidR="00CF0671" w:rsidRPr="00CF0671">
        <w:rPr>
          <w:rFonts w:ascii="Calibri" w:eastAsia="Calibri" w:hAnsi="Calibri" w:cs="Calibri"/>
          <w:lang w:eastAsia="en-US"/>
        </w:rPr>
        <w:t xml:space="preserve"> proposed in Petus et al. (2014b)</w:t>
      </w:r>
      <w:r>
        <w:rPr>
          <w:rFonts w:ascii="Calibri" w:eastAsia="Calibri" w:hAnsi="Calibri" w:cs="Calibri"/>
          <w:lang w:eastAsia="en-US"/>
        </w:rPr>
        <w:t xml:space="preserve"> and</w:t>
      </w:r>
      <w:r w:rsidR="00CF0671" w:rsidRPr="00CF0671">
        <w:rPr>
          <w:rFonts w:ascii="Calibri" w:eastAsia="Calibri" w:hAnsi="Calibri" w:cs="Calibri"/>
          <w:lang w:eastAsia="en-US"/>
        </w:rPr>
        <w:t xml:space="preserve"> </w:t>
      </w:r>
      <w:r>
        <w:rPr>
          <w:rFonts w:ascii="Calibri" w:eastAsia="Calibri" w:hAnsi="Calibri" w:cs="Calibri"/>
          <w:lang w:eastAsia="en-US"/>
        </w:rPr>
        <w:t xml:space="preserve">used </w:t>
      </w:r>
      <w:r w:rsidR="00CF0671" w:rsidRPr="00CF0671">
        <w:rPr>
          <w:rFonts w:ascii="Calibri" w:eastAsia="Calibri" w:hAnsi="Calibri" w:cs="Calibri"/>
          <w:lang w:eastAsia="en-US"/>
        </w:rPr>
        <w:t>in</w:t>
      </w:r>
      <w:r>
        <w:rPr>
          <w:rFonts w:ascii="Calibri" w:eastAsia="Calibri" w:hAnsi="Calibri" w:cs="Calibri"/>
          <w:lang w:eastAsia="en-US"/>
        </w:rPr>
        <w:t xml:space="preserve"> the</w:t>
      </w:r>
      <w:r w:rsidR="00CF0671" w:rsidRPr="00CF0671">
        <w:rPr>
          <w:rFonts w:ascii="Calibri" w:eastAsia="Calibri" w:hAnsi="Calibri" w:cs="Calibri"/>
          <w:lang w:eastAsia="en-US"/>
        </w:rPr>
        <w:t xml:space="preserve"> last year MMP report to produce potential risk maps (seasonal) for the GBR ecosystems from river plume exposure. The term ‘potential’ was used as the simplified risk framework proposed was not validated against ecological health data and the need to refine the scoring system of the risk framework based on information on long term WQ in and across river plumes, as well as measured health impacts on ecosystem health during high flow periods was underlined in Devlin et al. (in Press). In this year report we have mainly worked toward a better understanding of the averaged WQ concentrations across the plume water types.</w:t>
      </w:r>
    </w:p>
    <w:p w14:paraId="04CEBAE6" w14:textId="77777777" w:rsidR="00CF0671" w:rsidRPr="00CF0671" w:rsidRDefault="00CF0671" w:rsidP="00CF0671">
      <w:pPr>
        <w:rPr>
          <w:rFonts w:ascii="Calibri" w:eastAsia="Calibri" w:hAnsi="Calibri" w:cs="Calibri"/>
          <w:lang w:eastAsia="en-US"/>
        </w:rPr>
      </w:pPr>
      <w:r w:rsidRPr="00CF0671">
        <w:rPr>
          <w:rFonts w:ascii="Calibri" w:eastAsia="Calibri" w:hAnsi="Calibri" w:cs="Calibri"/>
          <w:lang w:eastAsia="en-US"/>
        </w:rPr>
        <w:t>Comparisons between weekly plume water type composites and in-situ physical and water quality measurements collected during the wet seasons 2007 to 2013 as part of the GBR Marine Monitoring Program were performed and the mean WQ concentration (± standard deviation) calculated across plume water types and in the marine ambient. Results showed that:</w:t>
      </w:r>
    </w:p>
    <w:p w14:paraId="09E4C67A" w14:textId="77777777" w:rsidR="00CF0671" w:rsidRPr="008C3B95" w:rsidRDefault="00CF0671" w:rsidP="008C3B95">
      <w:pPr>
        <w:pStyle w:val="ListParagraph"/>
        <w:numPr>
          <w:ilvl w:val="0"/>
          <w:numId w:val="36"/>
        </w:numPr>
        <w:spacing w:before="0" w:after="120"/>
        <w:ind w:left="714" w:hanging="357"/>
        <w:contextualSpacing w:val="0"/>
        <w:rPr>
          <w:rFonts w:eastAsia="Calibri"/>
          <w:lang w:eastAsia="en-US"/>
        </w:rPr>
      </w:pPr>
      <w:r w:rsidRPr="008C3B95">
        <w:rPr>
          <w:rFonts w:eastAsia="Calibri"/>
          <w:lang w:eastAsia="en-US"/>
        </w:rPr>
        <w:t>Most of WQ parameters including Kd(PAR), TSS DIN and DIP, followed published trends i.e., increasing values from the Tertiary;  to the Secondary; to the Primary plume water type.</w:t>
      </w:r>
    </w:p>
    <w:p w14:paraId="289EDD49" w14:textId="10345105" w:rsidR="00CF0671" w:rsidRPr="008C3B95" w:rsidRDefault="00CF0671" w:rsidP="008C3B95">
      <w:pPr>
        <w:pStyle w:val="ListParagraph"/>
        <w:numPr>
          <w:ilvl w:val="0"/>
          <w:numId w:val="36"/>
        </w:numPr>
        <w:spacing w:before="0" w:after="120"/>
        <w:ind w:left="714" w:hanging="357"/>
        <w:contextualSpacing w:val="0"/>
        <w:rPr>
          <w:rFonts w:eastAsia="Calibri"/>
          <w:lang w:eastAsia="en-US"/>
        </w:rPr>
      </w:pPr>
      <w:r w:rsidRPr="008C3B95">
        <w:rPr>
          <w:rFonts w:eastAsia="Calibri"/>
          <w:lang w:eastAsia="en-US"/>
        </w:rPr>
        <w:t>The TSS and DIP concentrations were higher in plume waters than in the marine ambient waters (very limited number of samples)</w:t>
      </w:r>
      <w:r w:rsidR="002A68F3" w:rsidRPr="008C3B95">
        <w:rPr>
          <w:rFonts w:eastAsia="Calibri"/>
          <w:lang w:eastAsia="en-US"/>
        </w:rPr>
        <w:t>.</w:t>
      </w:r>
    </w:p>
    <w:p w14:paraId="719BFE60" w14:textId="6758F6C7" w:rsidR="00CF0671" w:rsidRPr="008C3B95" w:rsidRDefault="00CF0671" w:rsidP="008C3B95">
      <w:pPr>
        <w:pStyle w:val="ListParagraph"/>
        <w:numPr>
          <w:ilvl w:val="0"/>
          <w:numId w:val="36"/>
        </w:numPr>
        <w:spacing w:before="0" w:after="120"/>
        <w:ind w:left="714" w:hanging="357"/>
        <w:contextualSpacing w:val="0"/>
        <w:rPr>
          <w:rFonts w:eastAsia="Calibri"/>
          <w:lang w:eastAsia="en-US"/>
        </w:rPr>
      </w:pPr>
      <w:r w:rsidRPr="008C3B95">
        <w:rPr>
          <w:rFonts w:eastAsia="Calibri"/>
          <w:lang w:eastAsia="en-US"/>
        </w:rPr>
        <w:t>If the magnitude of the risk from river plume is simply expressed as pollutant concentrations in plume waters, the magnitude of the potential risk from plume exposure increase from the tertiary to the primary water type, as assumed in the simplified risk framework</w:t>
      </w:r>
      <w:r w:rsidR="002A68F3" w:rsidRPr="008C3B95">
        <w:rPr>
          <w:rFonts w:eastAsia="Calibri"/>
          <w:lang w:eastAsia="en-US"/>
        </w:rPr>
        <w:t>.</w:t>
      </w:r>
    </w:p>
    <w:p w14:paraId="644ADADF" w14:textId="77777777" w:rsidR="00131E41" w:rsidRPr="007B0091" w:rsidRDefault="00131E41" w:rsidP="00B46AF9">
      <w:pPr>
        <w:pStyle w:val="Heading2"/>
        <w:numPr>
          <w:ilvl w:val="1"/>
          <w:numId w:val="3"/>
        </w:numPr>
      </w:pPr>
      <w:bookmarkStart w:id="350" w:name="_Toc427251560"/>
      <w:bookmarkStart w:id="351" w:name="_Toc427831232"/>
      <w:bookmarkStart w:id="352" w:name="_Toc428793363"/>
      <w:bookmarkStart w:id="353" w:name="_Toc428851368"/>
      <w:bookmarkStart w:id="354" w:name="_Toc443299506"/>
      <w:bookmarkStart w:id="355" w:name="_Toc443299719"/>
      <w:bookmarkStart w:id="356" w:name="_Toc454304735"/>
      <w:r w:rsidRPr="007B0091">
        <w:t>Inter-annual and averaged (</w:t>
      </w:r>
      <w:r w:rsidR="00876812" w:rsidRPr="007B0091">
        <w:t>8</w:t>
      </w:r>
      <w:r w:rsidRPr="007B0091">
        <w:t>-year) trends in the GBR</w:t>
      </w:r>
      <w:bookmarkEnd w:id="350"/>
      <w:bookmarkEnd w:id="351"/>
      <w:bookmarkEnd w:id="352"/>
      <w:bookmarkEnd w:id="353"/>
      <w:bookmarkEnd w:id="354"/>
      <w:bookmarkEnd w:id="355"/>
      <w:bookmarkEnd w:id="356"/>
    </w:p>
    <w:p w14:paraId="26BB835E" w14:textId="64BF75C7" w:rsidR="009C0BD4" w:rsidRPr="00FE18E3" w:rsidRDefault="009C0BD4" w:rsidP="009C0BD4">
      <w:r w:rsidRPr="00165B39">
        <w:t xml:space="preserve">Annual potential risk maps from river plume exposure were produced from 2006-07 to </w:t>
      </w:r>
      <w:r w:rsidR="005006CE">
        <w:t>2013-2014</w:t>
      </w:r>
      <w:r w:rsidRPr="00165B39">
        <w:t xml:space="preserve"> and GBR areas exposed to potential risk from river plume exposure were calculated and compared to the wet season GBR river discharge</w:t>
      </w:r>
      <w:r>
        <w:t>.</w:t>
      </w:r>
      <w:r w:rsidRPr="00165B39">
        <w:t xml:space="preserve"> </w:t>
      </w:r>
      <w:r>
        <w:t>S</w:t>
      </w:r>
      <w:r w:rsidRPr="00165B39">
        <w:t>urface areas of the GBR exposed to the highest potential risk categories from river plumes exposure (II, III and IV), areas ranged from 81,830 km² in 2011-</w:t>
      </w:r>
      <w:r w:rsidR="002A68F3">
        <w:t>20</w:t>
      </w:r>
      <w:r w:rsidRPr="00165B39">
        <w:t>12 to 121,024 km² in 2010-</w:t>
      </w:r>
      <w:r w:rsidR="002A68F3">
        <w:t>20</w:t>
      </w:r>
      <w:r w:rsidRPr="00165B39">
        <w:t xml:space="preserve">11 and 123,789 </w:t>
      </w:r>
      <w:r w:rsidR="002A68F3" w:rsidRPr="00165B39">
        <w:t>km²</w:t>
      </w:r>
      <w:r w:rsidR="002A68F3">
        <w:t xml:space="preserve"> </w:t>
      </w:r>
      <w:r w:rsidRPr="00165B39">
        <w:t xml:space="preserve">in </w:t>
      </w:r>
      <w:r w:rsidR="005006CE">
        <w:t>2013-2014</w:t>
      </w:r>
      <w:r w:rsidRPr="00165B39">
        <w:t>. There was a trend toward an increase of surface areas of the GBR (in km</w:t>
      </w:r>
      <w:r w:rsidRPr="002A68F3">
        <w:rPr>
          <w:vertAlign w:val="superscript"/>
        </w:rPr>
        <w:t>2</w:t>
      </w:r>
      <w:r w:rsidRPr="00165B39">
        <w:t>) exposed to the highest potential risk from river plume exposure (II, III and IV) and the wet season GBR river discharge</w:t>
      </w:r>
      <w:r>
        <w:t xml:space="preserve">, </w:t>
      </w:r>
      <w:r w:rsidRPr="00165B39">
        <w:t xml:space="preserve">but 2011-12 and </w:t>
      </w:r>
      <w:r w:rsidR="005006CE">
        <w:t>2013-2014</w:t>
      </w:r>
      <w:r w:rsidRPr="00165B39">
        <w:t xml:space="preserve"> were both outliers of the relationship</w:t>
      </w:r>
      <w:r>
        <w:t>. A</w:t>
      </w:r>
      <w:r w:rsidRPr="009C0BD4">
        <w:t xml:space="preserve"> greater availability of satellite information due to a less frequent cloud cover</w:t>
      </w:r>
      <w:r>
        <w:t xml:space="preserve"> in </w:t>
      </w:r>
      <w:r w:rsidR="005006CE">
        <w:t>2013-2014</w:t>
      </w:r>
      <w:r w:rsidRPr="009C0BD4">
        <w:t xml:space="preserve"> c</w:t>
      </w:r>
      <w:r>
        <w:t>ould have</w:t>
      </w:r>
      <w:r w:rsidRPr="009C0BD4">
        <w:t xml:space="preserve"> result</w:t>
      </w:r>
      <w:r>
        <w:t>ed</w:t>
      </w:r>
      <w:r w:rsidRPr="009C0BD4">
        <w:t xml:space="preserve"> in mapping relatively higher frequency of occurrence of river plume</w:t>
      </w:r>
      <w:r>
        <w:t xml:space="preserve"> during this wet season. </w:t>
      </w:r>
    </w:p>
    <w:p w14:paraId="02AB6546" w14:textId="65C4D715" w:rsidR="008F30B3" w:rsidRDefault="002A68F3" w:rsidP="008F30B3">
      <w:r>
        <w:t>M</w:t>
      </w:r>
      <w:r w:rsidR="008F30B3" w:rsidRPr="009C0BD4">
        <w:t>ultiannual potential risk map was calculated by electing the majority  risk value/pixels from the inter-annual risk maps produced Recalculating individual wet season risk maps to a long-term (8-year) map is useful to describe where potential risk conditions from river plume are</w:t>
      </w:r>
      <w:r w:rsidR="008F30B3" w:rsidRPr="009C0BD4">
        <w:rPr>
          <w:rFonts w:ascii="Calibri" w:eastAsia="Calibri" w:hAnsi="Calibri" w:cs="Times New Roman"/>
          <w:lang w:eastAsia="en-US"/>
        </w:rPr>
        <w:t xml:space="preserve"> </w:t>
      </w:r>
      <w:r w:rsidR="008F30B3">
        <w:rPr>
          <w:rFonts w:ascii="Calibri" w:eastAsia="Calibri" w:hAnsi="Calibri" w:cs="Times New Roman"/>
          <w:lang w:eastAsia="en-US"/>
        </w:rPr>
        <w:t>regularly encountered</w:t>
      </w:r>
      <w:r w:rsidR="008F30B3" w:rsidRPr="009C0BD4">
        <w:t>. From this multi-annual composite map, it was estimated that:</w:t>
      </w:r>
    </w:p>
    <w:p w14:paraId="0458E3C8" w14:textId="77777777" w:rsidR="008F30B3" w:rsidRPr="008C3B95" w:rsidRDefault="008F30B3" w:rsidP="008C3B95">
      <w:pPr>
        <w:pStyle w:val="ListParagraph"/>
        <w:numPr>
          <w:ilvl w:val="0"/>
          <w:numId w:val="36"/>
        </w:numPr>
        <w:spacing w:before="0" w:after="120"/>
        <w:ind w:left="714" w:hanging="357"/>
        <w:contextualSpacing w:val="0"/>
        <w:rPr>
          <w:rFonts w:eastAsia="Calibri"/>
          <w:lang w:eastAsia="en-US"/>
        </w:rPr>
      </w:pPr>
      <w:r w:rsidRPr="008C3B95">
        <w:rPr>
          <w:rFonts w:eastAsia="Calibri"/>
          <w:lang w:eastAsia="en-US"/>
        </w:rPr>
        <w:t xml:space="preserve">Coral reef areas under potential risk categories III and IV were greater in Mackay-Whitsunday &gt; Fitzroy &gt; Wet Tropics &gt; Burdekin &gt; Burnett-Mary NRM regions. </w:t>
      </w:r>
    </w:p>
    <w:p w14:paraId="61272FB8" w14:textId="77777777" w:rsidR="008F30B3" w:rsidRPr="008C3B95" w:rsidRDefault="008F30B3" w:rsidP="008C3B95">
      <w:pPr>
        <w:pStyle w:val="ListParagraph"/>
        <w:numPr>
          <w:ilvl w:val="0"/>
          <w:numId w:val="36"/>
        </w:numPr>
        <w:spacing w:before="0" w:after="120"/>
        <w:ind w:left="714" w:hanging="357"/>
        <w:contextualSpacing w:val="0"/>
        <w:rPr>
          <w:rFonts w:eastAsia="Calibri"/>
          <w:lang w:eastAsia="en-US"/>
        </w:rPr>
      </w:pPr>
      <w:r w:rsidRPr="008C3B95">
        <w:rPr>
          <w:rFonts w:eastAsia="Calibri"/>
          <w:lang w:eastAsia="en-US"/>
        </w:rPr>
        <w:t>Total seagrass areas under potential risk categories III and IV greater in Fitzroy &gt; Burdekin &gt; Mackay-Whitsunday &gt; Wet Tropics &gt; Burnett-Mary NRM regions.</w:t>
      </w:r>
    </w:p>
    <w:p w14:paraId="375EA24B" w14:textId="77777777" w:rsidR="009C0BD4" w:rsidRPr="00BE31E1" w:rsidRDefault="009C0BD4" w:rsidP="009C0BD4">
      <w:pPr>
        <w:rPr>
          <w:rStyle w:val="Heading20"/>
        </w:rPr>
      </w:pPr>
    </w:p>
    <w:p w14:paraId="4484D67C" w14:textId="77777777" w:rsidR="008E03E9" w:rsidRPr="007B0091" w:rsidRDefault="00131E41" w:rsidP="007B0091">
      <w:pPr>
        <w:pStyle w:val="Heading1"/>
        <w:numPr>
          <w:ilvl w:val="0"/>
          <w:numId w:val="3"/>
        </w:numPr>
        <w:spacing w:after="240" w:line="80" w:lineRule="atLeast"/>
        <w:rPr>
          <w:i/>
          <w:caps w:val="0"/>
        </w:rPr>
      </w:pPr>
      <w:bookmarkStart w:id="357" w:name="_Toc427251561"/>
      <w:bookmarkStart w:id="358" w:name="_Toc427831235"/>
      <w:bookmarkStart w:id="359" w:name="_Toc428793366"/>
      <w:bookmarkStart w:id="360" w:name="_Toc428851371"/>
      <w:bookmarkStart w:id="361" w:name="_Toc443299507"/>
      <w:bookmarkStart w:id="362" w:name="_Toc443299720"/>
      <w:bookmarkStart w:id="363" w:name="_Toc454304736"/>
      <w:r w:rsidRPr="007B0091">
        <w:rPr>
          <w:i/>
          <w:caps w:val="0"/>
        </w:rPr>
        <w:t>Future developments</w:t>
      </w:r>
      <w:bookmarkEnd w:id="357"/>
      <w:bookmarkEnd w:id="358"/>
      <w:bookmarkEnd w:id="359"/>
      <w:bookmarkEnd w:id="360"/>
      <w:bookmarkEnd w:id="361"/>
      <w:bookmarkEnd w:id="362"/>
      <w:bookmarkEnd w:id="363"/>
    </w:p>
    <w:p w14:paraId="37253893" w14:textId="11F293C2" w:rsidR="008E03E9" w:rsidRPr="008E03E9" w:rsidRDefault="008E03E9" w:rsidP="008E03E9">
      <w:pPr>
        <w:rPr>
          <w:rFonts w:ascii="Calibri" w:eastAsia="Calibri" w:hAnsi="Calibri" w:cs="Times New Roman"/>
          <w:lang w:eastAsia="en-US"/>
        </w:rPr>
      </w:pPr>
      <w:r w:rsidRPr="008E03E9">
        <w:rPr>
          <w:rFonts w:ascii="Calibri" w:eastAsia="Calibri" w:hAnsi="Calibri" w:cs="Times New Roman"/>
          <w:lang w:eastAsia="en-US"/>
        </w:rPr>
        <w:t xml:space="preserve">The MMP was established in 2005 to help assess the long-term status and health of GBR ecosystems and is a critical component assessing regional water quality changes as land management practices </w:t>
      </w:r>
      <w:r>
        <w:rPr>
          <w:rFonts w:ascii="Calibri" w:eastAsia="Calibri" w:hAnsi="Calibri" w:cs="Times New Roman"/>
          <w:lang w:eastAsia="en-US"/>
        </w:rPr>
        <w:t xml:space="preserve">improve </w:t>
      </w:r>
      <w:r w:rsidRPr="008E03E9">
        <w:rPr>
          <w:rFonts w:ascii="Calibri" w:eastAsia="Calibri" w:hAnsi="Calibri" w:cs="Times New Roman"/>
          <w:lang w:eastAsia="en-US"/>
        </w:rPr>
        <w:t xml:space="preserve">across GBR catchments. The program forms an integral part of the </w:t>
      </w:r>
      <w:r w:rsidR="002A68F3">
        <w:rPr>
          <w:rFonts w:ascii="Calibri" w:eastAsia="Calibri" w:hAnsi="Calibri" w:cs="Times New Roman"/>
          <w:lang w:eastAsia="en-US"/>
        </w:rPr>
        <w:t>P2R program</w:t>
      </w:r>
      <w:r>
        <w:rPr>
          <w:rFonts w:ascii="Calibri" w:eastAsia="Calibri" w:hAnsi="Calibri" w:cs="Times New Roman"/>
          <w:lang w:eastAsia="en-US"/>
        </w:rPr>
        <w:t>.</w:t>
      </w:r>
    </w:p>
    <w:p w14:paraId="29F83DF7" w14:textId="0AC86C6E" w:rsidR="008E03E9" w:rsidRPr="002A68F3" w:rsidRDefault="002A68F3" w:rsidP="002A68F3">
      <w:pPr>
        <w:rPr>
          <w:rFonts w:ascii="Calibri" w:eastAsia="Calibri" w:hAnsi="Calibri" w:cs="Times New Roman"/>
          <w:lang w:eastAsia="en-US"/>
        </w:rPr>
      </w:pPr>
      <w:r>
        <w:rPr>
          <w:rFonts w:ascii="Calibri" w:eastAsia="Calibri" w:hAnsi="Calibri" w:cs="Times New Roman"/>
          <w:lang w:eastAsia="en-US"/>
        </w:rPr>
        <w:t>From 2014-2015, t</w:t>
      </w:r>
      <w:r w:rsidR="00131E41" w:rsidRPr="002A68F3">
        <w:rPr>
          <w:rFonts w:ascii="Calibri" w:eastAsia="Calibri" w:hAnsi="Calibri" w:cs="Times New Roman"/>
          <w:lang w:eastAsia="en-US"/>
        </w:rPr>
        <w:t xml:space="preserve">he water quality </w:t>
      </w:r>
      <w:r w:rsidR="008E03E9" w:rsidRPr="002A68F3">
        <w:rPr>
          <w:rFonts w:ascii="Calibri" w:eastAsia="Calibri" w:hAnsi="Calibri" w:cs="Times New Roman"/>
          <w:lang w:eastAsia="en-US"/>
        </w:rPr>
        <w:t>program will integrate</w:t>
      </w:r>
      <w:r w:rsidR="00131E41" w:rsidRPr="002A68F3">
        <w:rPr>
          <w:rFonts w:ascii="Calibri" w:eastAsia="Calibri" w:hAnsi="Calibri" w:cs="Times New Roman"/>
          <w:lang w:eastAsia="en-US"/>
        </w:rPr>
        <w:t xml:space="preserve"> into </w:t>
      </w:r>
      <w:r w:rsidR="008E03E9" w:rsidRPr="002A68F3">
        <w:rPr>
          <w:rFonts w:ascii="Calibri" w:eastAsia="Calibri" w:hAnsi="Calibri" w:cs="Times New Roman"/>
          <w:lang w:eastAsia="en-US"/>
        </w:rPr>
        <w:t>one</w:t>
      </w:r>
      <w:r w:rsidR="00131E41" w:rsidRPr="002A68F3">
        <w:rPr>
          <w:rFonts w:ascii="Calibri" w:eastAsia="Calibri" w:hAnsi="Calibri" w:cs="Times New Roman"/>
          <w:lang w:eastAsia="en-US"/>
        </w:rPr>
        <w:t xml:space="preserve"> combined program </w:t>
      </w:r>
      <w:r w:rsidR="008E03E9" w:rsidRPr="002A68F3">
        <w:rPr>
          <w:rFonts w:ascii="Calibri" w:eastAsia="Calibri" w:hAnsi="Calibri" w:cs="Times New Roman"/>
          <w:lang w:eastAsia="en-US"/>
        </w:rPr>
        <w:t>with wet season sampling, ambient and pesticide monitoring programs. The new water quality program will include ambient and wet season monitoring provided by researchers from James Cook University (JCU), Australian Institute of Marine Science (AIMS) and University of Queensland (UQ). These monitoring programs will provide a comprehensive data set that will further characterise the temporal and spatial variability of coastal water quality in the GBR.</w:t>
      </w:r>
    </w:p>
    <w:p w14:paraId="336DE90D" w14:textId="74B3A17A" w:rsidR="008E03E9" w:rsidRPr="002A68F3" w:rsidRDefault="00131E41" w:rsidP="002A68F3">
      <w:pPr>
        <w:rPr>
          <w:rFonts w:ascii="Calibri" w:eastAsia="Calibri" w:hAnsi="Calibri" w:cs="Times New Roman"/>
          <w:lang w:eastAsia="en-US"/>
        </w:rPr>
      </w:pPr>
      <w:r w:rsidRPr="002A68F3">
        <w:rPr>
          <w:rFonts w:ascii="Calibri" w:eastAsia="Calibri" w:hAnsi="Calibri" w:cs="Times New Roman"/>
          <w:lang w:eastAsia="en-US"/>
        </w:rPr>
        <w:t xml:space="preserve">Four focus areas, including Tully, Russell-Mulgrave, Mackay-Whitsundays and </w:t>
      </w:r>
      <w:r w:rsidR="008E03E9" w:rsidRPr="002A68F3">
        <w:rPr>
          <w:rFonts w:ascii="Calibri" w:eastAsia="Calibri" w:hAnsi="Calibri" w:cs="Times New Roman"/>
          <w:lang w:eastAsia="en-US"/>
        </w:rPr>
        <w:t>Burdekin will be sampled over pre-determined sites through the wet and dry seasons.</w:t>
      </w:r>
    </w:p>
    <w:p w14:paraId="1A9253AB" w14:textId="77777777" w:rsidR="00131E41" w:rsidRPr="00DF1C49" w:rsidRDefault="00131E41" w:rsidP="00131E41">
      <w:pPr>
        <w:rPr>
          <w:rFonts w:ascii="Calibri" w:eastAsia="Calibri" w:hAnsi="Calibri" w:cs="Times New Roman"/>
          <w:lang w:eastAsia="en-US"/>
        </w:rPr>
      </w:pPr>
      <w:r w:rsidRPr="00DF1C49">
        <w:rPr>
          <w:rFonts w:ascii="Calibri" w:eastAsia="Calibri" w:hAnsi="Calibri" w:cs="Times New Roman"/>
          <w:lang w:eastAsia="en-US"/>
        </w:rPr>
        <w:t xml:space="preserve">Further developments include improvements of our </w:t>
      </w:r>
      <w:r w:rsidR="00036408" w:rsidRPr="00036408">
        <w:rPr>
          <w:rFonts w:ascii="Calibri" w:eastAsia="Calibri" w:hAnsi="Calibri" w:cs="Times New Roman"/>
          <w:lang w:eastAsia="en-US"/>
        </w:rPr>
        <w:t>remote sensing</w:t>
      </w:r>
      <w:r w:rsidRPr="00DF1C49">
        <w:rPr>
          <w:rFonts w:ascii="Calibri" w:eastAsia="Calibri" w:hAnsi="Calibri" w:cs="Times New Roman"/>
          <w:lang w:eastAsia="en-US"/>
        </w:rPr>
        <w:t xml:space="preserve"> methods to map river plumes, plume water types and the river plume risk:</w:t>
      </w:r>
    </w:p>
    <w:p w14:paraId="7AA08695" w14:textId="5AA120C8" w:rsidR="00131E41" w:rsidRPr="008C3B95" w:rsidRDefault="002D1F38" w:rsidP="008C3B95">
      <w:pPr>
        <w:pStyle w:val="ListParagraph"/>
        <w:numPr>
          <w:ilvl w:val="0"/>
          <w:numId w:val="36"/>
        </w:numPr>
        <w:spacing w:before="0" w:after="120"/>
        <w:ind w:left="714" w:hanging="357"/>
        <w:contextualSpacing w:val="0"/>
        <w:rPr>
          <w:rFonts w:eastAsia="Calibri"/>
          <w:lang w:eastAsia="en-US"/>
        </w:rPr>
      </w:pPr>
      <w:r w:rsidRPr="008C3B95">
        <w:rPr>
          <w:rFonts w:eastAsia="Calibri"/>
          <w:lang w:eastAsia="en-US"/>
        </w:rPr>
        <w:t>Further development of</w:t>
      </w:r>
      <w:r w:rsidR="00131E41" w:rsidRPr="008C3B95">
        <w:rPr>
          <w:rFonts w:eastAsia="Calibri"/>
          <w:lang w:eastAsia="en-US"/>
        </w:rPr>
        <w:t xml:space="preserve"> accurate regional algorithms for the GBR region (Brando et al., 2012; Schroeder et al., 2012), that provide better retrieval in optically complex coastal waters. Using these algorithms to map </w:t>
      </w:r>
      <w:r w:rsidRPr="008C3B95">
        <w:rPr>
          <w:rFonts w:eastAsia="Calibri"/>
          <w:lang w:eastAsia="en-US"/>
        </w:rPr>
        <w:t>C</w:t>
      </w:r>
      <w:r w:rsidR="00131E41" w:rsidRPr="008C3B95">
        <w:rPr>
          <w:rFonts w:eastAsia="Calibri"/>
          <w:lang w:eastAsia="en-US"/>
        </w:rPr>
        <w:t xml:space="preserve">hl-a concentrations in near future will be instrumental in more accurate mapping of river plume waters using the Level-2 method and more particularly of the productive Secondary waters. MODIS images calibrated into relevant water quality metrics (e.g. TSM, </w:t>
      </w:r>
      <w:r w:rsidRPr="008C3B95">
        <w:rPr>
          <w:rFonts w:eastAsia="Calibri"/>
          <w:lang w:eastAsia="en-US"/>
        </w:rPr>
        <w:t>C</w:t>
      </w:r>
      <w:r w:rsidR="005F304A" w:rsidRPr="008C3B95">
        <w:rPr>
          <w:rFonts w:eastAsia="Calibri"/>
          <w:lang w:eastAsia="en-US"/>
        </w:rPr>
        <w:t>hl</w:t>
      </w:r>
      <w:r w:rsidR="00131E41" w:rsidRPr="008C3B95">
        <w:rPr>
          <w:rFonts w:eastAsia="Calibri"/>
          <w:lang w:eastAsia="en-US"/>
        </w:rPr>
        <w:t>-a, Dissolved Organic Matters concentrations, light attenuation) using accurate algorithms would allow producing produce compliance maps to ecological threshold and describing thresholds of acceptable WQ changes as well as their respective extent, frequency and duration for ecological management purposes.</w:t>
      </w:r>
    </w:p>
    <w:p w14:paraId="7B57FC8F" w14:textId="77777777" w:rsidR="00131E41" w:rsidRPr="008C3B95" w:rsidRDefault="00131E41" w:rsidP="008C3B95">
      <w:pPr>
        <w:pStyle w:val="ListParagraph"/>
        <w:numPr>
          <w:ilvl w:val="0"/>
          <w:numId w:val="36"/>
        </w:numPr>
        <w:spacing w:before="0" w:after="120"/>
        <w:ind w:left="714" w:hanging="357"/>
        <w:contextualSpacing w:val="0"/>
        <w:rPr>
          <w:rFonts w:eastAsia="Calibri"/>
          <w:lang w:eastAsia="en-US"/>
        </w:rPr>
      </w:pPr>
      <w:r w:rsidRPr="008C3B95">
        <w:rPr>
          <w:rFonts w:eastAsia="Calibri"/>
          <w:lang w:eastAsia="en-US"/>
        </w:rPr>
        <w:t xml:space="preserve">Further comparisons between </w:t>
      </w:r>
      <w:r w:rsidR="00036408" w:rsidRPr="008C3B95">
        <w:rPr>
          <w:rFonts w:eastAsia="Calibri"/>
          <w:lang w:eastAsia="en-US"/>
        </w:rPr>
        <w:t xml:space="preserve">remote sensing </w:t>
      </w:r>
      <w:r w:rsidRPr="008C3B95">
        <w:rPr>
          <w:rFonts w:eastAsia="Calibri"/>
          <w:lang w:eastAsia="en-US"/>
        </w:rPr>
        <w:t xml:space="preserve">-derived products and in situ WQ data acquired over the next MMP monitoring years will be undertaken. </w:t>
      </w:r>
    </w:p>
    <w:p w14:paraId="7980F2A8" w14:textId="2954CB34" w:rsidR="00CF0671" w:rsidRPr="008C3B95" w:rsidRDefault="00CF0671" w:rsidP="008C3B95">
      <w:pPr>
        <w:pStyle w:val="ListParagraph"/>
        <w:numPr>
          <w:ilvl w:val="0"/>
          <w:numId w:val="36"/>
        </w:numPr>
        <w:spacing w:before="0" w:after="120"/>
        <w:ind w:left="714" w:hanging="357"/>
        <w:contextualSpacing w:val="0"/>
        <w:rPr>
          <w:rFonts w:eastAsia="Calibri"/>
          <w:lang w:eastAsia="en-US"/>
        </w:rPr>
      </w:pPr>
      <w:r w:rsidRPr="008C3B95">
        <w:rPr>
          <w:rFonts w:eastAsia="Calibri"/>
          <w:lang w:eastAsia="en-US"/>
        </w:rPr>
        <w:t>One step further toward the evaluation of the susceptibility of GBR key ecosystems to the river plume/pollutants exposure is to compare predicted pollutant concentration in river plumes to published ecological threshold values for consequences and effects and combine this information with measures of ecosystem responses (</w:t>
      </w:r>
      <w:r w:rsidR="00BE1A79" w:rsidRPr="008C3B95">
        <w:rPr>
          <w:rFonts w:eastAsia="Calibri"/>
          <w:lang w:eastAsia="en-US"/>
        </w:rPr>
        <w:t xml:space="preserve">such as </w:t>
      </w:r>
      <w:r w:rsidRPr="008C3B95">
        <w:rPr>
          <w:rFonts w:eastAsia="Calibri"/>
          <w:lang w:eastAsia="en-US"/>
        </w:rPr>
        <w:t>growth rates, diversit</w:t>
      </w:r>
      <w:r w:rsidR="00BE1A79" w:rsidRPr="008C3B95">
        <w:rPr>
          <w:rFonts w:eastAsia="Calibri"/>
          <w:lang w:eastAsia="en-US"/>
        </w:rPr>
        <w:t>y, mortality</w:t>
      </w:r>
      <w:r w:rsidRPr="008C3B95">
        <w:rPr>
          <w:rFonts w:eastAsia="Calibri"/>
          <w:lang w:eastAsia="en-US"/>
        </w:rPr>
        <w:t>) to refine the thresholds of the simplified risk framework. So far the risk is expressed as four qualitative categories (I, II, III, IV), with ecosystems under category IV being at a highest potential risk from river plume exposure than ecosystems exposed to category I. The risk ranking assumes that ecosystem responses will increase linearly with pollutant concentrations and frequency of exposure to the pollutant concentrations. Ideally, future risk models should incorporate the potential of cumulative impacts from multiple pollutants in river plume waters and the susceptibility of specific ecosystems (seagrass or coral reefs) should be taken into account. This exercise is, however, challenging because the response of GBR ecosystems to an amount and/or duration of exposure to land-sourced contaminants (respectively or combined) in river plume waters are often unknown at a regional or ecosystem level. Work is in progress (Petus et al., in prep) to test and revisit this simplified river plume risk framework of the GBR. Using GIS, objectives are to compare the risk model's predicted vulnerable (under risk) areas/ecosystems with monitored cases of ecosystem health decline refine the thresholds of the simplified risk framework. This study will use multi-annual WQ data, seagrass abundance data and percent cover of macroalgae (used as index od declined coral biodiversity) all collected under MMP funding as well as published ecological thresholds for land-sourced contaminants (e.g., Brodie et al.,2013).</w:t>
      </w:r>
    </w:p>
    <w:p w14:paraId="62EA08D8" w14:textId="77777777" w:rsidR="00131E41" w:rsidRPr="00DF1C49" w:rsidRDefault="00131E41" w:rsidP="00131E41">
      <w:pPr>
        <w:rPr>
          <w:rFonts w:ascii="Calibri" w:eastAsia="Calibri" w:hAnsi="Calibri" w:cs="Times New Roman"/>
          <w:lang w:eastAsia="en-US"/>
        </w:rPr>
      </w:pPr>
      <w:r w:rsidRPr="00DF1C49">
        <w:rPr>
          <w:rFonts w:ascii="Calibri" w:eastAsia="Calibri" w:hAnsi="Calibri" w:cs="Times New Roman"/>
          <w:lang w:eastAsia="en-US"/>
        </w:rPr>
        <w:t xml:space="preserve">Further developments of our </w:t>
      </w:r>
      <w:r w:rsidR="00036408" w:rsidRPr="00036408">
        <w:rPr>
          <w:rFonts w:ascii="Calibri" w:eastAsia="Calibri" w:hAnsi="Calibri" w:cs="Times New Roman"/>
          <w:lang w:eastAsia="en-US"/>
        </w:rPr>
        <w:t>remote sensing</w:t>
      </w:r>
      <w:r w:rsidRPr="00DF1C49">
        <w:rPr>
          <w:rFonts w:ascii="Calibri" w:eastAsia="Calibri" w:hAnsi="Calibri" w:cs="Times New Roman"/>
          <w:lang w:eastAsia="en-US"/>
        </w:rPr>
        <w:t xml:space="preserve"> methods to map loads of pollutants (TSS, DIN and pesticides) include:</w:t>
      </w:r>
    </w:p>
    <w:p w14:paraId="47624360" w14:textId="77777777" w:rsidR="00131E41" w:rsidRPr="008C3B95" w:rsidRDefault="00131E41" w:rsidP="008C3B95">
      <w:pPr>
        <w:pStyle w:val="ListParagraph"/>
        <w:numPr>
          <w:ilvl w:val="0"/>
          <w:numId w:val="36"/>
        </w:numPr>
        <w:spacing w:before="0" w:after="120"/>
        <w:ind w:left="714" w:hanging="357"/>
        <w:contextualSpacing w:val="0"/>
        <w:rPr>
          <w:rFonts w:eastAsia="Calibri"/>
          <w:lang w:eastAsia="en-US"/>
        </w:rPr>
      </w:pPr>
      <w:r w:rsidRPr="008C3B95">
        <w:rPr>
          <w:rFonts w:eastAsia="Calibri"/>
          <w:lang w:eastAsia="en-US"/>
        </w:rPr>
        <w:t xml:space="preserve">The Increase of the spatial resolution of WQ data used to calculate the spatially distributed DIN and TSS maps. In this present form, the true colour method uses annual loads of TSS and DIN from seven major rivers draining into four selected NRMs to calculate their proportional contribution to the total pollutant load. Increasing the spatial resolution of these data would improve the precision of the mapping. Work is also currently undertaken to re-run the model with the annual loads from the Source Catchments modelling for all of the 35 GBR catchments. This requires establishment of dispersal relationships for the additional rivers and require non-negligible processing time and effort to automate processing steps as much as possible. </w:t>
      </w:r>
    </w:p>
    <w:p w14:paraId="1FBF8BD9" w14:textId="77777777" w:rsidR="00131E41" w:rsidRPr="008C3B95" w:rsidRDefault="00131E41" w:rsidP="008C3B95">
      <w:pPr>
        <w:pStyle w:val="ListParagraph"/>
        <w:numPr>
          <w:ilvl w:val="0"/>
          <w:numId w:val="36"/>
        </w:numPr>
        <w:spacing w:before="0" w:after="120"/>
        <w:ind w:left="714" w:hanging="357"/>
        <w:contextualSpacing w:val="0"/>
        <w:rPr>
          <w:rFonts w:eastAsia="Calibri"/>
          <w:lang w:eastAsia="en-US"/>
        </w:rPr>
      </w:pPr>
      <w:r w:rsidRPr="008C3B95">
        <w:rPr>
          <w:rFonts w:eastAsia="Calibri"/>
          <w:lang w:eastAsia="en-US"/>
        </w:rPr>
        <w:t>The production annual load maps of Photosystem II inhibiting herbicides (PSII herbicides). The approach for modelling exposure to DIN (i.e., assuming conservative mixing) will be used for PSII. However, further investigation will be necessary to adjust the dispersal relationships i.e., relationship between PSII concentrations and color classes (see Figure 3 of Álvarez-Romero et al., 2013) to calculate the annual cost surface for PSII.</w:t>
      </w:r>
    </w:p>
    <w:p w14:paraId="1264D2BC" w14:textId="77777777" w:rsidR="00131E41" w:rsidRPr="008C3B95" w:rsidRDefault="00131E41" w:rsidP="008C3B95">
      <w:pPr>
        <w:pStyle w:val="ListParagraph"/>
        <w:numPr>
          <w:ilvl w:val="0"/>
          <w:numId w:val="36"/>
        </w:numPr>
        <w:spacing w:before="0" w:after="120"/>
        <w:ind w:left="714" w:hanging="357"/>
        <w:contextualSpacing w:val="0"/>
        <w:rPr>
          <w:rFonts w:eastAsia="Calibri"/>
          <w:lang w:eastAsia="en-US"/>
        </w:rPr>
      </w:pPr>
      <w:r w:rsidRPr="008C3B95">
        <w:rPr>
          <w:rFonts w:eastAsia="Calibri"/>
          <w:lang w:eastAsia="en-US"/>
        </w:rPr>
        <w:t>Updates on the loading maps will be made available as the load data is update from all rivers in the GBR.</w:t>
      </w:r>
    </w:p>
    <w:p w14:paraId="40F5340A" w14:textId="77777777" w:rsidR="00131E41" w:rsidRDefault="00131E41" w:rsidP="00EC2E74">
      <w:pPr>
        <w:rPr>
          <w:lang w:eastAsia="en-US"/>
        </w:rPr>
      </w:pPr>
    </w:p>
    <w:p w14:paraId="19DA30E3" w14:textId="77777777" w:rsidR="00076F4C" w:rsidRPr="007B0091" w:rsidRDefault="00076F4C" w:rsidP="007B0091">
      <w:pPr>
        <w:pStyle w:val="Heading1"/>
        <w:numPr>
          <w:ilvl w:val="0"/>
          <w:numId w:val="3"/>
        </w:numPr>
        <w:spacing w:after="240" w:line="80" w:lineRule="atLeast"/>
        <w:rPr>
          <w:i/>
          <w:caps w:val="0"/>
        </w:rPr>
      </w:pPr>
      <w:bookmarkStart w:id="364" w:name="_Toc443299508"/>
      <w:bookmarkStart w:id="365" w:name="_Toc443299721"/>
      <w:bookmarkStart w:id="366" w:name="_Toc454304737"/>
      <w:bookmarkEnd w:id="198"/>
      <w:r w:rsidRPr="007B0091">
        <w:rPr>
          <w:i/>
          <w:caps w:val="0"/>
        </w:rPr>
        <w:t>References</w:t>
      </w:r>
      <w:bookmarkEnd w:id="196"/>
      <w:bookmarkEnd w:id="364"/>
      <w:bookmarkEnd w:id="365"/>
      <w:bookmarkEnd w:id="366"/>
      <w:r w:rsidRPr="007B0091">
        <w:rPr>
          <w:i/>
          <w:caps w:val="0"/>
        </w:rPr>
        <w:t xml:space="preserve"> </w:t>
      </w:r>
    </w:p>
    <w:p w14:paraId="6292325B" w14:textId="77777777" w:rsidR="00FD0F14" w:rsidRPr="00FD0F14" w:rsidRDefault="00FD0F14" w:rsidP="00330E11">
      <w:r w:rsidRPr="00FD0F14">
        <w:t>Álvarez-Romero, J.G., Devlin, M., Teixeira da Silva, E., Petus, C., Ban, N.C., Pressey, R.L., Kool, J., Roberts, J.J., Cerdeira-Estrada, S., Wenger, A.S., Brodie, J., 2013. A novel approach to model exposure of coastal-marine ecosystems to riverine flood plumes based on remote sensing techniques. Journal of environmental management 119, 194-207.</w:t>
      </w:r>
    </w:p>
    <w:p w14:paraId="1DA2A840" w14:textId="77777777" w:rsidR="00FD0F14" w:rsidRPr="00FD0F14" w:rsidRDefault="00FD0F14" w:rsidP="00330E11">
      <w:r w:rsidRPr="00FD0F14">
        <w:t>Anon, 2013. Reef rescue marine monitoring program quality assurance and quality control manual. 2010/11, in: Authority, G.B.R.M.P. (Ed.), GBRMPA, Townsville.</w:t>
      </w:r>
    </w:p>
    <w:p w14:paraId="041D54E7" w14:textId="77777777" w:rsidR="00FD0F14" w:rsidRPr="00FD0F14" w:rsidRDefault="00FD0F14" w:rsidP="00330E11">
      <w:r w:rsidRPr="00FD0F14">
        <w:t>Anon, 2014. Reef rescue marine monitoring program quality assurance and quality control manual. 2013/14, in: Authority, G.B.R.M.P. (Ed.), GBRMPA, Townsville.</w:t>
      </w:r>
    </w:p>
    <w:p w14:paraId="744ED77D" w14:textId="77777777" w:rsidR="00FD0F14" w:rsidRPr="00FD0F14" w:rsidRDefault="00FD0F14" w:rsidP="00330E11">
      <w:r w:rsidRPr="00FD0F14">
        <w:t>Bentley, C., Devlin, M., Paxman, C., Chue, K.L., Mueller, J.F., 2012. Pesticide monitoring in inshore waters of the Great Barrier Reef using both time-integrated and event monitoring techniques (2011 - 2012). University of Queensland, Marine Monitoring Program - Pesticides.</w:t>
      </w:r>
    </w:p>
    <w:p w14:paraId="0FADD1BF" w14:textId="77777777" w:rsidR="00FD0F14" w:rsidRPr="00FD0F14" w:rsidRDefault="00FD0F14" w:rsidP="00FD0F14">
      <w:r w:rsidRPr="00FD0F14">
        <w:t>Berkelmans, R., Weeks, S.J., Steinberg, C.R., 2010. Upwelling linked to warm summers and bleaching on the Great Barrier Reef. Limnol. Oceanogr. 55, 2634–2644. doi:10.4319/lo.2010.55.6.2634</w:t>
      </w:r>
    </w:p>
    <w:p w14:paraId="1A543F44" w14:textId="77777777" w:rsidR="00FD0F14" w:rsidRPr="00FD0F14" w:rsidRDefault="00FD0F14" w:rsidP="00330E11">
      <w:r w:rsidRPr="00FD0F14">
        <w:t>Brando, V., Schroeder, T., Dekker, A., Park, Y., 2008. Reef rescue marine monitoring program: using remote sensing for GBR wide water quality. Final Report for.</w:t>
      </w:r>
    </w:p>
    <w:p w14:paraId="2D0BD3FE" w14:textId="77777777" w:rsidR="00FD0F14" w:rsidRPr="00FD0F14" w:rsidRDefault="00FD0F14" w:rsidP="00330E11">
      <w:r w:rsidRPr="00FD0F14">
        <w:t>Brando, V., Schroeder, T., Dekker, A., Park, Y., 2010a. Reef Rescue Marine Monitoring Program: Using Remote Sensing for GBR Wide Water Quality: Final Report for 2009/10 Activities. CSIRO Land &amp; Water.</w:t>
      </w:r>
    </w:p>
    <w:p w14:paraId="39D08B45" w14:textId="77777777" w:rsidR="00FD0F14" w:rsidRPr="00FD0F14" w:rsidRDefault="00FD0F14" w:rsidP="00330E11">
      <w:r w:rsidRPr="00FD0F14">
        <w:t>Brando, V., Steven, A., Schroeder, T., Dekker, A., Park, Y., Daniel, P., Ford, P., 2010b. Remote-sensing of GBR Waters to assist performance monitoring of Water Quality Improvement Plans in Far North Queensland. Final report for Department of the Environment and Water Heritage and the Arts. Canberra, ACT. CSIRO Land &amp; Water, Canberra, ACT, p. 88.</w:t>
      </w:r>
    </w:p>
    <w:p w14:paraId="107BA14C" w14:textId="77777777" w:rsidR="00FD0F14" w:rsidRPr="00FD0F14" w:rsidRDefault="00FD0F14" w:rsidP="00330E11">
      <w:r w:rsidRPr="006427BE">
        <w:t xml:space="preserve">Brando, V.E., Anstee, J.M., Wettle, M., Dekker, A.G., Phinn, S.R., Roelfsema, C., 2009. </w:t>
      </w:r>
      <w:r w:rsidRPr="00FD0F14">
        <w:t>A physics based retrieval and quality assessment of bathymetry from suboptimal hyperspectral data. Remote Sensing of Environment 113, 755-770.</w:t>
      </w:r>
    </w:p>
    <w:p w14:paraId="71E7A22B" w14:textId="77777777" w:rsidR="00FD0F14" w:rsidRDefault="00FD0F14" w:rsidP="00330E11">
      <w:r w:rsidRPr="00FD0F14">
        <w:t>Brodie, J., Binney, J., Fabricius, K., Gordon, I., Hoegh-Guldberg, O., Hunter, H., O’Reagain, P., Pearson, R., Quirk, M., Thorburn, P., 2008. Synthesis of evidence to support the scientific consensus statement on water quality in the Great Barrier Reef. The State of Queensland (Department of Premier and Cabinet), Brisbane.</w:t>
      </w:r>
    </w:p>
    <w:p w14:paraId="5E454959" w14:textId="77777777" w:rsidR="00FD0F14" w:rsidRPr="00FD0F14" w:rsidRDefault="00FD0F14" w:rsidP="00330E11">
      <w:r w:rsidRPr="00FD0F14">
        <w:rPr>
          <w:lang w:val="de-DE"/>
        </w:rPr>
        <w:t xml:space="preserve">Brodie, J., Burford, M., Davis, A., da Silva, E., Devlin, M., Furnas, M., Kroon, F., Lewis, S., Lønborg, C., O’Brien, D., Schaffelke, B., 2014. </w:t>
      </w:r>
      <w:r w:rsidRPr="00FD0F14">
        <w:t>The relative risks to water quality from particulate nitrogen discharged from rivers to the Great Barrier Reef in comparison to other forms of nitrogen. .  TropWATER Report 14/31. October 2014, 81.</w:t>
      </w:r>
    </w:p>
    <w:p w14:paraId="231BD3BE" w14:textId="77777777" w:rsidR="00FD0F14" w:rsidRPr="00FD0F14" w:rsidRDefault="00FD0F14" w:rsidP="00330E11">
      <w:r w:rsidRPr="00FD0F14">
        <w:t>Brodie, J., Kroon, F., Schaffelke, B., Wolanski, E., Lewis, S., Devlin, M., Bohnet, I., Bainbridge, Z., Waterhouse, J., Davis, A., 2012. Terrestrial pollutant runoff to the Great Barrier Reef: an update of issues, priorities and management responses. Marine pollution bulletin 65, 81-100.</w:t>
      </w:r>
    </w:p>
    <w:p w14:paraId="7D96F5E3" w14:textId="77777777" w:rsidR="00FD0F14" w:rsidRPr="00FD0F14" w:rsidRDefault="00FD0F14" w:rsidP="00330E11">
      <w:r w:rsidRPr="00FD0F14">
        <w:t>Brodie, J., Lewis, S., Bainbridge, Z., Mitchell, A., Waterhouse, J., Kroon, F., 2009. Target setting for pollutant discharge management of rivers in the Great Barrier Reef catchment area. Marine and Freshwater Research 60, 1141-1149.</w:t>
      </w:r>
    </w:p>
    <w:p w14:paraId="23640BD0" w14:textId="77777777" w:rsidR="00FD0F14" w:rsidRPr="00FD0F14" w:rsidRDefault="00FD0F14" w:rsidP="00330E11">
      <w:r w:rsidRPr="00FD0F14">
        <w:t>Brodie, J., Waterhouse, J., 2012. A critical review of environmental management of the ‘not so Great’Barrier Reef. Estuarine, Coastal and Shelf Science 104, 1-22.</w:t>
      </w:r>
    </w:p>
    <w:p w14:paraId="5025F843" w14:textId="77777777" w:rsidR="0059252A" w:rsidRPr="00FD0F14" w:rsidRDefault="0059252A" w:rsidP="0059252A">
      <w:r w:rsidRPr="004317AE">
        <w:t>Brodie, J., Waterhouse, J., Schaffelke, B., Furnas, M., Maynard, J., Collier, C., Lewis, S., Warne, M., Fabricius, K., Devlin, M., McKenzie, L., Yorkston, H., Randall, L., Bennett, J., Brando, V. 2013</w:t>
      </w:r>
      <w:r>
        <w:t>b.</w:t>
      </w:r>
      <w:r w:rsidRPr="004317AE">
        <w:t xml:space="preserve"> Scientific Consensus Statement. Chapter 3: Relative risks to the Great Barrier Reef from degraded water quality The State of Queensland. Published by the Reef Water Quality Protection Plan Secretariat, July 2013. </w:t>
      </w:r>
      <w:hyperlink r:id="rId110" w:history="1">
        <w:r w:rsidRPr="00EF501E">
          <w:t>http://www.reefplan.qld.gov.au/about/scientific-consensus-statement/water-quality-risks.aspx</w:t>
        </w:r>
      </w:hyperlink>
    </w:p>
    <w:p w14:paraId="5BB20A0A" w14:textId="77777777" w:rsidR="00FD0F14" w:rsidRPr="00FD0F14" w:rsidRDefault="00FD0F14" w:rsidP="00FD0F14">
      <w:r w:rsidRPr="00FD0F14">
        <w:t>Crawley, M.J., 2007. The R Book. John Wiley &amp; Sons, Ltd, Imperial College London at Silwood Park, UK.</w:t>
      </w:r>
    </w:p>
    <w:p w14:paraId="58380A75" w14:textId="77777777" w:rsidR="00FD0F14" w:rsidRPr="00FD0F14" w:rsidRDefault="00FD0F14" w:rsidP="00330E11">
      <w:r w:rsidRPr="00DC49FE">
        <w:rPr>
          <w:lang w:val="de-DE"/>
        </w:rPr>
        <w:t xml:space="preserve">Da Silva, E., Devlin, M., Wenger, A., Petus, C., 2013. </w:t>
      </w:r>
      <w:r w:rsidRPr="00FD0F14">
        <w:t>Burnett-‐Mary Wet Season 2012-‐2013: Water Quality Data Sampling, Analysis and Comparison against Wet Season 2010-‐2011 data, Centre for Tropical Water &amp; Aquatic Ecosystems Research (TropWater) Publications. JCU, James Cook University, Townsville, p. 31.</w:t>
      </w:r>
    </w:p>
    <w:p w14:paraId="78F608C3" w14:textId="77777777" w:rsidR="00FD0F14" w:rsidRPr="00FD0F14" w:rsidRDefault="00FD0F14" w:rsidP="00FD0F14">
      <w:r w:rsidRPr="00FD0F14">
        <w:t>Devlin, M., McKinna, L., Álvarez-Romero, J.G., Petus, C., Abott, B., Harkness, P., Brodie, J., 2012a. Mapping the pollutants in surface riverine flood plume waters in the Great Barrier Reef, Australia. Mar. Pollut. Bull., The Catchment to Reef Continuum: Case studies from the Great Barrier Reef 65, 224–235. doi:10.1016/j.marpolbul.2012.03.001</w:t>
      </w:r>
    </w:p>
    <w:p w14:paraId="11BB0E03" w14:textId="77777777" w:rsidR="00FD0F14" w:rsidRPr="00FD0F14" w:rsidRDefault="00FD0F14" w:rsidP="00330E11">
      <w:r w:rsidRPr="00FD0F14">
        <w:t>Devlin, M., Schaffelke, B., 2009. Spatial extent of riverine flood plumes and exposure of marine ecosystems in the Tully coastal region, Great Barrier Reef. Marine and Freshwater Research 60, 1109-1122.</w:t>
      </w:r>
    </w:p>
    <w:p w14:paraId="50155597" w14:textId="77777777" w:rsidR="00FD0F14" w:rsidRPr="00FD0F14" w:rsidRDefault="00FD0F14" w:rsidP="00330E11">
      <w:r w:rsidRPr="006427BE">
        <w:t xml:space="preserve">Devlin, M., Schroeder, T., McKinna, L., Brodie, J., Brando, V., Dekker, A., 2011. </w:t>
      </w:r>
      <w:r w:rsidRPr="00FD0F14">
        <w:t>Monitoring and mapping of flood plumes in the Great Barrier Reef based on in-situ and remote sensing observations. Advances in Environmental Remote Sensing to Monitor Global Changes, CRC Press, Boca Raton.</w:t>
      </w:r>
    </w:p>
    <w:p w14:paraId="5D816D27" w14:textId="77777777" w:rsidR="00FD0F14" w:rsidRPr="00FD0F14" w:rsidRDefault="00FD0F14" w:rsidP="00330E11">
      <w:r w:rsidRPr="00FD0F14">
        <w:t>Devlin, M., Waterhouse, J., Taylor, J., Brodie, J., 2001. Flood plumes in the Great Barrier Reef: spatial and temporal patterns in composition and distribution. Great Barrier Reef Marine Park Authority.</w:t>
      </w:r>
    </w:p>
    <w:p w14:paraId="49454F34" w14:textId="77777777" w:rsidR="00FD0F14" w:rsidRPr="00FD0F14" w:rsidRDefault="00FD0F14" w:rsidP="00330E11">
      <w:r w:rsidRPr="00FD0F14">
        <w:t>Devlin, M., Wenger, A., Da Silva, E., Alvarez Romero, J.G., Waterhouse, J., McKenzie, L., 2012. Extreme weather conditions in the Great Barrier Reef: Drivers of change?</w:t>
      </w:r>
    </w:p>
    <w:p w14:paraId="02FC5629" w14:textId="77777777" w:rsidR="00FD0F14" w:rsidRPr="00FD0F14" w:rsidRDefault="00FD0F14" w:rsidP="00330E11">
      <w:r w:rsidRPr="00FD0F14">
        <w:t>Devlin, M.J., Álvarez-Romero, J., da Silva, E.T., DeBose, J., Petus, C., Wenger, A., 2013. Reef Rescue Marine Monitoring Program. Final report of JCU activities 2011/12 – Flood plumes and extreme weather monitoring for the Great Barrier Reef Marine Park Authority. James Cook University, Townsville.</w:t>
      </w:r>
    </w:p>
    <w:p w14:paraId="25821553" w14:textId="77777777" w:rsidR="00FD0F14" w:rsidRPr="00FD0F14" w:rsidRDefault="00FD0F14" w:rsidP="00330E11">
      <w:r w:rsidRPr="00FD0F14">
        <w:t>Devlin, M.J., Brodie, J., 2005. Terrestrial discharge into the Great Barrier Reef Lagoon: nutrient behavior in coastal waters. Marine pollution bulletin 51, 9-22.</w:t>
      </w:r>
    </w:p>
    <w:p w14:paraId="0A78CE00" w14:textId="77777777" w:rsidR="00FD0F14" w:rsidRPr="00FD0F14" w:rsidRDefault="00FD0F14" w:rsidP="00FD0F14">
      <w:r w:rsidRPr="00FD0F14">
        <w:t>Furnas, M., Alongi, D., McKinnon, D., Trott, L., Skuza, M., 2011. Regional-scale nitrogen and phosphorus budgets for the northern (14°S) and central (17°S) Great Barrier Reef shelf ecosystem. Cont. Shelf Res. 31, 1967–1990. doi:10.1016/j.csr.2011.09.007</w:t>
      </w:r>
    </w:p>
    <w:p w14:paraId="57838CFF" w14:textId="77777777" w:rsidR="00FD0F14" w:rsidRPr="00FD0F14" w:rsidRDefault="00FD0F14" w:rsidP="005F5C7F">
      <w:r w:rsidRPr="00FD0F14">
        <w:t>Gallen, C., Devlin, M., Paxman, C., Banks, A., Mueller, J. (2013) Pesticide monitoring in inshore waters of the Great Barrier Reef using both time-integrated and event monitoring techniques (2012 - 2013). The University of Queensland, The National Research Centre for Environmental Toxicology (Entox).</w:t>
      </w:r>
    </w:p>
    <w:p w14:paraId="6CC4F8E9" w14:textId="77777777" w:rsidR="00FD0F14" w:rsidRPr="00FD0F14" w:rsidRDefault="00FD0F14" w:rsidP="00330E11">
      <w:r w:rsidRPr="00FD0F14">
        <w:t>Geyer, W., Hill, P., Kineke, G., 2004. The transport, transformation and dispersal of sediment by buoyant coastal flows. Continental Shelf Research 24, 927-949.</w:t>
      </w:r>
    </w:p>
    <w:p w14:paraId="5B8E0086" w14:textId="77777777" w:rsidR="00FD0F14" w:rsidRDefault="00FD0F14" w:rsidP="00FD0F14">
      <w:r w:rsidRPr="00FD0F14">
        <w:t>Grömping, G., 2006. Relative Importance for Linear Regression in R: The Package relaimpo. J. Stat. Softw. 17, 1–17.</w:t>
      </w:r>
    </w:p>
    <w:p w14:paraId="71B6F483" w14:textId="77777777" w:rsidR="009F682C" w:rsidRPr="00FD0F14" w:rsidRDefault="009F682C" w:rsidP="00FD0F14">
      <w:r w:rsidRPr="009F682C">
        <w:t>Hateley, L.R., Ellis, R., Shaw, M., Waters, D., Carroll, C. 2014. Modelling reductions of pollutant loads due to improved management practices in the Great Barrier Reef catchments – Wet Tropics NRM region, Technical Report, Volume 3, Queensland Department of Natural Resources and Mines, Cairns, QLD (ISBN: 978-0-7345-0441-8).</w:t>
      </w:r>
    </w:p>
    <w:p w14:paraId="12CF2BA5" w14:textId="77777777" w:rsidR="00FD0F14" w:rsidRPr="00FD0F14" w:rsidRDefault="00FD0F14" w:rsidP="00FD0F14">
      <w:r w:rsidRPr="00FD0F14">
        <w:t>Hijmans, R.J., Etten, J. van, Mattiuzzi, M., Sumner, M., Greenberg, J.A., Lamigueiro, O.P., Bevan, A., Racine, E.B., Shortridge, A., 2015. raster: Geographic Data Analysis and Modeling.</w:t>
      </w:r>
    </w:p>
    <w:p w14:paraId="30CA1BB4" w14:textId="77777777" w:rsidR="00FD0F14" w:rsidRPr="00FD0F14" w:rsidRDefault="00FD0F14" w:rsidP="007E5614">
      <w:r w:rsidRPr="00FD0F14">
        <w:t xml:space="preserve">Howley, C., Devlin, M.J. Petus, C., da Silva, E., Tracey, D. 2015. Water Quality in Princess Charoltte Bay Flood plumes: 2012- 2014. Report to the Great Barrier Reef Marine Park Authority Marine Monitoring Programme. TropWater Report. </w:t>
      </w:r>
    </w:p>
    <w:p w14:paraId="54959C29" w14:textId="77777777" w:rsidR="00FD0F14" w:rsidRPr="00FD0F14" w:rsidRDefault="00FD0F14" w:rsidP="00330E11">
      <w:r w:rsidRPr="00FD0F14">
        <w:t>Johnson, J., Brando, V., Devlin, M., McKenzie, L., Morris, S., Schaffelke, B., Thompson, A., Waterhouse, J., Waycott, M., 2011. Reef rescue marine monitoring program: 2009/2010 synthesis report. Reef and Rainforest Research Centre.</w:t>
      </w:r>
    </w:p>
    <w:p w14:paraId="0A94AD96" w14:textId="77777777" w:rsidR="00FD0F14" w:rsidRPr="00FD0F14" w:rsidRDefault="00FD0F14" w:rsidP="00330E11">
      <w:r w:rsidRPr="00FD0F14">
        <w:t>Joo, M., Raymond, M.A., McNeil, V.H., Huggins, R., Turner, R.D., Choy, S., 2012. Estimates of sediment and nutrient loads in 10 major catchments draining to the Great Barrier Reef during 2006–2009. Marine pollution bulletin 65, 150-166.</w:t>
      </w:r>
    </w:p>
    <w:p w14:paraId="04D3FB0F" w14:textId="77777777" w:rsidR="00FD0F14" w:rsidRPr="00FD0F14" w:rsidRDefault="00FD0F14" w:rsidP="00330E11">
      <w:r w:rsidRPr="00FD0F14">
        <w:t>Kennedy, K., Devlin, M., Bentley, C., Lee-Chue, K., Paxman, C., Carter, S., Lewis, S.E., Brodie, J., Guy, E., Vardy, S., 2012. The influence of a season of extreme wet weather events on exposure of the World Heritage Area Great Barrier Reef to pesticides. Marine pollution bulletin 64, 1495-1507.</w:t>
      </w:r>
    </w:p>
    <w:p w14:paraId="53531E54" w14:textId="77777777" w:rsidR="00FD0F14" w:rsidRPr="00FD0F14" w:rsidRDefault="00FD0F14" w:rsidP="00330E11">
      <w:r w:rsidRPr="00FD0F14">
        <w:t>Kroon, F.J., 2012. Towards ecologically relevant targets for river pollutant loads to the Great Barrier Reef. Marine pollution bulletin 65, 261-266.</w:t>
      </w:r>
    </w:p>
    <w:p w14:paraId="36BF58FA" w14:textId="77777777" w:rsidR="00FD0F14" w:rsidRPr="00FD0F14" w:rsidRDefault="00FD0F14" w:rsidP="00FD0F14">
      <w:r w:rsidRPr="00FD0F14">
        <w:t>Lewis, S.E., Brodie, J.E., Endo, G., Lough, J., Furnas, M., Bainbridge, Z.T., 2014. Synthesizing historical land use change, fertiliser and pesticide usage and pollutant load data in the regulated catchments to quantify baseline and changing loads exported to the Great Barrier Reef. (No. 14/2014), TropWATER Report. James Cook University, Townsville, AU.</w:t>
      </w:r>
    </w:p>
    <w:p w14:paraId="65C54E34" w14:textId="77777777" w:rsidR="00FD0F14" w:rsidRPr="00FD0F14" w:rsidRDefault="00FD0F14" w:rsidP="00FD0F14">
      <w:r w:rsidRPr="00FD0F14">
        <w:t>Luick, J.L., Mason, L., Hardy, T., Furnas, M.J., 2007. Circulation in the Great Barrier Reef Lagoon using numerical tracers and in situ data. Cont. Shelf Res. 27, 757–778. doi:10.1016/j.csr.2006.11.020</w:t>
      </w:r>
    </w:p>
    <w:p w14:paraId="5D56037F" w14:textId="77777777" w:rsidR="00FD0F14" w:rsidRPr="00FD0F14" w:rsidRDefault="00FD0F14" w:rsidP="00330E11">
      <w:r w:rsidRPr="00FD0F14">
        <w:t>Martin, K., McKenzie, L.J., Thompson, A., Muller, J., Bentley, C., Paxman, C., Collier, C., Waycott, M., Brando, V., Devlin, M., Schaffelke, B., 2014. Reef Rescue Marine Monitoring Program synthesis report. 2010-2011, A report to the Great Barrier Reef Marine Park Authority., GBRMPA, Townsville.</w:t>
      </w:r>
    </w:p>
    <w:p w14:paraId="47D0FA79" w14:textId="77777777" w:rsidR="00FD0F14" w:rsidRPr="00FD0F14" w:rsidRDefault="00FD0F14" w:rsidP="00330E11">
      <w:r w:rsidRPr="00FD0F14">
        <w:t>Maughan, M., Brodie, J., 2009. Reef exposure to river-borne contaminants: a spatial model. Marine and Freshwater Research 60, 1132-1140.</w:t>
      </w:r>
    </w:p>
    <w:p w14:paraId="3725DDE8" w14:textId="77777777" w:rsidR="00FD0F14" w:rsidRPr="00FD0F14" w:rsidRDefault="00FD0F14" w:rsidP="00330E11">
      <w:r w:rsidRPr="00FD0F14">
        <w:t>McKenzie, L., Collier, C., Waycott, M., 2014. Reef Rescue Marine Monitoring Program: Inshore Seagrass, Annual Report for the sampling period 1st July 2011–31st May 2012.</w:t>
      </w:r>
    </w:p>
    <w:p w14:paraId="42BEE0FA" w14:textId="77777777" w:rsidR="00FD0F14" w:rsidRPr="00FD0F14" w:rsidRDefault="00FD0F14" w:rsidP="00330E11">
      <w:r w:rsidRPr="00FD0F14">
        <w:t>McKenzie, L., Collier, C., Waycott, M., Unsworth, R., Yoshida, R., Smith, N., 2012. Monitoring inshore seagrasses of the GBR and responses to water quality.</w:t>
      </w:r>
    </w:p>
    <w:p w14:paraId="2FC9AC8A" w14:textId="77777777" w:rsidR="00FD0F14" w:rsidRPr="00FD0F14" w:rsidRDefault="00FD0F14" w:rsidP="00330E11">
      <w:r w:rsidRPr="00FD0F14">
        <w:t>Petus C., Devlin, M., Thompson, A., McKenzie, L., Teixeira da Silva, E., collier, C., Tracey, D., Martin, K., (</w:t>
      </w:r>
      <w:r w:rsidR="009F682C">
        <w:t>2016</w:t>
      </w:r>
      <w:r w:rsidRPr="00FD0F14">
        <w:t>). Estimating the exposure of coral reefs and seagrass meadows to land-sourced contaminants in river flood plumes of the Great Barrier Reef: validating a simple satellite risk framework with Environmental Data. Remote Sensing</w:t>
      </w:r>
      <w:r w:rsidR="009F682C">
        <w:t>.</w:t>
      </w:r>
    </w:p>
    <w:p w14:paraId="66ECFC2D" w14:textId="77777777" w:rsidR="00FD0F14" w:rsidRPr="00FD0F14" w:rsidRDefault="00FD0F14" w:rsidP="00330E11">
      <w:r w:rsidRPr="00FD0F14">
        <w:t>Petus, C., Collier, C., Devlin, M., Rasheed, M., McKenna, S., 2014b. Using MODIS data for understanding changes in seagrass meadow health: A case study in the Great Barrier Reef (Australia). Marine environmental research 98, 68-85.</w:t>
      </w:r>
    </w:p>
    <w:p w14:paraId="2C934695" w14:textId="77777777" w:rsidR="00FD0F14" w:rsidRPr="00FD0F14" w:rsidRDefault="00FD0F14" w:rsidP="00330E11">
      <w:r w:rsidRPr="00FD0F14">
        <w:t>Petus, C., Teixeira da Silva,E., Devlin, M., Wenger, A.,Álvarez-Romero, J. G. 2014a. Using MODIS data for mapping of water types within river plumes in the Great Barrier Reef, Australia: towards the production of river plume risk maps for reef and seagrass ecosystems. Journal of Environmental Management 137: 163-177.</w:t>
      </w:r>
    </w:p>
    <w:p w14:paraId="29077BC0" w14:textId="77777777" w:rsidR="00FD0F14" w:rsidRPr="00FD0F14" w:rsidRDefault="00FD0F14" w:rsidP="00330E11">
      <w:r w:rsidRPr="00FD0F14">
        <w:t>Petus, C., Teixeira da Silva,E., Devlin, M., Wenger, A.,Álvarez-Romero, J. G. 2014b. Using MODIS data for mapping of water types within river plumes in the Great Barrier Reef, Australia: towards the production of river plume risk maps for reef and seagrass ecosystems. Journal of Environmental Management 137: 163-177.</w:t>
      </w:r>
    </w:p>
    <w:p w14:paraId="1F234261" w14:textId="77777777" w:rsidR="00FD0F14" w:rsidRPr="00FD0F14" w:rsidRDefault="00FD0F14" w:rsidP="00FD0F14">
      <w:r w:rsidRPr="00FD0F14">
        <w:t>R Development Core Team, 2015. R: a language and environment for statistical computing [WWW Document]. GBIF.ORG. URL http://www.gbif.org/resource/81287 (accessed 5.20.15).</w:t>
      </w:r>
    </w:p>
    <w:p w14:paraId="26B63D9C" w14:textId="77777777" w:rsidR="00FD0F14" w:rsidRPr="00FD0F14" w:rsidRDefault="00FD0F14" w:rsidP="00330E11">
      <w:pPr>
        <w:rPr>
          <w:lang w:val="de-DE"/>
        </w:rPr>
      </w:pPr>
      <w:r w:rsidRPr="006427BE">
        <w:t xml:space="preserve">Schaffelke, B., Carleton, J., Skuza, M., Zagorskis, I., Furnas, M.J., 2012. </w:t>
      </w:r>
      <w:r w:rsidRPr="00FD0F14">
        <w:t xml:space="preserve">Water quality in the inshore Great Barrier Reef lagoon: Implications for long-term monitoring and management. </w:t>
      </w:r>
      <w:r w:rsidRPr="00FD0F14">
        <w:rPr>
          <w:lang w:val="de-DE"/>
        </w:rPr>
        <w:t>Marine pollution bulletin 65, 249-260.</w:t>
      </w:r>
    </w:p>
    <w:p w14:paraId="38665041" w14:textId="77777777" w:rsidR="00FD0F14" w:rsidRPr="00FD0F14" w:rsidRDefault="00FD0F14" w:rsidP="00330E11">
      <w:r w:rsidRPr="00FD0F14">
        <w:rPr>
          <w:lang w:val="de-DE"/>
        </w:rPr>
        <w:t xml:space="preserve">Schroeder, T., Behnert, I., Schaale, M., Fischer, J., Doerffer, R., 2007. </w:t>
      </w:r>
      <w:r w:rsidRPr="00FD0F14">
        <w:t xml:space="preserve">Atmospheric correction algorithm for MERIS above case‐2 waters. International Journal of Remote Sensing 28, 1469-1486. </w:t>
      </w:r>
    </w:p>
    <w:p w14:paraId="4821AB80" w14:textId="77777777" w:rsidR="00FD0F14" w:rsidRPr="00FD0F14" w:rsidRDefault="00FD0F14" w:rsidP="00330E11">
      <w:r w:rsidRPr="00FD0F14">
        <w:t>Thompson, A., Schaffelke, B., Logan, M., Costello, P., Davidson, J., Doyle, J., Furnas, M., Gunn, K., Liddy, M., Skuza, M., 2013. Reef Rescue Marine Monitoring Program: Annual Report of AIMS Activities 2012 to 2013, Inshore water quality and coral reef monitoring.</w:t>
      </w:r>
    </w:p>
    <w:p w14:paraId="4EBD17D4" w14:textId="77777777" w:rsidR="00FD0F14" w:rsidRDefault="00FD0F14" w:rsidP="00330E11">
      <w:r w:rsidRPr="00FD0F14">
        <w:t>Waterhouse, J., Brodie, J., Lewis, S., Mitchell, A., 2012. Quantifying the sources of pollutants in the Great Barrier Reef catchments and the relative risk to reef ecosystems. Marine pollution bulletin 65, 394-406.</w:t>
      </w:r>
    </w:p>
    <w:p w14:paraId="4748010C" w14:textId="77777777" w:rsidR="009F682C" w:rsidRPr="00EA1FF6" w:rsidRDefault="009F682C" w:rsidP="009F682C">
      <w:r w:rsidRPr="0056213D">
        <w:t>Waters, D.K., Carroll, C., Ellis, R., Hateley, L., McCloskey, J., Packett, R., Dougall, C., Fentie, B. 2014. Modelling reductions of pollutant loads due to improved management practices in the Great Barrier Reef Catchments – Whole of GBR, Volume 1. Department of Natural Resources and Mines. Technical Report (ISBN: 978-1-7423-0999).</w:t>
      </w:r>
    </w:p>
    <w:p w14:paraId="305D0BD1" w14:textId="77777777" w:rsidR="00FD0F14" w:rsidRPr="00FD0F14" w:rsidRDefault="00FD0F14" w:rsidP="00330E11">
      <w:r w:rsidRPr="00FD0F14">
        <w:t>Wolanski, E., Jones, M., 1981. Physical properties of Great Barrier Reef lagoon waters near Townsville. I. Effects of Burdekin River floods. Marine and Freshwater Research 32, 305-319.</w:t>
      </w:r>
    </w:p>
    <w:p w14:paraId="7C9B1E53" w14:textId="77777777" w:rsidR="00FD0F14" w:rsidRPr="00FD0F14" w:rsidRDefault="00FD0F14" w:rsidP="00330E11">
      <w:r w:rsidRPr="00FD0F14">
        <w:rPr>
          <w:lang w:val="de-DE"/>
        </w:rPr>
        <w:t xml:space="preserve">Wolanski, E., Van Senden, D., 1983. </w:t>
      </w:r>
      <w:r w:rsidRPr="00FD0F14">
        <w:t>Mixing of Burdekin river flood waters in the Great Barrier Reef. Marine and Freshwater Research 34, 49-63.</w:t>
      </w:r>
    </w:p>
    <w:p w14:paraId="65E74857" w14:textId="77777777" w:rsidR="00FD0F14" w:rsidRPr="00FD0F14" w:rsidRDefault="00FD0F14" w:rsidP="00330E11">
      <w:r w:rsidRPr="00FD0F14">
        <w:rPr>
          <w:rFonts w:cs="Courier New"/>
        </w:rPr>
        <w:t>Wolff, N., Devlin, M., da Silva, E.T., Brinkman, R., Petus, C., Tracey, D., Tonin, H., Stephen, L., Mumby, P., Anthony, K., 2014. Impacts of terrestrial runoff on the vulnerability of the Great Barrier Reef., in: The 22nd Ocean Optics Conference. Portland, ME.</w:t>
      </w:r>
    </w:p>
    <w:p w14:paraId="4AAE2FC5" w14:textId="60510D5D" w:rsidR="009A3D0A" w:rsidRPr="007B3098" w:rsidRDefault="00FD0F14" w:rsidP="00411DCA">
      <w:pPr>
        <w:rPr>
          <w:sz w:val="18"/>
        </w:rPr>
      </w:pPr>
      <w:r w:rsidRPr="00FD0F14">
        <w:t xml:space="preserve">Wood, S. N. (2006). Low‐Rank Scale‐Invariant Tensor Product Smooths for Generalized Additive Mixed Models. </w:t>
      </w:r>
      <w:r w:rsidRPr="00FD0F14">
        <w:rPr>
          <w:i/>
          <w:iCs/>
        </w:rPr>
        <w:t>Biometrics</w:t>
      </w:r>
      <w:r w:rsidRPr="00FD0F14">
        <w:t xml:space="preserve">, </w:t>
      </w:r>
      <w:r w:rsidRPr="00FD0F14">
        <w:rPr>
          <w:i/>
          <w:iCs/>
        </w:rPr>
        <w:t>62</w:t>
      </w:r>
      <w:r w:rsidRPr="00FD0F14">
        <w:t>(4), 1025-1036.</w:t>
      </w:r>
    </w:p>
    <w:sectPr w:rsidR="009A3D0A" w:rsidRPr="007B3098" w:rsidSect="00782908">
      <w:pgSz w:w="11907" w:h="16840" w:code="9"/>
      <w:pgMar w:top="1440" w:right="1440" w:bottom="1440" w:left="1440" w:header="709" w:footer="72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9AF4C83" w14:textId="77777777" w:rsidR="00546C7F" w:rsidRDefault="00546C7F" w:rsidP="006424EB">
      <w:r>
        <w:separator/>
      </w:r>
    </w:p>
  </w:endnote>
  <w:endnote w:type="continuationSeparator" w:id="0">
    <w:p w14:paraId="1DB79901" w14:textId="77777777" w:rsidR="00546C7F" w:rsidRDefault="00546C7F" w:rsidP="006424EB">
      <w:r>
        <w:continuationSeparator/>
      </w:r>
    </w:p>
  </w:endnote>
  <w:endnote w:type="continuationNotice" w:id="1">
    <w:p w14:paraId="601B74EA" w14:textId="77777777" w:rsidR="00546C7F" w:rsidRDefault="00546C7F">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Gill Sans MT">
    <w:panose1 w:val="020B0502020104020203"/>
    <w:charset w:val="00"/>
    <w:family w:val="swiss"/>
    <w:pitch w:val="variable"/>
    <w:sig w:usb0="00000007" w:usb1="00000000" w:usb2="00000000" w:usb3="00000000" w:csb0="00000003" w:csb1="00000000"/>
  </w:font>
  <w:font w:name="Myriad Pro">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 w:name="Frutiger LT Std 45 Light">
    <w:panose1 w:val="00000000000000000000"/>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433D4B" w14:textId="73BF96D3" w:rsidR="00546C7F" w:rsidRDefault="00546C7F" w:rsidP="007557A2">
    <w:pPr>
      <w:pStyle w:val="Foote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8B3420" w14:textId="77777777" w:rsidR="00546C7F" w:rsidRPr="0024505B" w:rsidRDefault="00546C7F" w:rsidP="006424EB">
    <w:pPr>
      <w:pStyle w:val="Footer"/>
      <w:rPr>
        <w:lang w:val="en-US"/>
      </w:rPr>
    </w:pPr>
    <w:r w:rsidRPr="0024505B">
      <w:rPr>
        <w:lang w:val="en-US"/>
      </w:rPr>
      <w:t>Australian Centre for Tropical Freshwater Research</w:t>
    </w:r>
    <w:r w:rsidRPr="0024505B">
      <w:rPr>
        <w:lang w:val="en-US"/>
      </w:rPr>
      <w:tab/>
    </w:r>
    <w:r w:rsidRPr="0024505B">
      <w:rPr>
        <w:lang w:val="en-US"/>
      </w:rPr>
      <w:tab/>
      <w:t xml:space="preserve">Page </w:t>
    </w:r>
    <w:r w:rsidRPr="0024505B">
      <w:rPr>
        <w:rStyle w:val="PageNumber"/>
        <w:rFonts w:ascii="Arial" w:hAnsi="Arial" w:cs="Arial"/>
        <w:sz w:val="16"/>
        <w:szCs w:val="16"/>
      </w:rPr>
      <w:fldChar w:fldCharType="begin"/>
    </w:r>
    <w:r w:rsidRPr="0024505B">
      <w:rPr>
        <w:rStyle w:val="PageNumber"/>
        <w:rFonts w:ascii="Arial" w:hAnsi="Arial" w:cs="Arial"/>
        <w:sz w:val="16"/>
        <w:szCs w:val="16"/>
      </w:rPr>
      <w:instrText xml:space="preserve"> PAGE </w:instrText>
    </w:r>
    <w:r w:rsidRPr="0024505B">
      <w:rPr>
        <w:rStyle w:val="PageNumber"/>
        <w:rFonts w:ascii="Arial" w:hAnsi="Arial" w:cs="Arial"/>
        <w:sz w:val="16"/>
        <w:szCs w:val="16"/>
      </w:rPr>
      <w:fldChar w:fldCharType="separate"/>
    </w:r>
    <w:r>
      <w:rPr>
        <w:rStyle w:val="PageNumber"/>
        <w:rFonts w:ascii="Arial" w:hAnsi="Arial" w:cs="Arial"/>
        <w:noProof/>
        <w:sz w:val="16"/>
        <w:szCs w:val="16"/>
      </w:rPr>
      <w:t>1</w:t>
    </w:r>
    <w:r w:rsidRPr="0024505B">
      <w:rPr>
        <w:rStyle w:val="PageNumber"/>
        <w:rFonts w:ascii="Arial" w:hAnsi="Arial" w:cs="Arial"/>
        <w:sz w:val="16"/>
        <w:szCs w:val="16"/>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32558345"/>
      <w:docPartObj>
        <w:docPartGallery w:val="Page Numbers (Bottom of Page)"/>
        <w:docPartUnique/>
      </w:docPartObj>
    </w:sdtPr>
    <w:sdtEndPr>
      <w:rPr>
        <w:noProof/>
      </w:rPr>
    </w:sdtEndPr>
    <w:sdtContent>
      <w:p w14:paraId="690CE39D" w14:textId="0FAF32DC" w:rsidR="00546C7F" w:rsidRPr="007557A2" w:rsidRDefault="00546C7F" w:rsidP="007557A2">
        <w:pPr>
          <w:pStyle w:val="Footer"/>
          <w:jc w:val="center"/>
        </w:pPr>
        <w:r>
          <w:fldChar w:fldCharType="begin"/>
        </w:r>
        <w:r>
          <w:instrText xml:space="preserve"> PAGE   \* MERGEFORMAT </w:instrText>
        </w:r>
        <w:r>
          <w:fldChar w:fldCharType="separate"/>
        </w:r>
        <w:r w:rsidR="00A87B15">
          <w:rPr>
            <w:noProof/>
          </w:rPr>
          <w:t>xi</w:t>
        </w:r>
        <w:r>
          <w:rPr>
            <w:noProof/>
          </w:rP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CD21DB" w14:textId="77777777" w:rsidR="00546C7F" w:rsidRPr="002C6A6F" w:rsidRDefault="00546C7F" w:rsidP="0083263F">
    <w:pPr>
      <w:pStyle w:val="Footer"/>
      <w:rPr>
        <w:rFonts w:ascii="Frutiger LT Std 45 Light" w:hAnsi="Frutiger LT Std 45 Light"/>
      </w:rPr>
    </w:pPr>
    <w:r w:rsidRPr="002C6A6F">
      <w:rPr>
        <w:rStyle w:val="PageNumber"/>
        <w:rFonts w:ascii="Frutiger LT Std 45 Light" w:hAnsi="Frutiger LT Std 45 Light"/>
      </w:rPr>
      <w:fldChar w:fldCharType="begin"/>
    </w:r>
    <w:r w:rsidRPr="002C6A6F">
      <w:rPr>
        <w:rStyle w:val="PageNumber"/>
        <w:rFonts w:ascii="Frutiger LT Std 45 Light" w:hAnsi="Frutiger LT Std 45 Light"/>
      </w:rPr>
      <w:instrText xml:space="preserve"> PAGE </w:instrText>
    </w:r>
    <w:r w:rsidRPr="002C6A6F">
      <w:rPr>
        <w:rStyle w:val="PageNumber"/>
        <w:rFonts w:ascii="Frutiger LT Std 45 Light" w:hAnsi="Frutiger LT Std 45 Light"/>
      </w:rPr>
      <w:fldChar w:fldCharType="separate"/>
    </w:r>
    <w:r>
      <w:rPr>
        <w:rStyle w:val="PageNumber"/>
        <w:rFonts w:ascii="Frutiger LT Std 45 Light" w:hAnsi="Frutiger LT Std 45 Light"/>
        <w:noProof/>
      </w:rPr>
      <w:t>2</w:t>
    </w:r>
    <w:r w:rsidRPr="002C6A6F">
      <w:rPr>
        <w:rStyle w:val="PageNumber"/>
        <w:rFonts w:ascii="Frutiger LT Std 45 Light" w:hAnsi="Frutiger LT Std 45 Light"/>
      </w:rP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23959976"/>
      <w:docPartObj>
        <w:docPartGallery w:val="Page Numbers (Bottom of Page)"/>
        <w:docPartUnique/>
      </w:docPartObj>
    </w:sdtPr>
    <w:sdtEndPr>
      <w:rPr>
        <w:noProof/>
      </w:rPr>
    </w:sdtEndPr>
    <w:sdtContent>
      <w:p w14:paraId="1E9B1304" w14:textId="5B53C5E0" w:rsidR="00546C7F" w:rsidRDefault="00546C7F" w:rsidP="007557A2">
        <w:pPr>
          <w:pStyle w:val="Footer"/>
          <w:jc w:val="center"/>
        </w:pPr>
        <w:r>
          <w:fldChar w:fldCharType="begin"/>
        </w:r>
        <w:r>
          <w:instrText xml:space="preserve"> PAGE   \* MERGEFORMAT </w:instrText>
        </w:r>
        <w:r>
          <w:fldChar w:fldCharType="separate"/>
        </w:r>
        <w:r w:rsidR="00A87B15">
          <w:rPr>
            <w:noProof/>
          </w:rPr>
          <w:t>28</w:t>
        </w:r>
        <w:r>
          <w:rPr>
            <w:noProof/>
          </w:rPr>
          <w:fldChar w:fldCharType="end"/>
        </w: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9598550"/>
      <w:docPartObj>
        <w:docPartGallery w:val="Page Numbers (Bottom of Page)"/>
        <w:docPartUnique/>
      </w:docPartObj>
    </w:sdtPr>
    <w:sdtEndPr>
      <w:rPr>
        <w:noProof/>
      </w:rPr>
    </w:sdtEndPr>
    <w:sdtContent>
      <w:p w14:paraId="7B77A0E6" w14:textId="37606DF6" w:rsidR="00546C7F" w:rsidRDefault="00546C7F" w:rsidP="00A24E43">
        <w:pPr>
          <w:pStyle w:val="Footer"/>
          <w:jc w:val="right"/>
        </w:pPr>
        <w:r>
          <w:fldChar w:fldCharType="begin"/>
        </w:r>
        <w:r>
          <w:instrText xml:space="preserve"> PAGE  \* Arabic  \* MERGEFORMAT </w:instrText>
        </w:r>
        <w:r>
          <w:fldChar w:fldCharType="separate"/>
        </w:r>
        <w:r w:rsidR="00A87B15">
          <w:rPr>
            <w:noProof/>
          </w:rPr>
          <w:t>31</w:t>
        </w:r>
        <w:r>
          <w:fldChar w:fldCharType="end"/>
        </w:r>
      </w:p>
    </w:sdtContent>
  </w:sdt>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95080207"/>
      <w:docPartObj>
        <w:docPartGallery w:val="Page Numbers (Bottom of Page)"/>
        <w:docPartUnique/>
      </w:docPartObj>
    </w:sdtPr>
    <w:sdtEndPr>
      <w:rPr>
        <w:noProof/>
      </w:rPr>
    </w:sdtEndPr>
    <w:sdtContent>
      <w:p w14:paraId="4DB43CB1" w14:textId="0E6B4FD5" w:rsidR="00546C7F" w:rsidRDefault="00546C7F">
        <w:pPr>
          <w:pStyle w:val="Footer"/>
          <w:jc w:val="right"/>
        </w:pPr>
        <w:r>
          <w:fldChar w:fldCharType="begin"/>
        </w:r>
        <w:r>
          <w:instrText xml:space="preserve"> PAGE  \* Arabic  \* MERGEFORMAT </w:instrText>
        </w:r>
        <w:r>
          <w:fldChar w:fldCharType="separate"/>
        </w:r>
        <w:r w:rsidR="00A87B15">
          <w:rPr>
            <w:noProof/>
          </w:rPr>
          <w:t>32</w:t>
        </w:r>
        <w:r>
          <w:fldChar w:fldCharType="end"/>
        </w:r>
      </w:p>
    </w:sdtContent>
  </w:sdt>
  <w:p w14:paraId="16893D9A" w14:textId="77777777" w:rsidR="00546C7F" w:rsidRDefault="00546C7F">
    <w:pPr>
      <w:pStyle w:val="Foo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6557871"/>
      <w:docPartObj>
        <w:docPartGallery w:val="Page Numbers (Bottom of Page)"/>
        <w:docPartUnique/>
      </w:docPartObj>
    </w:sdtPr>
    <w:sdtEndPr>
      <w:rPr>
        <w:noProof/>
      </w:rPr>
    </w:sdtEndPr>
    <w:sdtContent>
      <w:p w14:paraId="0378378D" w14:textId="45F44694" w:rsidR="00546C7F" w:rsidRPr="0058526F" w:rsidRDefault="00546C7F" w:rsidP="002259B1">
        <w:pPr>
          <w:pStyle w:val="Footer"/>
          <w:jc w:val="center"/>
        </w:pPr>
        <w:r>
          <w:fldChar w:fldCharType="begin"/>
        </w:r>
        <w:r>
          <w:instrText xml:space="preserve"> PAGE   \* MERGEFORMAT </w:instrText>
        </w:r>
        <w:r>
          <w:fldChar w:fldCharType="separate"/>
        </w:r>
        <w:r w:rsidR="00A87B15">
          <w:rPr>
            <w:noProof/>
          </w:rPr>
          <w:t>47</w:t>
        </w:r>
        <w:r>
          <w:rPr>
            <w:noProof/>
          </w:rPr>
          <w:fldChar w:fldCharType="end"/>
        </w:r>
      </w:p>
    </w:sdtContent>
  </w:sdt>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4164097"/>
      <w:docPartObj>
        <w:docPartGallery w:val="Page Numbers (Bottom of Page)"/>
        <w:docPartUnique/>
      </w:docPartObj>
    </w:sdtPr>
    <w:sdtEndPr>
      <w:rPr>
        <w:noProof/>
      </w:rPr>
    </w:sdtEndPr>
    <w:sdtContent>
      <w:p w14:paraId="77AC7BBF" w14:textId="76821919" w:rsidR="00546C7F" w:rsidRPr="0058526F" w:rsidRDefault="00546C7F" w:rsidP="00121711">
        <w:pPr>
          <w:pStyle w:val="Footer"/>
          <w:jc w:val="center"/>
        </w:pPr>
        <w:r>
          <w:fldChar w:fldCharType="begin"/>
        </w:r>
        <w:r>
          <w:instrText xml:space="preserve"> PAGE   \* MERGEFORMAT </w:instrText>
        </w:r>
        <w:r>
          <w:fldChar w:fldCharType="separate"/>
        </w:r>
        <w:r w:rsidR="00A87B15">
          <w:rPr>
            <w:noProof/>
          </w:rPr>
          <w:t>85</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9781DF1" w14:textId="77777777" w:rsidR="00546C7F" w:rsidRDefault="00546C7F" w:rsidP="006424EB">
      <w:r>
        <w:separator/>
      </w:r>
    </w:p>
  </w:footnote>
  <w:footnote w:type="continuationSeparator" w:id="0">
    <w:p w14:paraId="4349AB57" w14:textId="77777777" w:rsidR="00546C7F" w:rsidRDefault="00546C7F" w:rsidP="006424EB">
      <w:r>
        <w:continuationSeparator/>
      </w:r>
    </w:p>
  </w:footnote>
  <w:footnote w:type="continuationNotice" w:id="1">
    <w:p w14:paraId="1972D3E6" w14:textId="77777777" w:rsidR="00546C7F" w:rsidRDefault="00546C7F">
      <w:pPr>
        <w:spacing w:before="0" w:after="0"/>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82F4AD" w14:textId="77777777" w:rsidR="00546C7F" w:rsidRPr="0024505B" w:rsidRDefault="00546C7F" w:rsidP="006424EB">
    <w:r w:rsidRPr="0024505B">
      <w:t>Dry Season Limnological Monitoring Program for Birla Mount Gordon Mine</w:t>
    </w:r>
    <w:r>
      <w:t xml:space="preserve"> - </w:t>
    </w:r>
    <w:r w:rsidRPr="0024505B">
      <w:t>ACTFR Proposal 05/05, April 2005</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26FD75" w14:textId="77777777" w:rsidR="00546C7F" w:rsidRPr="00273078" w:rsidRDefault="00546C7F" w:rsidP="00821EED">
    <w:pPr>
      <w:spacing w:before="0" w:after="0"/>
      <w:jc w:val="lef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A365E4" w14:textId="77777777" w:rsidR="00546C7F" w:rsidRPr="00273078" w:rsidRDefault="00546C7F" w:rsidP="00821EED">
    <w:pPr>
      <w:spacing w:before="0" w:after="0"/>
      <w:jc w:val="lef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077A4C" w14:textId="77777777" w:rsidR="00546C7F" w:rsidRDefault="00546C7F">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EB2CFD" w14:textId="77777777" w:rsidR="00546C7F" w:rsidRDefault="00546C7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21AC3FDE"/>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61744F7"/>
    <w:multiLevelType w:val="hybridMultilevel"/>
    <w:tmpl w:val="DD2C61FC"/>
    <w:lvl w:ilvl="0" w:tplc="0C090001">
      <w:start w:val="1"/>
      <w:numFmt w:val="bullet"/>
      <w:lvlText w:val=""/>
      <w:lvlJc w:val="left"/>
      <w:pPr>
        <w:ind w:left="1077" w:hanging="360"/>
      </w:pPr>
      <w:rPr>
        <w:rFonts w:ascii="Symbol" w:hAnsi="Symbol" w:hint="default"/>
      </w:rPr>
    </w:lvl>
    <w:lvl w:ilvl="1" w:tplc="0C090003" w:tentative="1">
      <w:start w:val="1"/>
      <w:numFmt w:val="bullet"/>
      <w:lvlText w:val="o"/>
      <w:lvlJc w:val="left"/>
      <w:pPr>
        <w:ind w:left="1797" w:hanging="360"/>
      </w:pPr>
      <w:rPr>
        <w:rFonts w:ascii="Courier New" w:hAnsi="Courier New" w:cs="Courier New" w:hint="default"/>
      </w:rPr>
    </w:lvl>
    <w:lvl w:ilvl="2" w:tplc="0C090005" w:tentative="1">
      <w:start w:val="1"/>
      <w:numFmt w:val="bullet"/>
      <w:lvlText w:val=""/>
      <w:lvlJc w:val="left"/>
      <w:pPr>
        <w:ind w:left="2517" w:hanging="360"/>
      </w:pPr>
      <w:rPr>
        <w:rFonts w:ascii="Wingdings" w:hAnsi="Wingdings" w:hint="default"/>
      </w:rPr>
    </w:lvl>
    <w:lvl w:ilvl="3" w:tplc="0C090001" w:tentative="1">
      <w:start w:val="1"/>
      <w:numFmt w:val="bullet"/>
      <w:lvlText w:val=""/>
      <w:lvlJc w:val="left"/>
      <w:pPr>
        <w:ind w:left="3237" w:hanging="360"/>
      </w:pPr>
      <w:rPr>
        <w:rFonts w:ascii="Symbol" w:hAnsi="Symbol" w:hint="default"/>
      </w:rPr>
    </w:lvl>
    <w:lvl w:ilvl="4" w:tplc="0C090003" w:tentative="1">
      <w:start w:val="1"/>
      <w:numFmt w:val="bullet"/>
      <w:lvlText w:val="o"/>
      <w:lvlJc w:val="left"/>
      <w:pPr>
        <w:ind w:left="3957" w:hanging="360"/>
      </w:pPr>
      <w:rPr>
        <w:rFonts w:ascii="Courier New" w:hAnsi="Courier New" w:cs="Courier New" w:hint="default"/>
      </w:rPr>
    </w:lvl>
    <w:lvl w:ilvl="5" w:tplc="0C090005" w:tentative="1">
      <w:start w:val="1"/>
      <w:numFmt w:val="bullet"/>
      <w:lvlText w:val=""/>
      <w:lvlJc w:val="left"/>
      <w:pPr>
        <w:ind w:left="4677" w:hanging="360"/>
      </w:pPr>
      <w:rPr>
        <w:rFonts w:ascii="Wingdings" w:hAnsi="Wingdings" w:hint="default"/>
      </w:rPr>
    </w:lvl>
    <w:lvl w:ilvl="6" w:tplc="0C090001" w:tentative="1">
      <w:start w:val="1"/>
      <w:numFmt w:val="bullet"/>
      <w:lvlText w:val=""/>
      <w:lvlJc w:val="left"/>
      <w:pPr>
        <w:ind w:left="5397" w:hanging="360"/>
      </w:pPr>
      <w:rPr>
        <w:rFonts w:ascii="Symbol" w:hAnsi="Symbol" w:hint="default"/>
      </w:rPr>
    </w:lvl>
    <w:lvl w:ilvl="7" w:tplc="0C090003" w:tentative="1">
      <w:start w:val="1"/>
      <w:numFmt w:val="bullet"/>
      <w:lvlText w:val="o"/>
      <w:lvlJc w:val="left"/>
      <w:pPr>
        <w:ind w:left="6117" w:hanging="360"/>
      </w:pPr>
      <w:rPr>
        <w:rFonts w:ascii="Courier New" w:hAnsi="Courier New" w:cs="Courier New" w:hint="default"/>
      </w:rPr>
    </w:lvl>
    <w:lvl w:ilvl="8" w:tplc="0C090005" w:tentative="1">
      <w:start w:val="1"/>
      <w:numFmt w:val="bullet"/>
      <w:lvlText w:val=""/>
      <w:lvlJc w:val="left"/>
      <w:pPr>
        <w:ind w:left="6837" w:hanging="360"/>
      </w:pPr>
      <w:rPr>
        <w:rFonts w:ascii="Wingdings" w:hAnsi="Wingdings" w:hint="default"/>
      </w:rPr>
    </w:lvl>
  </w:abstractNum>
  <w:abstractNum w:abstractNumId="2">
    <w:nsid w:val="06620834"/>
    <w:multiLevelType w:val="hybridMultilevel"/>
    <w:tmpl w:val="6B841A98"/>
    <w:lvl w:ilvl="0" w:tplc="EEEC7574">
      <w:start w:val="1"/>
      <w:numFmt w:val="lowerLetter"/>
      <w:lvlText w:val="(%1)"/>
      <w:lvlJc w:val="left"/>
      <w:pPr>
        <w:ind w:left="473" w:hanging="360"/>
      </w:pPr>
      <w:rPr>
        <w:rFonts w:hint="default"/>
      </w:rPr>
    </w:lvl>
    <w:lvl w:ilvl="1" w:tplc="0C090019" w:tentative="1">
      <w:start w:val="1"/>
      <w:numFmt w:val="lowerLetter"/>
      <w:lvlText w:val="%2."/>
      <w:lvlJc w:val="left"/>
      <w:pPr>
        <w:ind w:left="1193" w:hanging="360"/>
      </w:pPr>
    </w:lvl>
    <w:lvl w:ilvl="2" w:tplc="0C09001B" w:tentative="1">
      <w:start w:val="1"/>
      <w:numFmt w:val="lowerRoman"/>
      <w:lvlText w:val="%3."/>
      <w:lvlJc w:val="right"/>
      <w:pPr>
        <w:ind w:left="1913" w:hanging="180"/>
      </w:pPr>
    </w:lvl>
    <w:lvl w:ilvl="3" w:tplc="0C09000F" w:tentative="1">
      <w:start w:val="1"/>
      <w:numFmt w:val="decimal"/>
      <w:lvlText w:val="%4."/>
      <w:lvlJc w:val="left"/>
      <w:pPr>
        <w:ind w:left="2633" w:hanging="360"/>
      </w:pPr>
    </w:lvl>
    <w:lvl w:ilvl="4" w:tplc="0C090019" w:tentative="1">
      <w:start w:val="1"/>
      <w:numFmt w:val="lowerLetter"/>
      <w:lvlText w:val="%5."/>
      <w:lvlJc w:val="left"/>
      <w:pPr>
        <w:ind w:left="3353" w:hanging="360"/>
      </w:pPr>
    </w:lvl>
    <w:lvl w:ilvl="5" w:tplc="0C09001B" w:tentative="1">
      <w:start w:val="1"/>
      <w:numFmt w:val="lowerRoman"/>
      <w:lvlText w:val="%6."/>
      <w:lvlJc w:val="right"/>
      <w:pPr>
        <w:ind w:left="4073" w:hanging="180"/>
      </w:pPr>
    </w:lvl>
    <w:lvl w:ilvl="6" w:tplc="0C09000F" w:tentative="1">
      <w:start w:val="1"/>
      <w:numFmt w:val="decimal"/>
      <w:lvlText w:val="%7."/>
      <w:lvlJc w:val="left"/>
      <w:pPr>
        <w:ind w:left="4793" w:hanging="360"/>
      </w:pPr>
    </w:lvl>
    <w:lvl w:ilvl="7" w:tplc="0C090019" w:tentative="1">
      <w:start w:val="1"/>
      <w:numFmt w:val="lowerLetter"/>
      <w:lvlText w:val="%8."/>
      <w:lvlJc w:val="left"/>
      <w:pPr>
        <w:ind w:left="5513" w:hanging="360"/>
      </w:pPr>
    </w:lvl>
    <w:lvl w:ilvl="8" w:tplc="0C09001B" w:tentative="1">
      <w:start w:val="1"/>
      <w:numFmt w:val="lowerRoman"/>
      <w:lvlText w:val="%9."/>
      <w:lvlJc w:val="right"/>
      <w:pPr>
        <w:ind w:left="6233" w:hanging="180"/>
      </w:pPr>
    </w:lvl>
  </w:abstractNum>
  <w:abstractNum w:abstractNumId="3">
    <w:nsid w:val="06D841BD"/>
    <w:multiLevelType w:val="hybridMultilevel"/>
    <w:tmpl w:val="FF6C7B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8DB739F"/>
    <w:multiLevelType w:val="hybridMultilevel"/>
    <w:tmpl w:val="BA2E19AA"/>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5">
    <w:nsid w:val="0A522DD9"/>
    <w:multiLevelType w:val="hybridMultilevel"/>
    <w:tmpl w:val="46989E5C"/>
    <w:lvl w:ilvl="0" w:tplc="0C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CBD6B66"/>
    <w:multiLevelType w:val="hybridMultilevel"/>
    <w:tmpl w:val="F51E468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nsid w:val="0F8D4F32"/>
    <w:multiLevelType w:val="hybridMultilevel"/>
    <w:tmpl w:val="D5280500"/>
    <w:lvl w:ilvl="0" w:tplc="535A2364">
      <w:start w:val="1"/>
      <w:numFmt w:val="bullet"/>
      <w:pStyle w:val="Dotinden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nsid w:val="15E63D0E"/>
    <w:multiLevelType w:val="hybridMultilevel"/>
    <w:tmpl w:val="FF3680E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nsid w:val="1CF225DD"/>
    <w:multiLevelType w:val="hybridMultilevel"/>
    <w:tmpl w:val="72D23D48"/>
    <w:lvl w:ilvl="0" w:tplc="C7D83F6A">
      <w:start w:val="1"/>
      <w:numFmt w:val="decimal"/>
      <w:pStyle w:val="Heading3"/>
      <w:lvlText w:val="1.1%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4E7705F"/>
    <w:multiLevelType w:val="hybridMultilevel"/>
    <w:tmpl w:val="94FAC00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8FE40BF"/>
    <w:multiLevelType w:val="hybridMultilevel"/>
    <w:tmpl w:val="1D106CF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C9044FB"/>
    <w:multiLevelType w:val="hybridMultilevel"/>
    <w:tmpl w:val="1A12ABF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D997A1A"/>
    <w:multiLevelType w:val="hybridMultilevel"/>
    <w:tmpl w:val="EEB64DE0"/>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4">
    <w:nsid w:val="376C56BB"/>
    <w:multiLevelType w:val="hybridMultilevel"/>
    <w:tmpl w:val="6C4E54F6"/>
    <w:lvl w:ilvl="0" w:tplc="0C09000B">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nsid w:val="37DC2F12"/>
    <w:multiLevelType w:val="hybridMultilevel"/>
    <w:tmpl w:val="EF567000"/>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6">
    <w:nsid w:val="37EB656C"/>
    <w:multiLevelType w:val="hybridMultilevel"/>
    <w:tmpl w:val="BAA62AB2"/>
    <w:lvl w:ilvl="0" w:tplc="304E9B00">
      <w:start w:val="1"/>
      <w:numFmt w:val="bullet"/>
      <w:lvlText w:val="-"/>
      <w:lvlJc w:val="left"/>
      <w:pPr>
        <w:ind w:left="720" w:hanging="360"/>
      </w:pPr>
      <w:rPr>
        <w:rFonts w:ascii="Calibri" w:eastAsia="Times New Roman" w:hAnsi="Calibri" w:cstheme="minorHAnsi"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7">
    <w:nsid w:val="3D681060"/>
    <w:multiLevelType w:val="hybridMultilevel"/>
    <w:tmpl w:val="B80C4650"/>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8">
    <w:nsid w:val="445A6CD9"/>
    <w:multiLevelType w:val="multilevel"/>
    <w:tmpl w:val="1C1A9256"/>
    <w:styleLink w:val="Style5"/>
    <w:lvl w:ilvl="0">
      <w:start w:val="1"/>
      <w:numFmt w:val="decimal"/>
      <w:lvlText w:val="2.%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9">
    <w:nsid w:val="44970D2C"/>
    <w:multiLevelType w:val="hybridMultilevel"/>
    <w:tmpl w:val="E3329158"/>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CD36DC2"/>
    <w:multiLevelType w:val="hybridMultilevel"/>
    <w:tmpl w:val="16B46DB8"/>
    <w:lvl w:ilvl="0" w:tplc="0C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D8B13AB"/>
    <w:multiLevelType w:val="hybridMultilevel"/>
    <w:tmpl w:val="77C65BD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DA0311C"/>
    <w:multiLevelType w:val="hybridMultilevel"/>
    <w:tmpl w:val="90BAD5B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nsid w:val="50E34840"/>
    <w:multiLevelType w:val="multilevel"/>
    <w:tmpl w:val="CA4C842E"/>
    <w:lvl w:ilvl="0">
      <w:start w:val="1"/>
      <w:numFmt w:val="decimal"/>
      <w:pStyle w:val="Figurecaption"/>
      <w:lvlText w:val="Figure %1."/>
      <w:lvlJc w:val="center"/>
      <w:pPr>
        <w:tabs>
          <w:tab w:val="num" w:pos="360"/>
        </w:tabs>
        <w:ind w:left="360" w:hanging="72"/>
      </w:pPr>
      <w:rPr>
        <w:rFonts w:ascii="Arial" w:hAnsi="Arial" w:hint="default"/>
        <w:b w:val="0"/>
        <w:i w:val="0"/>
        <w:sz w:val="20"/>
      </w:rPr>
    </w:lvl>
    <w:lvl w:ilvl="1">
      <w:start w:val="1"/>
      <w:numFmt w:val="decimal"/>
      <w:lvlText w:val="%1.%2."/>
      <w:lvlJc w:val="left"/>
      <w:pPr>
        <w:tabs>
          <w:tab w:val="num" w:pos="650"/>
        </w:tabs>
        <w:ind w:left="650" w:hanging="432"/>
      </w:pPr>
      <w:rPr>
        <w:rFonts w:hint="default"/>
      </w:rPr>
    </w:lvl>
    <w:lvl w:ilvl="2">
      <w:start w:val="1"/>
      <w:numFmt w:val="decimal"/>
      <w:lvlText w:val="%1.%2.%3."/>
      <w:lvlJc w:val="left"/>
      <w:pPr>
        <w:tabs>
          <w:tab w:val="num" w:pos="1298"/>
        </w:tabs>
        <w:ind w:left="1082" w:hanging="504"/>
      </w:pPr>
      <w:rPr>
        <w:rFonts w:hint="default"/>
      </w:rPr>
    </w:lvl>
    <w:lvl w:ilvl="3">
      <w:start w:val="1"/>
      <w:numFmt w:val="decimal"/>
      <w:lvlText w:val="%1.%2.%3.%4."/>
      <w:lvlJc w:val="left"/>
      <w:pPr>
        <w:tabs>
          <w:tab w:val="num" w:pos="2018"/>
        </w:tabs>
        <w:ind w:left="1586" w:hanging="648"/>
      </w:pPr>
      <w:rPr>
        <w:rFonts w:hint="default"/>
      </w:rPr>
    </w:lvl>
    <w:lvl w:ilvl="4">
      <w:start w:val="1"/>
      <w:numFmt w:val="decimal"/>
      <w:lvlText w:val="%1.%2.%3.%4.%5."/>
      <w:lvlJc w:val="left"/>
      <w:pPr>
        <w:tabs>
          <w:tab w:val="num" w:pos="2378"/>
        </w:tabs>
        <w:ind w:left="2090" w:hanging="792"/>
      </w:pPr>
      <w:rPr>
        <w:rFonts w:hint="default"/>
      </w:rPr>
    </w:lvl>
    <w:lvl w:ilvl="5">
      <w:start w:val="1"/>
      <w:numFmt w:val="decimal"/>
      <w:lvlText w:val="%1.%2.%3.%4.%5.%6."/>
      <w:lvlJc w:val="left"/>
      <w:pPr>
        <w:tabs>
          <w:tab w:val="num" w:pos="3098"/>
        </w:tabs>
        <w:ind w:left="2594" w:hanging="936"/>
      </w:pPr>
      <w:rPr>
        <w:rFonts w:hint="default"/>
      </w:rPr>
    </w:lvl>
    <w:lvl w:ilvl="6">
      <w:start w:val="1"/>
      <w:numFmt w:val="decimal"/>
      <w:lvlText w:val="%1.%2.%3.%4.%5.%6.%7."/>
      <w:lvlJc w:val="left"/>
      <w:pPr>
        <w:tabs>
          <w:tab w:val="num" w:pos="3458"/>
        </w:tabs>
        <w:ind w:left="3098" w:hanging="1080"/>
      </w:pPr>
      <w:rPr>
        <w:rFonts w:hint="default"/>
      </w:rPr>
    </w:lvl>
    <w:lvl w:ilvl="7">
      <w:start w:val="1"/>
      <w:numFmt w:val="decimal"/>
      <w:lvlText w:val="%1.%2.%3.%4.%5.%6.%7.%8."/>
      <w:lvlJc w:val="left"/>
      <w:pPr>
        <w:tabs>
          <w:tab w:val="num" w:pos="4178"/>
        </w:tabs>
        <w:ind w:left="3602" w:hanging="1224"/>
      </w:pPr>
      <w:rPr>
        <w:rFonts w:hint="default"/>
      </w:rPr>
    </w:lvl>
    <w:lvl w:ilvl="8">
      <w:start w:val="1"/>
      <w:numFmt w:val="decimal"/>
      <w:lvlText w:val="%1.%2.%3.%4.%5.%6.%7.%8.%9."/>
      <w:lvlJc w:val="left"/>
      <w:pPr>
        <w:tabs>
          <w:tab w:val="num" w:pos="4898"/>
        </w:tabs>
        <w:ind w:left="4178" w:hanging="1440"/>
      </w:pPr>
      <w:rPr>
        <w:rFonts w:hint="default"/>
      </w:rPr>
    </w:lvl>
  </w:abstractNum>
  <w:abstractNum w:abstractNumId="24">
    <w:nsid w:val="53F11594"/>
    <w:multiLevelType w:val="hybridMultilevel"/>
    <w:tmpl w:val="1BC80DF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nsid w:val="5A0B0EF5"/>
    <w:multiLevelType w:val="hybridMultilevel"/>
    <w:tmpl w:val="FE9C61F6"/>
    <w:lvl w:ilvl="0" w:tplc="EDE056B6">
      <w:start w:val="1"/>
      <w:numFmt w:val="decimal"/>
      <w:pStyle w:val="Body-numbered"/>
      <w:lvlText w:val="%1."/>
      <w:lvlJc w:val="right"/>
      <w:pPr>
        <w:tabs>
          <w:tab w:val="num" w:pos="454"/>
        </w:tabs>
        <w:ind w:left="454" w:hanging="170"/>
      </w:pPr>
      <w:rPr>
        <w:rFonts w:hint="default"/>
      </w:rPr>
    </w:lvl>
    <w:lvl w:ilvl="1" w:tplc="0C090019">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26">
    <w:nsid w:val="5BFA3CB4"/>
    <w:multiLevelType w:val="hybridMultilevel"/>
    <w:tmpl w:val="EFF899C2"/>
    <w:lvl w:ilvl="0" w:tplc="0C09000B">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nsid w:val="61C636C9"/>
    <w:multiLevelType w:val="hybridMultilevel"/>
    <w:tmpl w:val="0B1A2F60"/>
    <w:lvl w:ilvl="0" w:tplc="0C09000B">
      <w:start w:val="1"/>
      <w:numFmt w:val="bullet"/>
      <w:lvlText w:val=""/>
      <w:lvlJc w:val="left"/>
      <w:pPr>
        <w:ind w:left="720" w:hanging="360"/>
      </w:pPr>
      <w:rPr>
        <w:rFonts w:ascii="Wingdings" w:hAnsi="Wingdings"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nsid w:val="67933B23"/>
    <w:multiLevelType w:val="multilevel"/>
    <w:tmpl w:val="D77080A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pStyle w:val="Heading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6E02148F"/>
    <w:multiLevelType w:val="hybridMultilevel"/>
    <w:tmpl w:val="6ACC866A"/>
    <w:lvl w:ilvl="0" w:tplc="29AC05D0">
      <w:start w:val="1"/>
      <w:numFmt w:val="lowerLetter"/>
      <w:lvlText w:val="(%1)"/>
      <w:lvlJc w:val="left"/>
      <w:pPr>
        <w:ind w:left="410" w:hanging="360"/>
      </w:pPr>
      <w:rPr>
        <w:rFonts w:hint="default"/>
      </w:rPr>
    </w:lvl>
    <w:lvl w:ilvl="1" w:tplc="0C090019" w:tentative="1">
      <w:start w:val="1"/>
      <w:numFmt w:val="lowerLetter"/>
      <w:lvlText w:val="%2."/>
      <w:lvlJc w:val="left"/>
      <w:pPr>
        <w:ind w:left="1130" w:hanging="360"/>
      </w:pPr>
    </w:lvl>
    <w:lvl w:ilvl="2" w:tplc="0C09001B" w:tentative="1">
      <w:start w:val="1"/>
      <w:numFmt w:val="lowerRoman"/>
      <w:lvlText w:val="%3."/>
      <w:lvlJc w:val="right"/>
      <w:pPr>
        <w:ind w:left="1850" w:hanging="180"/>
      </w:pPr>
    </w:lvl>
    <w:lvl w:ilvl="3" w:tplc="0C09000F" w:tentative="1">
      <w:start w:val="1"/>
      <w:numFmt w:val="decimal"/>
      <w:lvlText w:val="%4."/>
      <w:lvlJc w:val="left"/>
      <w:pPr>
        <w:ind w:left="2570" w:hanging="360"/>
      </w:pPr>
    </w:lvl>
    <w:lvl w:ilvl="4" w:tplc="0C090019" w:tentative="1">
      <w:start w:val="1"/>
      <w:numFmt w:val="lowerLetter"/>
      <w:lvlText w:val="%5."/>
      <w:lvlJc w:val="left"/>
      <w:pPr>
        <w:ind w:left="3290" w:hanging="360"/>
      </w:pPr>
    </w:lvl>
    <w:lvl w:ilvl="5" w:tplc="0C09001B" w:tentative="1">
      <w:start w:val="1"/>
      <w:numFmt w:val="lowerRoman"/>
      <w:lvlText w:val="%6."/>
      <w:lvlJc w:val="right"/>
      <w:pPr>
        <w:ind w:left="4010" w:hanging="180"/>
      </w:pPr>
    </w:lvl>
    <w:lvl w:ilvl="6" w:tplc="0C09000F" w:tentative="1">
      <w:start w:val="1"/>
      <w:numFmt w:val="decimal"/>
      <w:lvlText w:val="%7."/>
      <w:lvlJc w:val="left"/>
      <w:pPr>
        <w:ind w:left="4730" w:hanging="360"/>
      </w:pPr>
    </w:lvl>
    <w:lvl w:ilvl="7" w:tplc="0C090019" w:tentative="1">
      <w:start w:val="1"/>
      <w:numFmt w:val="lowerLetter"/>
      <w:lvlText w:val="%8."/>
      <w:lvlJc w:val="left"/>
      <w:pPr>
        <w:ind w:left="5450" w:hanging="360"/>
      </w:pPr>
    </w:lvl>
    <w:lvl w:ilvl="8" w:tplc="0C09001B" w:tentative="1">
      <w:start w:val="1"/>
      <w:numFmt w:val="lowerRoman"/>
      <w:lvlText w:val="%9."/>
      <w:lvlJc w:val="right"/>
      <w:pPr>
        <w:ind w:left="6170" w:hanging="180"/>
      </w:pPr>
    </w:lvl>
  </w:abstractNum>
  <w:abstractNum w:abstractNumId="30">
    <w:nsid w:val="74D72F47"/>
    <w:multiLevelType w:val="multilevel"/>
    <w:tmpl w:val="4A4E18E8"/>
    <w:styleLink w:val="Body-bullets"/>
    <w:lvl w:ilvl="0">
      <w:start w:val="1"/>
      <w:numFmt w:val="bullet"/>
      <w:lvlText w:val=""/>
      <w:lvlJc w:val="left"/>
      <w:pPr>
        <w:tabs>
          <w:tab w:val="num" w:pos="454"/>
        </w:tabs>
        <w:ind w:left="454" w:hanging="454"/>
      </w:pPr>
      <w:rPr>
        <w:rFonts w:ascii="Symbol" w:hAnsi="Symbol"/>
        <w:color w:val="auto"/>
        <w:sz w:val="20"/>
        <w:szCs w:val="20"/>
      </w:rPr>
    </w:lvl>
    <w:lvl w:ilvl="1">
      <w:start w:val="1"/>
      <w:numFmt w:val="bullet"/>
      <w:lvlText w:val=""/>
      <w:lvlJc w:val="left"/>
      <w:pPr>
        <w:tabs>
          <w:tab w:val="num" w:pos="907"/>
        </w:tabs>
        <w:ind w:left="907" w:hanging="453"/>
      </w:pPr>
      <w:rPr>
        <w:rFonts w:ascii="Symbol" w:hAnsi="Symbol" w:hint="default"/>
        <w:b w:val="0"/>
        <w:i w:val="0"/>
        <w:color w:val="808080"/>
        <w:sz w:val="16"/>
        <w:szCs w:val="12"/>
      </w:rPr>
    </w:lvl>
    <w:lvl w:ilvl="2">
      <w:start w:val="1"/>
      <w:numFmt w:val="bullet"/>
      <w:lvlText w:val=""/>
      <w:lvlJc w:val="left"/>
      <w:pPr>
        <w:tabs>
          <w:tab w:val="num" w:pos="1361"/>
        </w:tabs>
        <w:ind w:left="1361" w:hanging="454"/>
      </w:pPr>
      <w:rPr>
        <w:rFonts w:ascii="Symbol" w:hAnsi="Symbol" w:hint="default"/>
        <w:b w:val="0"/>
        <w:i w:val="0"/>
        <w:color w:val="808080"/>
        <w:sz w:val="12"/>
        <w:szCs w:val="12"/>
      </w:rPr>
    </w:lvl>
    <w:lvl w:ilvl="3">
      <w:start w:val="1"/>
      <w:numFmt w:val="bullet"/>
      <w:lvlText w:val=""/>
      <w:lvlJc w:val="left"/>
      <w:pPr>
        <w:tabs>
          <w:tab w:val="num" w:pos="1814"/>
        </w:tabs>
        <w:ind w:left="1814" w:hanging="453"/>
      </w:pPr>
      <w:rPr>
        <w:rFonts w:ascii="Symbol" w:hAnsi="Symbol" w:hint="default"/>
        <w:b w:val="0"/>
        <w:i w:val="0"/>
        <w:color w:val="808080"/>
        <w:sz w:val="12"/>
        <w:szCs w:val="12"/>
      </w:rPr>
    </w:lvl>
    <w:lvl w:ilvl="4">
      <w:start w:val="1"/>
      <w:numFmt w:val="bullet"/>
      <w:lvlText w:val="o"/>
      <w:lvlJc w:val="left"/>
      <w:pPr>
        <w:tabs>
          <w:tab w:val="num" w:pos="3600"/>
        </w:tabs>
        <w:ind w:left="3600" w:hanging="360"/>
      </w:pPr>
      <w:rPr>
        <w:rFonts w:ascii="Courier New" w:hAnsi="Courier New" w:cs="Symbol"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Symbol" w:hint="default"/>
      </w:rPr>
    </w:lvl>
    <w:lvl w:ilvl="8">
      <w:start w:val="1"/>
      <w:numFmt w:val="bullet"/>
      <w:lvlText w:val=""/>
      <w:lvlJc w:val="left"/>
      <w:pPr>
        <w:tabs>
          <w:tab w:val="num" w:pos="6480"/>
        </w:tabs>
        <w:ind w:left="6480" w:hanging="360"/>
      </w:pPr>
      <w:rPr>
        <w:rFonts w:ascii="Wingdings" w:hAnsi="Wingdings" w:hint="default"/>
      </w:rPr>
    </w:lvl>
  </w:abstractNum>
  <w:abstractNum w:abstractNumId="31">
    <w:nsid w:val="76BD1545"/>
    <w:multiLevelType w:val="hybridMultilevel"/>
    <w:tmpl w:val="4BA2E672"/>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32">
    <w:nsid w:val="7AA1520C"/>
    <w:multiLevelType w:val="hybridMultilevel"/>
    <w:tmpl w:val="44EC76B2"/>
    <w:lvl w:ilvl="0" w:tplc="0C09000B">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3">
    <w:nsid w:val="7F7A3DC5"/>
    <w:multiLevelType w:val="hybridMultilevel"/>
    <w:tmpl w:val="1534CBAE"/>
    <w:lvl w:ilvl="0" w:tplc="0C090005">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30"/>
  </w:num>
  <w:num w:numId="2">
    <w:abstractNumId w:val="25"/>
  </w:num>
  <w:num w:numId="3">
    <w:abstractNumId w:val="28"/>
  </w:num>
  <w:num w:numId="4">
    <w:abstractNumId w:val="7"/>
  </w:num>
  <w:num w:numId="5">
    <w:abstractNumId w:val="0"/>
  </w:num>
  <w:num w:numId="6">
    <w:abstractNumId w:val="23"/>
  </w:num>
  <w:num w:numId="7">
    <w:abstractNumId w:val="21"/>
  </w:num>
  <w:num w:numId="8">
    <w:abstractNumId w:val="18"/>
  </w:num>
  <w:num w:numId="9">
    <w:abstractNumId w:val="9"/>
  </w:num>
  <w:num w:numId="10">
    <w:abstractNumId w:val="12"/>
  </w:num>
  <w:num w:numId="11">
    <w:abstractNumId w:val="11"/>
  </w:num>
  <w:num w:numId="12">
    <w:abstractNumId w:val="3"/>
  </w:num>
  <w:num w:numId="13">
    <w:abstractNumId w:val="10"/>
  </w:num>
  <w:num w:numId="14">
    <w:abstractNumId w:val="14"/>
  </w:num>
  <w:num w:numId="15">
    <w:abstractNumId w:val="33"/>
  </w:num>
  <w:num w:numId="16">
    <w:abstractNumId w:val="32"/>
  </w:num>
  <w:num w:numId="17">
    <w:abstractNumId w:val="27"/>
  </w:num>
  <w:num w:numId="18">
    <w:abstractNumId w:val="16"/>
  </w:num>
  <w:num w:numId="19">
    <w:abstractNumId w:val="24"/>
  </w:num>
  <w:num w:numId="20">
    <w:abstractNumId w:val="26"/>
  </w:num>
  <w:num w:numId="21">
    <w:abstractNumId w:val="6"/>
  </w:num>
  <w:num w:numId="22">
    <w:abstractNumId w:val="19"/>
  </w:num>
  <w:num w:numId="23">
    <w:abstractNumId w:val="8"/>
  </w:num>
  <w:num w:numId="24">
    <w:abstractNumId w:val="29"/>
  </w:num>
  <w:num w:numId="25">
    <w:abstractNumId w:val="2"/>
  </w:num>
  <w:num w:numId="26">
    <w:abstractNumId w:val="28"/>
  </w:num>
  <w:num w:numId="27">
    <w:abstractNumId w:val="5"/>
  </w:num>
  <w:num w:numId="28">
    <w:abstractNumId w:val="31"/>
  </w:num>
  <w:num w:numId="29">
    <w:abstractNumId w:val="20"/>
  </w:num>
  <w:num w:numId="30">
    <w:abstractNumId w:val="4"/>
  </w:num>
  <w:num w:numId="31">
    <w:abstractNumId w:val="13"/>
  </w:num>
  <w:num w:numId="32">
    <w:abstractNumId w:val="1"/>
  </w:num>
  <w:num w:numId="33">
    <w:abstractNumId w:val="17"/>
  </w:num>
  <w:num w:numId="34">
    <w:abstractNumId w:val="28"/>
  </w:num>
  <w:num w:numId="35">
    <w:abstractNumId w:val="15"/>
  </w:num>
  <w:num w:numId="36">
    <w:abstractNumId w:val="22"/>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activeWritingStyle w:appName="MSWord" w:lang="en-AU" w:vendorID="64" w:dllVersion="131078" w:nlCheck="1" w:checkStyle="0"/>
  <w:activeWritingStyle w:appName="MSWord" w:lang="en-US" w:vendorID="64" w:dllVersion="131078" w:nlCheck="1" w:checkStyle="0"/>
  <w:activeWritingStyle w:appName="MSWord" w:lang="fr-FR" w:vendorID="64" w:dllVersion="131078" w:nlCheck="1" w:checkStyle="0"/>
  <w:activeWritingStyle w:appName="MSWord" w:lang="en-GB" w:vendorID="64" w:dllVersion="131078" w:nlCheck="1" w:checkStyle="0"/>
  <w:stylePaneFormatFilter w:val="1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10"/>
  <w:drawingGridVerticalSpacing w:val="299"/>
  <w:displayHorizontalDrawingGridEvery w:val="0"/>
  <w:noPunctuationKerning/>
  <w:characterSpacingControl w:val="doNotCompress"/>
  <w:hdrShapeDefaults>
    <o:shapedefaults v:ext="edit" spidmax="16385"/>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Marine Pollution Bull(1) Cop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wwzpfssaux292keptesxd5t6srsfvpzsde2p&quot;&gt;My EndNote Library&lt;record-ids&gt;&lt;item&gt;411&lt;/item&gt;&lt;item&gt;625&lt;/item&gt;&lt;item&gt;734&lt;/item&gt;&lt;item&gt;791&lt;/item&gt;&lt;item&gt;792&lt;/item&gt;&lt;item&gt;907&lt;/item&gt;&lt;item&gt;967&lt;/item&gt;&lt;item&gt;970&lt;/item&gt;&lt;item&gt;979&lt;/item&gt;&lt;item&gt;980&lt;/item&gt;&lt;item&gt;999&lt;/item&gt;&lt;item&gt;1000&lt;/item&gt;&lt;item&gt;1001&lt;/item&gt;&lt;item&gt;1005&lt;/item&gt;&lt;item&gt;1007&lt;/item&gt;&lt;item&gt;1018&lt;/item&gt;&lt;item&gt;1019&lt;/item&gt;&lt;item&gt;1026&lt;/item&gt;&lt;item&gt;1027&lt;/item&gt;&lt;item&gt;1028&lt;/item&gt;&lt;item&gt;1034&lt;/item&gt;&lt;item&gt;1045&lt;/item&gt;&lt;item&gt;1047&lt;/item&gt;&lt;item&gt;1071&lt;/item&gt;&lt;item&gt;1137&lt;/item&gt;&lt;item&gt;1140&lt;/item&gt;&lt;item&gt;1141&lt;/item&gt;&lt;item&gt;1142&lt;/item&gt;&lt;item&gt;1143&lt;/item&gt;&lt;item&gt;1144&lt;/item&gt;&lt;item&gt;1147&lt;/item&gt;&lt;item&gt;1148&lt;/item&gt;&lt;item&gt;1150&lt;/item&gt;&lt;item&gt;1151&lt;/item&gt;&lt;item&gt;1152&lt;/item&gt;&lt;item&gt;1153&lt;/item&gt;&lt;/record-ids&gt;&lt;/item&gt;&lt;/Libraries&gt;"/>
  </w:docVars>
  <w:rsids>
    <w:rsidRoot w:val="00323FD5"/>
    <w:rsid w:val="00000B4D"/>
    <w:rsid w:val="00000C08"/>
    <w:rsid w:val="000018C5"/>
    <w:rsid w:val="00002038"/>
    <w:rsid w:val="000028BB"/>
    <w:rsid w:val="000028D4"/>
    <w:rsid w:val="00003B60"/>
    <w:rsid w:val="000054D1"/>
    <w:rsid w:val="00005AF1"/>
    <w:rsid w:val="00005EED"/>
    <w:rsid w:val="00010FC9"/>
    <w:rsid w:val="00013507"/>
    <w:rsid w:val="0001384B"/>
    <w:rsid w:val="0001450C"/>
    <w:rsid w:val="00014DF2"/>
    <w:rsid w:val="0001550B"/>
    <w:rsid w:val="0001594D"/>
    <w:rsid w:val="000168BC"/>
    <w:rsid w:val="00016B44"/>
    <w:rsid w:val="0001792A"/>
    <w:rsid w:val="00017C6B"/>
    <w:rsid w:val="0002104A"/>
    <w:rsid w:val="0002115B"/>
    <w:rsid w:val="000218CD"/>
    <w:rsid w:val="00022065"/>
    <w:rsid w:val="0002333D"/>
    <w:rsid w:val="00025BA9"/>
    <w:rsid w:val="00026B9A"/>
    <w:rsid w:val="00026E6A"/>
    <w:rsid w:val="000313CF"/>
    <w:rsid w:val="00031D74"/>
    <w:rsid w:val="000350CE"/>
    <w:rsid w:val="00036408"/>
    <w:rsid w:val="00036676"/>
    <w:rsid w:val="00036C83"/>
    <w:rsid w:val="00037532"/>
    <w:rsid w:val="00037DE3"/>
    <w:rsid w:val="00040AB5"/>
    <w:rsid w:val="00041894"/>
    <w:rsid w:val="00043757"/>
    <w:rsid w:val="000438ED"/>
    <w:rsid w:val="00046086"/>
    <w:rsid w:val="00046D67"/>
    <w:rsid w:val="00046DAA"/>
    <w:rsid w:val="00046E8A"/>
    <w:rsid w:val="00047DA7"/>
    <w:rsid w:val="00050C26"/>
    <w:rsid w:val="000519F1"/>
    <w:rsid w:val="00051EF5"/>
    <w:rsid w:val="00053F2D"/>
    <w:rsid w:val="000541CC"/>
    <w:rsid w:val="00054A2E"/>
    <w:rsid w:val="00054B7A"/>
    <w:rsid w:val="0005540A"/>
    <w:rsid w:val="00056C08"/>
    <w:rsid w:val="00060497"/>
    <w:rsid w:val="00062927"/>
    <w:rsid w:val="000632E4"/>
    <w:rsid w:val="000636CA"/>
    <w:rsid w:val="00063D61"/>
    <w:rsid w:val="000657D8"/>
    <w:rsid w:val="00065BD8"/>
    <w:rsid w:val="0006754A"/>
    <w:rsid w:val="00067C92"/>
    <w:rsid w:val="00071889"/>
    <w:rsid w:val="00071C4B"/>
    <w:rsid w:val="000734FE"/>
    <w:rsid w:val="00073C4A"/>
    <w:rsid w:val="0007433E"/>
    <w:rsid w:val="00074414"/>
    <w:rsid w:val="00074C79"/>
    <w:rsid w:val="000759E0"/>
    <w:rsid w:val="00075AF8"/>
    <w:rsid w:val="00076DB4"/>
    <w:rsid w:val="00076F4C"/>
    <w:rsid w:val="00076FAC"/>
    <w:rsid w:val="000879E3"/>
    <w:rsid w:val="0009176D"/>
    <w:rsid w:val="0009445F"/>
    <w:rsid w:val="00094639"/>
    <w:rsid w:val="00096321"/>
    <w:rsid w:val="00096614"/>
    <w:rsid w:val="000A05A0"/>
    <w:rsid w:val="000A0C70"/>
    <w:rsid w:val="000A1BE8"/>
    <w:rsid w:val="000A2418"/>
    <w:rsid w:val="000A246A"/>
    <w:rsid w:val="000A4831"/>
    <w:rsid w:val="000A6B4D"/>
    <w:rsid w:val="000A7298"/>
    <w:rsid w:val="000B3229"/>
    <w:rsid w:val="000B4641"/>
    <w:rsid w:val="000B4822"/>
    <w:rsid w:val="000B4C57"/>
    <w:rsid w:val="000B582F"/>
    <w:rsid w:val="000B6997"/>
    <w:rsid w:val="000B77F0"/>
    <w:rsid w:val="000C066E"/>
    <w:rsid w:val="000C06A2"/>
    <w:rsid w:val="000C2024"/>
    <w:rsid w:val="000C295E"/>
    <w:rsid w:val="000C39B1"/>
    <w:rsid w:val="000C48B2"/>
    <w:rsid w:val="000C61B5"/>
    <w:rsid w:val="000C7B4A"/>
    <w:rsid w:val="000C7C86"/>
    <w:rsid w:val="000D031D"/>
    <w:rsid w:val="000D0D7F"/>
    <w:rsid w:val="000D140E"/>
    <w:rsid w:val="000D2C0D"/>
    <w:rsid w:val="000D45ED"/>
    <w:rsid w:val="000D540A"/>
    <w:rsid w:val="000D6E7D"/>
    <w:rsid w:val="000D717B"/>
    <w:rsid w:val="000D71A5"/>
    <w:rsid w:val="000D75BF"/>
    <w:rsid w:val="000D7A34"/>
    <w:rsid w:val="000E22F3"/>
    <w:rsid w:val="000E2599"/>
    <w:rsid w:val="000E2A5C"/>
    <w:rsid w:val="000E2FC6"/>
    <w:rsid w:val="000E372E"/>
    <w:rsid w:val="000E56E4"/>
    <w:rsid w:val="000E5A25"/>
    <w:rsid w:val="000E7A6B"/>
    <w:rsid w:val="000F1641"/>
    <w:rsid w:val="000F26F1"/>
    <w:rsid w:val="000F2DC5"/>
    <w:rsid w:val="000F4A6C"/>
    <w:rsid w:val="000F4F13"/>
    <w:rsid w:val="000F6EBF"/>
    <w:rsid w:val="001032AF"/>
    <w:rsid w:val="00103A43"/>
    <w:rsid w:val="001056C0"/>
    <w:rsid w:val="00105DFF"/>
    <w:rsid w:val="0011061C"/>
    <w:rsid w:val="00110A7F"/>
    <w:rsid w:val="00112985"/>
    <w:rsid w:val="00116492"/>
    <w:rsid w:val="00116672"/>
    <w:rsid w:val="00117210"/>
    <w:rsid w:val="001177FD"/>
    <w:rsid w:val="00117E85"/>
    <w:rsid w:val="00121362"/>
    <w:rsid w:val="00121711"/>
    <w:rsid w:val="001221E3"/>
    <w:rsid w:val="001236EB"/>
    <w:rsid w:val="00123CAA"/>
    <w:rsid w:val="0012439F"/>
    <w:rsid w:val="00125837"/>
    <w:rsid w:val="00126DA6"/>
    <w:rsid w:val="00127444"/>
    <w:rsid w:val="00127564"/>
    <w:rsid w:val="0013087E"/>
    <w:rsid w:val="00131E41"/>
    <w:rsid w:val="001323CB"/>
    <w:rsid w:val="001329C5"/>
    <w:rsid w:val="001329DD"/>
    <w:rsid w:val="00134DF5"/>
    <w:rsid w:val="00135560"/>
    <w:rsid w:val="00137E08"/>
    <w:rsid w:val="00141A40"/>
    <w:rsid w:val="001435C2"/>
    <w:rsid w:val="00143602"/>
    <w:rsid w:val="00143F8F"/>
    <w:rsid w:val="00145550"/>
    <w:rsid w:val="00146710"/>
    <w:rsid w:val="001470EE"/>
    <w:rsid w:val="00151B0B"/>
    <w:rsid w:val="001520B2"/>
    <w:rsid w:val="0015270F"/>
    <w:rsid w:val="0015287B"/>
    <w:rsid w:val="00152B8A"/>
    <w:rsid w:val="00154626"/>
    <w:rsid w:val="00160123"/>
    <w:rsid w:val="0016222E"/>
    <w:rsid w:val="00162238"/>
    <w:rsid w:val="00162359"/>
    <w:rsid w:val="00164EA7"/>
    <w:rsid w:val="00164F40"/>
    <w:rsid w:val="00165B39"/>
    <w:rsid w:val="001675AC"/>
    <w:rsid w:val="00171BF8"/>
    <w:rsid w:val="00172932"/>
    <w:rsid w:val="0017299A"/>
    <w:rsid w:val="00173CFC"/>
    <w:rsid w:val="001758C6"/>
    <w:rsid w:val="001763D2"/>
    <w:rsid w:val="00177CA4"/>
    <w:rsid w:val="0018009D"/>
    <w:rsid w:val="001810BF"/>
    <w:rsid w:val="001821B2"/>
    <w:rsid w:val="0018305D"/>
    <w:rsid w:val="0018316C"/>
    <w:rsid w:val="0018376E"/>
    <w:rsid w:val="001850F0"/>
    <w:rsid w:val="00186DBD"/>
    <w:rsid w:val="00187619"/>
    <w:rsid w:val="00187D13"/>
    <w:rsid w:val="00190BB9"/>
    <w:rsid w:val="001921B0"/>
    <w:rsid w:val="001936DE"/>
    <w:rsid w:val="00193E3A"/>
    <w:rsid w:val="0019449C"/>
    <w:rsid w:val="00196583"/>
    <w:rsid w:val="001A0439"/>
    <w:rsid w:val="001A178E"/>
    <w:rsid w:val="001A19D0"/>
    <w:rsid w:val="001A2BC0"/>
    <w:rsid w:val="001A3451"/>
    <w:rsid w:val="001A4AF0"/>
    <w:rsid w:val="001A6D01"/>
    <w:rsid w:val="001A7190"/>
    <w:rsid w:val="001B0CF5"/>
    <w:rsid w:val="001B0FB3"/>
    <w:rsid w:val="001B195B"/>
    <w:rsid w:val="001B1C4F"/>
    <w:rsid w:val="001B668E"/>
    <w:rsid w:val="001B7175"/>
    <w:rsid w:val="001B7270"/>
    <w:rsid w:val="001B772A"/>
    <w:rsid w:val="001C068B"/>
    <w:rsid w:val="001C090E"/>
    <w:rsid w:val="001C0942"/>
    <w:rsid w:val="001C15E1"/>
    <w:rsid w:val="001C490F"/>
    <w:rsid w:val="001C4A1A"/>
    <w:rsid w:val="001C53BA"/>
    <w:rsid w:val="001C5A3B"/>
    <w:rsid w:val="001C6BD3"/>
    <w:rsid w:val="001D0553"/>
    <w:rsid w:val="001D0ADD"/>
    <w:rsid w:val="001D186D"/>
    <w:rsid w:val="001D1FBC"/>
    <w:rsid w:val="001D20E3"/>
    <w:rsid w:val="001D2850"/>
    <w:rsid w:val="001D382B"/>
    <w:rsid w:val="001D46B7"/>
    <w:rsid w:val="001D4E74"/>
    <w:rsid w:val="001D5693"/>
    <w:rsid w:val="001D6647"/>
    <w:rsid w:val="001D6A77"/>
    <w:rsid w:val="001D6E5A"/>
    <w:rsid w:val="001D6FE0"/>
    <w:rsid w:val="001E0127"/>
    <w:rsid w:val="001E2DB4"/>
    <w:rsid w:val="001E2E4C"/>
    <w:rsid w:val="001E5564"/>
    <w:rsid w:val="001E79B7"/>
    <w:rsid w:val="001F1477"/>
    <w:rsid w:val="001F15B7"/>
    <w:rsid w:val="001F2282"/>
    <w:rsid w:val="001F457A"/>
    <w:rsid w:val="001F56A2"/>
    <w:rsid w:val="001F5FEA"/>
    <w:rsid w:val="001F7592"/>
    <w:rsid w:val="001F7D69"/>
    <w:rsid w:val="002019E0"/>
    <w:rsid w:val="00203216"/>
    <w:rsid w:val="00203B62"/>
    <w:rsid w:val="00204978"/>
    <w:rsid w:val="0020500F"/>
    <w:rsid w:val="002054CE"/>
    <w:rsid w:val="002104E4"/>
    <w:rsid w:val="00211E84"/>
    <w:rsid w:val="00212E04"/>
    <w:rsid w:val="00215F3C"/>
    <w:rsid w:val="002160FF"/>
    <w:rsid w:val="0021644E"/>
    <w:rsid w:val="00217C7C"/>
    <w:rsid w:val="0022001C"/>
    <w:rsid w:val="002210C7"/>
    <w:rsid w:val="00222042"/>
    <w:rsid w:val="00222949"/>
    <w:rsid w:val="00222CD4"/>
    <w:rsid w:val="00223AF9"/>
    <w:rsid w:val="002259B1"/>
    <w:rsid w:val="00226D83"/>
    <w:rsid w:val="0022733B"/>
    <w:rsid w:val="002306FB"/>
    <w:rsid w:val="00231C05"/>
    <w:rsid w:val="002324B3"/>
    <w:rsid w:val="00233452"/>
    <w:rsid w:val="00233580"/>
    <w:rsid w:val="0023400C"/>
    <w:rsid w:val="00235E98"/>
    <w:rsid w:val="00237A3C"/>
    <w:rsid w:val="0024021C"/>
    <w:rsid w:val="00241B75"/>
    <w:rsid w:val="00242F0A"/>
    <w:rsid w:val="002448F4"/>
    <w:rsid w:val="0024505B"/>
    <w:rsid w:val="002453C9"/>
    <w:rsid w:val="002474D7"/>
    <w:rsid w:val="00247655"/>
    <w:rsid w:val="002521E6"/>
    <w:rsid w:val="00252EDB"/>
    <w:rsid w:val="002557AB"/>
    <w:rsid w:val="00260783"/>
    <w:rsid w:val="00263CBE"/>
    <w:rsid w:val="0026502B"/>
    <w:rsid w:val="00265BD7"/>
    <w:rsid w:val="00271745"/>
    <w:rsid w:val="00271D42"/>
    <w:rsid w:val="00271DA2"/>
    <w:rsid w:val="00273078"/>
    <w:rsid w:val="00276615"/>
    <w:rsid w:val="00276CDA"/>
    <w:rsid w:val="00277A20"/>
    <w:rsid w:val="00277D93"/>
    <w:rsid w:val="002806AE"/>
    <w:rsid w:val="002827F5"/>
    <w:rsid w:val="00282ECB"/>
    <w:rsid w:val="00284FFC"/>
    <w:rsid w:val="00285012"/>
    <w:rsid w:val="002854A3"/>
    <w:rsid w:val="00285C95"/>
    <w:rsid w:val="00286401"/>
    <w:rsid w:val="0028720F"/>
    <w:rsid w:val="0029037F"/>
    <w:rsid w:val="002920E7"/>
    <w:rsid w:val="00292DA6"/>
    <w:rsid w:val="002930BC"/>
    <w:rsid w:val="002930CF"/>
    <w:rsid w:val="002932EC"/>
    <w:rsid w:val="002A0689"/>
    <w:rsid w:val="002A1472"/>
    <w:rsid w:val="002A307B"/>
    <w:rsid w:val="002A323D"/>
    <w:rsid w:val="002A3B1A"/>
    <w:rsid w:val="002A539E"/>
    <w:rsid w:val="002A57F2"/>
    <w:rsid w:val="002A65BA"/>
    <w:rsid w:val="002A6669"/>
    <w:rsid w:val="002A68F3"/>
    <w:rsid w:val="002A7BDA"/>
    <w:rsid w:val="002A7E76"/>
    <w:rsid w:val="002B0976"/>
    <w:rsid w:val="002B0CBA"/>
    <w:rsid w:val="002B2DAA"/>
    <w:rsid w:val="002B3513"/>
    <w:rsid w:val="002B36B1"/>
    <w:rsid w:val="002B4D6F"/>
    <w:rsid w:val="002B5012"/>
    <w:rsid w:val="002B53B6"/>
    <w:rsid w:val="002B5C85"/>
    <w:rsid w:val="002B6F3C"/>
    <w:rsid w:val="002B70B4"/>
    <w:rsid w:val="002C22C6"/>
    <w:rsid w:val="002C34CB"/>
    <w:rsid w:val="002C3F7E"/>
    <w:rsid w:val="002C4C87"/>
    <w:rsid w:val="002C5CF2"/>
    <w:rsid w:val="002C7BCF"/>
    <w:rsid w:val="002D1EC8"/>
    <w:rsid w:val="002D1F38"/>
    <w:rsid w:val="002D1F86"/>
    <w:rsid w:val="002D2877"/>
    <w:rsid w:val="002D36BF"/>
    <w:rsid w:val="002D69A5"/>
    <w:rsid w:val="002D69EC"/>
    <w:rsid w:val="002E1D7B"/>
    <w:rsid w:val="002E2D9F"/>
    <w:rsid w:val="002E3D95"/>
    <w:rsid w:val="002E5D44"/>
    <w:rsid w:val="002E6970"/>
    <w:rsid w:val="002E783E"/>
    <w:rsid w:val="002F3773"/>
    <w:rsid w:val="002F3DB0"/>
    <w:rsid w:val="002F478F"/>
    <w:rsid w:val="002F479F"/>
    <w:rsid w:val="002F573E"/>
    <w:rsid w:val="0030006E"/>
    <w:rsid w:val="00300497"/>
    <w:rsid w:val="00301160"/>
    <w:rsid w:val="00301C97"/>
    <w:rsid w:val="00305373"/>
    <w:rsid w:val="003063ED"/>
    <w:rsid w:val="00306F32"/>
    <w:rsid w:val="00307CDB"/>
    <w:rsid w:val="00316965"/>
    <w:rsid w:val="00321115"/>
    <w:rsid w:val="003215A2"/>
    <w:rsid w:val="00322431"/>
    <w:rsid w:val="00323FD5"/>
    <w:rsid w:val="00325E2A"/>
    <w:rsid w:val="00330E11"/>
    <w:rsid w:val="003328C2"/>
    <w:rsid w:val="003329A3"/>
    <w:rsid w:val="00332DBF"/>
    <w:rsid w:val="00333AF0"/>
    <w:rsid w:val="00333F7B"/>
    <w:rsid w:val="0033462F"/>
    <w:rsid w:val="00336896"/>
    <w:rsid w:val="00336CAF"/>
    <w:rsid w:val="00336EDA"/>
    <w:rsid w:val="00337256"/>
    <w:rsid w:val="0033741D"/>
    <w:rsid w:val="003403DA"/>
    <w:rsid w:val="003404BF"/>
    <w:rsid w:val="00340D92"/>
    <w:rsid w:val="003412C3"/>
    <w:rsid w:val="003435A2"/>
    <w:rsid w:val="00343C60"/>
    <w:rsid w:val="00343D04"/>
    <w:rsid w:val="00343EE0"/>
    <w:rsid w:val="0034438C"/>
    <w:rsid w:val="0034536C"/>
    <w:rsid w:val="00347A5C"/>
    <w:rsid w:val="00350896"/>
    <w:rsid w:val="00351B4F"/>
    <w:rsid w:val="00354B75"/>
    <w:rsid w:val="00360A84"/>
    <w:rsid w:val="003617F1"/>
    <w:rsid w:val="0036209A"/>
    <w:rsid w:val="00362A9F"/>
    <w:rsid w:val="00362FA3"/>
    <w:rsid w:val="00363622"/>
    <w:rsid w:val="003645D2"/>
    <w:rsid w:val="00364FDA"/>
    <w:rsid w:val="0036562E"/>
    <w:rsid w:val="00365E25"/>
    <w:rsid w:val="00366AB3"/>
    <w:rsid w:val="00370F09"/>
    <w:rsid w:val="00371380"/>
    <w:rsid w:val="00377B44"/>
    <w:rsid w:val="00380281"/>
    <w:rsid w:val="00380467"/>
    <w:rsid w:val="003805B4"/>
    <w:rsid w:val="00381902"/>
    <w:rsid w:val="00385ACB"/>
    <w:rsid w:val="00385ED4"/>
    <w:rsid w:val="0038605C"/>
    <w:rsid w:val="00390272"/>
    <w:rsid w:val="003942F7"/>
    <w:rsid w:val="00394B8F"/>
    <w:rsid w:val="003951B1"/>
    <w:rsid w:val="00395B24"/>
    <w:rsid w:val="003962D8"/>
    <w:rsid w:val="003972AA"/>
    <w:rsid w:val="003A194A"/>
    <w:rsid w:val="003A2707"/>
    <w:rsid w:val="003A4501"/>
    <w:rsid w:val="003A69C4"/>
    <w:rsid w:val="003B00C5"/>
    <w:rsid w:val="003B02AF"/>
    <w:rsid w:val="003B04E9"/>
    <w:rsid w:val="003B1DB5"/>
    <w:rsid w:val="003B2267"/>
    <w:rsid w:val="003B776E"/>
    <w:rsid w:val="003B7A63"/>
    <w:rsid w:val="003C10C4"/>
    <w:rsid w:val="003C110E"/>
    <w:rsid w:val="003C19C2"/>
    <w:rsid w:val="003C232A"/>
    <w:rsid w:val="003C361F"/>
    <w:rsid w:val="003C3DD9"/>
    <w:rsid w:val="003C3EF6"/>
    <w:rsid w:val="003C535B"/>
    <w:rsid w:val="003C6364"/>
    <w:rsid w:val="003C6B6E"/>
    <w:rsid w:val="003C778E"/>
    <w:rsid w:val="003C7CB6"/>
    <w:rsid w:val="003D6877"/>
    <w:rsid w:val="003D7349"/>
    <w:rsid w:val="003D7FA5"/>
    <w:rsid w:val="003E1616"/>
    <w:rsid w:val="003E181E"/>
    <w:rsid w:val="003E490A"/>
    <w:rsid w:val="003E5740"/>
    <w:rsid w:val="003E5BAA"/>
    <w:rsid w:val="003E5F63"/>
    <w:rsid w:val="003E6527"/>
    <w:rsid w:val="003E6E31"/>
    <w:rsid w:val="003E7420"/>
    <w:rsid w:val="003F2C01"/>
    <w:rsid w:val="003F2DC5"/>
    <w:rsid w:val="003F4B7B"/>
    <w:rsid w:val="003F6A80"/>
    <w:rsid w:val="003F74E5"/>
    <w:rsid w:val="00401FF6"/>
    <w:rsid w:val="00405301"/>
    <w:rsid w:val="00405A4E"/>
    <w:rsid w:val="00406192"/>
    <w:rsid w:val="004076D7"/>
    <w:rsid w:val="00407F7A"/>
    <w:rsid w:val="00410483"/>
    <w:rsid w:val="004105F5"/>
    <w:rsid w:val="004117EA"/>
    <w:rsid w:val="00411CE3"/>
    <w:rsid w:val="00411DCA"/>
    <w:rsid w:val="004128E8"/>
    <w:rsid w:val="00412EA7"/>
    <w:rsid w:val="00413F77"/>
    <w:rsid w:val="0041401E"/>
    <w:rsid w:val="00414FE3"/>
    <w:rsid w:val="00415133"/>
    <w:rsid w:val="00415885"/>
    <w:rsid w:val="00415D74"/>
    <w:rsid w:val="00415DB0"/>
    <w:rsid w:val="0041637B"/>
    <w:rsid w:val="00417F09"/>
    <w:rsid w:val="00420A52"/>
    <w:rsid w:val="00421000"/>
    <w:rsid w:val="004236C5"/>
    <w:rsid w:val="00424D84"/>
    <w:rsid w:val="00425CB6"/>
    <w:rsid w:val="004265A2"/>
    <w:rsid w:val="004275E2"/>
    <w:rsid w:val="00427E7E"/>
    <w:rsid w:val="00427F1C"/>
    <w:rsid w:val="0043157F"/>
    <w:rsid w:val="004316A7"/>
    <w:rsid w:val="00431810"/>
    <w:rsid w:val="00434EFC"/>
    <w:rsid w:val="00435F81"/>
    <w:rsid w:val="00436C92"/>
    <w:rsid w:val="00437648"/>
    <w:rsid w:val="00437929"/>
    <w:rsid w:val="00441469"/>
    <w:rsid w:val="004426F1"/>
    <w:rsid w:val="00442F71"/>
    <w:rsid w:val="00443847"/>
    <w:rsid w:val="004456DC"/>
    <w:rsid w:val="00445BD2"/>
    <w:rsid w:val="00446E18"/>
    <w:rsid w:val="00447BAF"/>
    <w:rsid w:val="004515CC"/>
    <w:rsid w:val="0045458C"/>
    <w:rsid w:val="004557B3"/>
    <w:rsid w:val="00460824"/>
    <w:rsid w:val="004647AE"/>
    <w:rsid w:val="00466328"/>
    <w:rsid w:val="004665A8"/>
    <w:rsid w:val="00471277"/>
    <w:rsid w:val="004726FD"/>
    <w:rsid w:val="00473398"/>
    <w:rsid w:val="00474276"/>
    <w:rsid w:val="00474FFA"/>
    <w:rsid w:val="00476E11"/>
    <w:rsid w:val="004806A1"/>
    <w:rsid w:val="00480A2E"/>
    <w:rsid w:val="00480F85"/>
    <w:rsid w:val="00481158"/>
    <w:rsid w:val="00481E0D"/>
    <w:rsid w:val="004820C4"/>
    <w:rsid w:val="00482CB4"/>
    <w:rsid w:val="0048514F"/>
    <w:rsid w:val="00486373"/>
    <w:rsid w:val="00486473"/>
    <w:rsid w:val="00486E09"/>
    <w:rsid w:val="00486F5A"/>
    <w:rsid w:val="004877FA"/>
    <w:rsid w:val="00490859"/>
    <w:rsid w:val="004911C2"/>
    <w:rsid w:val="00492A71"/>
    <w:rsid w:val="00494137"/>
    <w:rsid w:val="00494795"/>
    <w:rsid w:val="0049692E"/>
    <w:rsid w:val="00496C13"/>
    <w:rsid w:val="00496D76"/>
    <w:rsid w:val="004A205E"/>
    <w:rsid w:val="004A2BC9"/>
    <w:rsid w:val="004A3E5C"/>
    <w:rsid w:val="004B1676"/>
    <w:rsid w:val="004B1EF9"/>
    <w:rsid w:val="004B1F60"/>
    <w:rsid w:val="004B205A"/>
    <w:rsid w:val="004B2104"/>
    <w:rsid w:val="004B2380"/>
    <w:rsid w:val="004B31F0"/>
    <w:rsid w:val="004B3569"/>
    <w:rsid w:val="004B3F34"/>
    <w:rsid w:val="004B5D2D"/>
    <w:rsid w:val="004C0E45"/>
    <w:rsid w:val="004C21D3"/>
    <w:rsid w:val="004C2BD3"/>
    <w:rsid w:val="004C3EE4"/>
    <w:rsid w:val="004C4F3D"/>
    <w:rsid w:val="004C5492"/>
    <w:rsid w:val="004C5612"/>
    <w:rsid w:val="004C6DA0"/>
    <w:rsid w:val="004C70AA"/>
    <w:rsid w:val="004C78F6"/>
    <w:rsid w:val="004D060F"/>
    <w:rsid w:val="004D1AC5"/>
    <w:rsid w:val="004D2C6C"/>
    <w:rsid w:val="004D4B0A"/>
    <w:rsid w:val="004E01CC"/>
    <w:rsid w:val="004E0CB3"/>
    <w:rsid w:val="004E3E5B"/>
    <w:rsid w:val="004E4CA4"/>
    <w:rsid w:val="004E4F4A"/>
    <w:rsid w:val="004E5EA6"/>
    <w:rsid w:val="004E7929"/>
    <w:rsid w:val="004F08D4"/>
    <w:rsid w:val="004F375F"/>
    <w:rsid w:val="004F45CC"/>
    <w:rsid w:val="004F5999"/>
    <w:rsid w:val="004F5D76"/>
    <w:rsid w:val="004F5D89"/>
    <w:rsid w:val="004F6AA8"/>
    <w:rsid w:val="004F78AF"/>
    <w:rsid w:val="004F78FD"/>
    <w:rsid w:val="004F7AF8"/>
    <w:rsid w:val="005006CE"/>
    <w:rsid w:val="00500FCF"/>
    <w:rsid w:val="005016B4"/>
    <w:rsid w:val="0050264C"/>
    <w:rsid w:val="005031BD"/>
    <w:rsid w:val="005043E8"/>
    <w:rsid w:val="00504434"/>
    <w:rsid w:val="0050554D"/>
    <w:rsid w:val="00505916"/>
    <w:rsid w:val="00505941"/>
    <w:rsid w:val="005062C8"/>
    <w:rsid w:val="00507ABB"/>
    <w:rsid w:val="00510D98"/>
    <w:rsid w:val="00511423"/>
    <w:rsid w:val="005114DF"/>
    <w:rsid w:val="005118C1"/>
    <w:rsid w:val="00511BFD"/>
    <w:rsid w:val="005128BB"/>
    <w:rsid w:val="00512E95"/>
    <w:rsid w:val="005135BE"/>
    <w:rsid w:val="005149C1"/>
    <w:rsid w:val="005154AD"/>
    <w:rsid w:val="00515F97"/>
    <w:rsid w:val="00516136"/>
    <w:rsid w:val="0051672D"/>
    <w:rsid w:val="00517A6D"/>
    <w:rsid w:val="00517E4A"/>
    <w:rsid w:val="00517F93"/>
    <w:rsid w:val="00523448"/>
    <w:rsid w:val="005252C1"/>
    <w:rsid w:val="005256E5"/>
    <w:rsid w:val="005306FA"/>
    <w:rsid w:val="0053157C"/>
    <w:rsid w:val="00531C57"/>
    <w:rsid w:val="00532796"/>
    <w:rsid w:val="00533D6A"/>
    <w:rsid w:val="0053571A"/>
    <w:rsid w:val="00536255"/>
    <w:rsid w:val="00540228"/>
    <w:rsid w:val="00540AA2"/>
    <w:rsid w:val="0054221F"/>
    <w:rsid w:val="00542F99"/>
    <w:rsid w:val="005432C3"/>
    <w:rsid w:val="0054379A"/>
    <w:rsid w:val="00546C7F"/>
    <w:rsid w:val="0055021B"/>
    <w:rsid w:val="00550ED6"/>
    <w:rsid w:val="00550FD4"/>
    <w:rsid w:val="0055289F"/>
    <w:rsid w:val="00552DE2"/>
    <w:rsid w:val="005537F6"/>
    <w:rsid w:val="00553C55"/>
    <w:rsid w:val="00554012"/>
    <w:rsid w:val="00554C1D"/>
    <w:rsid w:val="00554C31"/>
    <w:rsid w:val="00555B84"/>
    <w:rsid w:val="00555E21"/>
    <w:rsid w:val="00555E27"/>
    <w:rsid w:val="005571CD"/>
    <w:rsid w:val="00557495"/>
    <w:rsid w:val="00560C5A"/>
    <w:rsid w:val="005611DD"/>
    <w:rsid w:val="00561CDF"/>
    <w:rsid w:val="00564F05"/>
    <w:rsid w:val="00565E8B"/>
    <w:rsid w:val="00567584"/>
    <w:rsid w:val="00570AD5"/>
    <w:rsid w:val="00571050"/>
    <w:rsid w:val="00571B6D"/>
    <w:rsid w:val="0057279E"/>
    <w:rsid w:val="00572F74"/>
    <w:rsid w:val="0057450D"/>
    <w:rsid w:val="005812EA"/>
    <w:rsid w:val="00584A1E"/>
    <w:rsid w:val="0058526F"/>
    <w:rsid w:val="00585FD0"/>
    <w:rsid w:val="00587932"/>
    <w:rsid w:val="00590101"/>
    <w:rsid w:val="00590116"/>
    <w:rsid w:val="00590437"/>
    <w:rsid w:val="005911E1"/>
    <w:rsid w:val="0059252A"/>
    <w:rsid w:val="005935D5"/>
    <w:rsid w:val="00593896"/>
    <w:rsid w:val="00593F91"/>
    <w:rsid w:val="00594554"/>
    <w:rsid w:val="00594D12"/>
    <w:rsid w:val="0059647A"/>
    <w:rsid w:val="005A05AE"/>
    <w:rsid w:val="005A0C78"/>
    <w:rsid w:val="005A0E07"/>
    <w:rsid w:val="005A28FF"/>
    <w:rsid w:val="005A2FF6"/>
    <w:rsid w:val="005A3CFA"/>
    <w:rsid w:val="005A44ED"/>
    <w:rsid w:val="005A49C3"/>
    <w:rsid w:val="005A5D87"/>
    <w:rsid w:val="005A7710"/>
    <w:rsid w:val="005B0A67"/>
    <w:rsid w:val="005B0BB8"/>
    <w:rsid w:val="005B114D"/>
    <w:rsid w:val="005B40E0"/>
    <w:rsid w:val="005B438D"/>
    <w:rsid w:val="005B49DD"/>
    <w:rsid w:val="005C1FB7"/>
    <w:rsid w:val="005C2799"/>
    <w:rsid w:val="005C3AF4"/>
    <w:rsid w:val="005C4016"/>
    <w:rsid w:val="005C4F3F"/>
    <w:rsid w:val="005C5807"/>
    <w:rsid w:val="005C7621"/>
    <w:rsid w:val="005D1B69"/>
    <w:rsid w:val="005D1C82"/>
    <w:rsid w:val="005D38D3"/>
    <w:rsid w:val="005D463C"/>
    <w:rsid w:val="005D73DE"/>
    <w:rsid w:val="005E0A0B"/>
    <w:rsid w:val="005E2EA2"/>
    <w:rsid w:val="005E30FE"/>
    <w:rsid w:val="005E35E6"/>
    <w:rsid w:val="005E5562"/>
    <w:rsid w:val="005E6457"/>
    <w:rsid w:val="005F304A"/>
    <w:rsid w:val="005F3A4D"/>
    <w:rsid w:val="005F5C7F"/>
    <w:rsid w:val="005F751E"/>
    <w:rsid w:val="0060082A"/>
    <w:rsid w:val="006008AE"/>
    <w:rsid w:val="006010C0"/>
    <w:rsid w:val="00601884"/>
    <w:rsid w:val="0060240D"/>
    <w:rsid w:val="00603C34"/>
    <w:rsid w:val="00604A6C"/>
    <w:rsid w:val="00610114"/>
    <w:rsid w:val="00610DC5"/>
    <w:rsid w:val="006110CC"/>
    <w:rsid w:val="0061401A"/>
    <w:rsid w:val="00614034"/>
    <w:rsid w:val="0061615F"/>
    <w:rsid w:val="00616522"/>
    <w:rsid w:val="0061690C"/>
    <w:rsid w:val="00616D81"/>
    <w:rsid w:val="00617152"/>
    <w:rsid w:val="0062058A"/>
    <w:rsid w:val="00621DE1"/>
    <w:rsid w:val="00622A42"/>
    <w:rsid w:val="00623CBB"/>
    <w:rsid w:val="00626100"/>
    <w:rsid w:val="00626403"/>
    <w:rsid w:val="00630695"/>
    <w:rsid w:val="006309B3"/>
    <w:rsid w:val="00631EA4"/>
    <w:rsid w:val="006326B2"/>
    <w:rsid w:val="00632D9D"/>
    <w:rsid w:val="00633C3A"/>
    <w:rsid w:val="00634220"/>
    <w:rsid w:val="00634360"/>
    <w:rsid w:val="00634CBC"/>
    <w:rsid w:val="00634D75"/>
    <w:rsid w:val="00635CD4"/>
    <w:rsid w:val="00636EB4"/>
    <w:rsid w:val="00640046"/>
    <w:rsid w:val="00641387"/>
    <w:rsid w:val="00642359"/>
    <w:rsid w:val="006424EB"/>
    <w:rsid w:val="006427BE"/>
    <w:rsid w:val="00644C96"/>
    <w:rsid w:val="00644D0C"/>
    <w:rsid w:val="00644ED6"/>
    <w:rsid w:val="00646728"/>
    <w:rsid w:val="0064679C"/>
    <w:rsid w:val="0065063F"/>
    <w:rsid w:val="00651A7C"/>
    <w:rsid w:val="006530D6"/>
    <w:rsid w:val="00653679"/>
    <w:rsid w:val="0065493C"/>
    <w:rsid w:val="006552F9"/>
    <w:rsid w:val="006559A4"/>
    <w:rsid w:val="00655A9F"/>
    <w:rsid w:val="006611F3"/>
    <w:rsid w:val="00661B80"/>
    <w:rsid w:val="006633ED"/>
    <w:rsid w:val="00664595"/>
    <w:rsid w:val="00665817"/>
    <w:rsid w:val="006666EB"/>
    <w:rsid w:val="00667BEC"/>
    <w:rsid w:val="00667D7D"/>
    <w:rsid w:val="00671B4A"/>
    <w:rsid w:val="00671BFD"/>
    <w:rsid w:val="00671F1D"/>
    <w:rsid w:val="00673582"/>
    <w:rsid w:val="00673684"/>
    <w:rsid w:val="00675E61"/>
    <w:rsid w:val="00677367"/>
    <w:rsid w:val="006841DC"/>
    <w:rsid w:val="00687C57"/>
    <w:rsid w:val="006910D6"/>
    <w:rsid w:val="0069141C"/>
    <w:rsid w:val="00692C75"/>
    <w:rsid w:val="0069403D"/>
    <w:rsid w:val="00694EB8"/>
    <w:rsid w:val="006976A3"/>
    <w:rsid w:val="00697E02"/>
    <w:rsid w:val="006A4EEA"/>
    <w:rsid w:val="006A6233"/>
    <w:rsid w:val="006A6F58"/>
    <w:rsid w:val="006B0C6A"/>
    <w:rsid w:val="006B1B41"/>
    <w:rsid w:val="006B1E77"/>
    <w:rsid w:val="006B2AC2"/>
    <w:rsid w:val="006B4411"/>
    <w:rsid w:val="006B5BA1"/>
    <w:rsid w:val="006B5CE6"/>
    <w:rsid w:val="006B648C"/>
    <w:rsid w:val="006C43C9"/>
    <w:rsid w:val="006C4A6B"/>
    <w:rsid w:val="006C548D"/>
    <w:rsid w:val="006C68E0"/>
    <w:rsid w:val="006C73D0"/>
    <w:rsid w:val="006C747B"/>
    <w:rsid w:val="006D0A1F"/>
    <w:rsid w:val="006D0A8A"/>
    <w:rsid w:val="006D2B19"/>
    <w:rsid w:val="006D2F0A"/>
    <w:rsid w:val="006D35FB"/>
    <w:rsid w:val="006E020D"/>
    <w:rsid w:val="006E1E94"/>
    <w:rsid w:val="006E224F"/>
    <w:rsid w:val="006E37F0"/>
    <w:rsid w:val="006E3EF2"/>
    <w:rsid w:val="006E4B47"/>
    <w:rsid w:val="006E4DBB"/>
    <w:rsid w:val="006E6FAD"/>
    <w:rsid w:val="006E70E8"/>
    <w:rsid w:val="006F4249"/>
    <w:rsid w:val="006F477A"/>
    <w:rsid w:val="006F47D8"/>
    <w:rsid w:val="006F4885"/>
    <w:rsid w:val="006F54B3"/>
    <w:rsid w:val="006F6C40"/>
    <w:rsid w:val="00702075"/>
    <w:rsid w:val="0070217F"/>
    <w:rsid w:val="00703EC1"/>
    <w:rsid w:val="0070425F"/>
    <w:rsid w:val="00704FAD"/>
    <w:rsid w:val="007059E3"/>
    <w:rsid w:val="00705A41"/>
    <w:rsid w:val="0070646F"/>
    <w:rsid w:val="00711829"/>
    <w:rsid w:val="00712B97"/>
    <w:rsid w:val="00713CC5"/>
    <w:rsid w:val="00715755"/>
    <w:rsid w:val="00715856"/>
    <w:rsid w:val="00715DDB"/>
    <w:rsid w:val="007209D8"/>
    <w:rsid w:val="00720FDD"/>
    <w:rsid w:val="0072109C"/>
    <w:rsid w:val="007234C6"/>
    <w:rsid w:val="00726704"/>
    <w:rsid w:val="00726A02"/>
    <w:rsid w:val="00726ABD"/>
    <w:rsid w:val="00726D3D"/>
    <w:rsid w:val="00730522"/>
    <w:rsid w:val="007313A4"/>
    <w:rsid w:val="007321A3"/>
    <w:rsid w:val="00732BEF"/>
    <w:rsid w:val="007330CD"/>
    <w:rsid w:val="00733EF0"/>
    <w:rsid w:val="00734EB9"/>
    <w:rsid w:val="00735BF9"/>
    <w:rsid w:val="00736ADE"/>
    <w:rsid w:val="00743AB1"/>
    <w:rsid w:val="00744763"/>
    <w:rsid w:val="007453F2"/>
    <w:rsid w:val="0075179E"/>
    <w:rsid w:val="00752398"/>
    <w:rsid w:val="007525A0"/>
    <w:rsid w:val="00753F35"/>
    <w:rsid w:val="007557A2"/>
    <w:rsid w:val="00756776"/>
    <w:rsid w:val="0076064C"/>
    <w:rsid w:val="00760A68"/>
    <w:rsid w:val="00760B0A"/>
    <w:rsid w:val="00761626"/>
    <w:rsid w:val="00762BEF"/>
    <w:rsid w:val="0076316B"/>
    <w:rsid w:val="0076365B"/>
    <w:rsid w:val="00763DED"/>
    <w:rsid w:val="007651C4"/>
    <w:rsid w:val="007657A2"/>
    <w:rsid w:val="0076599A"/>
    <w:rsid w:val="00771E96"/>
    <w:rsid w:val="00773BC3"/>
    <w:rsid w:val="00773FE5"/>
    <w:rsid w:val="00774F68"/>
    <w:rsid w:val="007754E4"/>
    <w:rsid w:val="007763E8"/>
    <w:rsid w:val="00777665"/>
    <w:rsid w:val="00782908"/>
    <w:rsid w:val="00782A16"/>
    <w:rsid w:val="007832FF"/>
    <w:rsid w:val="00784C16"/>
    <w:rsid w:val="00786BCA"/>
    <w:rsid w:val="0078727E"/>
    <w:rsid w:val="00787ADC"/>
    <w:rsid w:val="00787BEF"/>
    <w:rsid w:val="00790E5F"/>
    <w:rsid w:val="007923EF"/>
    <w:rsid w:val="00792766"/>
    <w:rsid w:val="00792B5E"/>
    <w:rsid w:val="00793194"/>
    <w:rsid w:val="00794225"/>
    <w:rsid w:val="0079433D"/>
    <w:rsid w:val="00796308"/>
    <w:rsid w:val="007966E7"/>
    <w:rsid w:val="00797429"/>
    <w:rsid w:val="007975C4"/>
    <w:rsid w:val="007A058E"/>
    <w:rsid w:val="007A1BFD"/>
    <w:rsid w:val="007A26AF"/>
    <w:rsid w:val="007A29CD"/>
    <w:rsid w:val="007A583C"/>
    <w:rsid w:val="007A5ADA"/>
    <w:rsid w:val="007A5C85"/>
    <w:rsid w:val="007A6214"/>
    <w:rsid w:val="007A6228"/>
    <w:rsid w:val="007A6558"/>
    <w:rsid w:val="007A6C72"/>
    <w:rsid w:val="007A7D9F"/>
    <w:rsid w:val="007B0091"/>
    <w:rsid w:val="007B1607"/>
    <w:rsid w:val="007B212C"/>
    <w:rsid w:val="007B215B"/>
    <w:rsid w:val="007B2A97"/>
    <w:rsid w:val="007B2B62"/>
    <w:rsid w:val="007B2D6F"/>
    <w:rsid w:val="007B350A"/>
    <w:rsid w:val="007B547F"/>
    <w:rsid w:val="007B57B2"/>
    <w:rsid w:val="007C09CA"/>
    <w:rsid w:val="007C23C4"/>
    <w:rsid w:val="007C4319"/>
    <w:rsid w:val="007C4827"/>
    <w:rsid w:val="007C5E92"/>
    <w:rsid w:val="007D039E"/>
    <w:rsid w:val="007D0406"/>
    <w:rsid w:val="007D1903"/>
    <w:rsid w:val="007D2ADE"/>
    <w:rsid w:val="007D30EB"/>
    <w:rsid w:val="007D36C8"/>
    <w:rsid w:val="007D3713"/>
    <w:rsid w:val="007D37D9"/>
    <w:rsid w:val="007D43F9"/>
    <w:rsid w:val="007D4A23"/>
    <w:rsid w:val="007D4F9D"/>
    <w:rsid w:val="007D5317"/>
    <w:rsid w:val="007D5537"/>
    <w:rsid w:val="007D6605"/>
    <w:rsid w:val="007D7095"/>
    <w:rsid w:val="007D7E44"/>
    <w:rsid w:val="007E5614"/>
    <w:rsid w:val="007F057A"/>
    <w:rsid w:val="007F17EB"/>
    <w:rsid w:val="007F4474"/>
    <w:rsid w:val="007F49B9"/>
    <w:rsid w:val="007F60C3"/>
    <w:rsid w:val="007F64A4"/>
    <w:rsid w:val="007F7FAD"/>
    <w:rsid w:val="008007BA"/>
    <w:rsid w:val="0080162A"/>
    <w:rsid w:val="008029CF"/>
    <w:rsid w:val="00806046"/>
    <w:rsid w:val="00806851"/>
    <w:rsid w:val="0080798B"/>
    <w:rsid w:val="008106EA"/>
    <w:rsid w:val="00811267"/>
    <w:rsid w:val="00811974"/>
    <w:rsid w:val="00812420"/>
    <w:rsid w:val="008136D3"/>
    <w:rsid w:val="00813C91"/>
    <w:rsid w:val="00814ECC"/>
    <w:rsid w:val="008152D4"/>
    <w:rsid w:val="00821EED"/>
    <w:rsid w:val="0082273E"/>
    <w:rsid w:val="0082296E"/>
    <w:rsid w:val="00822B0F"/>
    <w:rsid w:val="008241B9"/>
    <w:rsid w:val="00825595"/>
    <w:rsid w:val="00827B06"/>
    <w:rsid w:val="00831308"/>
    <w:rsid w:val="00832362"/>
    <w:rsid w:val="0083263F"/>
    <w:rsid w:val="00834F2E"/>
    <w:rsid w:val="00836155"/>
    <w:rsid w:val="00837AAD"/>
    <w:rsid w:val="00837E1A"/>
    <w:rsid w:val="008437C4"/>
    <w:rsid w:val="008452BE"/>
    <w:rsid w:val="00845359"/>
    <w:rsid w:val="008471AB"/>
    <w:rsid w:val="00851244"/>
    <w:rsid w:val="008512D7"/>
    <w:rsid w:val="008548E0"/>
    <w:rsid w:val="0085568B"/>
    <w:rsid w:val="00855A5C"/>
    <w:rsid w:val="00856D06"/>
    <w:rsid w:val="008576A9"/>
    <w:rsid w:val="00861312"/>
    <w:rsid w:val="00861681"/>
    <w:rsid w:val="00861FFC"/>
    <w:rsid w:val="00862438"/>
    <w:rsid w:val="00862CC4"/>
    <w:rsid w:val="00866E83"/>
    <w:rsid w:val="00872C69"/>
    <w:rsid w:val="008748EA"/>
    <w:rsid w:val="00875220"/>
    <w:rsid w:val="00876812"/>
    <w:rsid w:val="00880128"/>
    <w:rsid w:val="00880584"/>
    <w:rsid w:val="00880638"/>
    <w:rsid w:val="00880DC0"/>
    <w:rsid w:val="008826FD"/>
    <w:rsid w:val="00883D11"/>
    <w:rsid w:val="00884D6A"/>
    <w:rsid w:val="008859F3"/>
    <w:rsid w:val="00886484"/>
    <w:rsid w:val="00886A6A"/>
    <w:rsid w:val="00892DE7"/>
    <w:rsid w:val="0089389B"/>
    <w:rsid w:val="0089439E"/>
    <w:rsid w:val="0089476A"/>
    <w:rsid w:val="00894BFC"/>
    <w:rsid w:val="00894E55"/>
    <w:rsid w:val="00895C0A"/>
    <w:rsid w:val="00895D18"/>
    <w:rsid w:val="00896432"/>
    <w:rsid w:val="00897781"/>
    <w:rsid w:val="008A0B36"/>
    <w:rsid w:val="008A1AB4"/>
    <w:rsid w:val="008A1DF7"/>
    <w:rsid w:val="008A24A9"/>
    <w:rsid w:val="008A28E4"/>
    <w:rsid w:val="008A2945"/>
    <w:rsid w:val="008A3756"/>
    <w:rsid w:val="008A3AF0"/>
    <w:rsid w:val="008A4B6B"/>
    <w:rsid w:val="008A6FA5"/>
    <w:rsid w:val="008A790F"/>
    <w:rsid w:val="008A7BAD"/>
    <w:rsid w:val="008B0D24"/>
    <w:rsid w:val="008B1CCF"/>
    <w:rsid w:val="008B4AEC"/>
    <w:rsid w:val="008B5A53"/>
    <w:rsid w:val="008B7B50"/>
    <w:rsid w:val="008B7EB8"/>
    <w:rsid w:val="008C3473"/>
    <w:rsid w:val="008C3B95"/>
    <w:rsid w:val="008C7824"/>
    <w:rsid w:val="008D2395"/>
    <w:rsid w:val="008D260E"/>
    <w:rsid w:val="008D3166"/>
    <w:rsid w:val="008D3A01"/>
    <w:rsid w:val="008D3F2F"/>
    <w:rsid w:val="008D40A9"/>
    <w:rsid w:val="008D578B"/>
    <w:rsid w:val="008D611A"/>
    <w:rsid w:val="008D6834"/>
    <w:rsid w:val="008D7211"/>
    <w:rsid w:val="008E03E9"/>
    <w:rsid w:val="008E2D9C"/>
    <w:rsid w:val="008E3B83"/>
    <w:rsid w:val="008E3C67"/>
    <w:rsid w:val="008E418D"/>
    <w:rsid w:val="008E4EAC"/>
    <w:rsid w:val="008E551E"/>
    <w:rsid w:val="008E5AF4"/>
    <w:rsid w:val="008E6B25"/>
    <w:rsid w:val="008E6B60"/>
    <w:rsid w:val="008E7929"/>
    <w:rsid w:val="008F064C"/>
    <w:rsid w:val="008F156F"/>
    <w:rsid w:val="008F2F17"/>
    <w:rsid w:val="008F30B3"/>
    <w:rsid w:val="008F3352"/>
    <w:rsid w:val="008F33B8"/>
    <w:rsid w:val="008F507E"/>
    <w:rsid w:val="008F525C"/>
    <w:rsid w:val="008F5C07"/>
    <w:rsid w:val="008F7445"/>
    <w:rsid w:val="008F76C2"/>
    <w:rsid w:val="00900656"/>
    <w:rsid w:val="00900D91"/>
    <w:rsid w:val="009019ED"/>
    <w:rsid w:val="00903A51"/>
    <w:rsid w:val="0090538E"/>
    <w:rsid w:val="009059EE"/>
    <w:rsid w:val="0091162A"/>
    <w:rsid w:val="009125C2"/>
    <w:rsid w:val="009130FE"/>
    <w:rsid w:val="0091316A"/>
    <w:rsid w:val="009168D6"/>
    <w:rsid w:val="009179F5"/>
    <w:rsid w:val="00920311"/>
    <w:rsid w:val="00920D23"/>
    <w:rsid w:val="0092118B"/>
    <w:rsid w:val="009217DD"/>
    <w:rsid w:val="00922ACE"/>
    <w:rsid w:val="009246AC"/>
    <w:rsid w:val="00925402"/>
    <w:rsid w:val="009259F9"/>
    <w:rsid w:val="00925C94"/>
    <w:rsid w:val="00926142"/>
    <w:rsid w:val="009300A5"/>
    <w:rsid w:val="0093056A"/>
    <w:rsid w:val="00930F92"/>
    <w:rsid w:val="00931EED"/>
    <w:rsid w:val="00932000"/>
    <w:rsid w:val="00933636"/>
    <w:rsid w:val="00933EAC"/>
    <w:rsid w:val="00934ECD"/>
    <w:rsid w:val="00935052"/>
    <w:rsid w:val="009362EF"/>
    <w:rsid w:val="009400E0"/>
    <w:rsid w:val="00940437"/>
    <w:rsid w:val="00943B63"/>
    <w:rsid w:val="00944DF1"/>
    <w:rsid w:val="00946387"/>
    <w:rsid w:val="0094788C"/>
    <w:rsid w:val="0095037A"/>
    <w:rsid w:val="00951208"/>
    <w:rsid w:val="00951723"/>
    <w:rsid w:val="00951B73"/>
    <w:rsid w:val="00955019"/>
    <w:rsid w:val="0095562E"/>
    <w:rsid w:val="00955ABA"/>
    <w:rsid w:val="00955CC0"/>
    <w:rsid w:val="00956FCE"/>
    <w:rsid w:val="009603E2"/>
    <w:rsid w:val="009612D4"/>
    <w:rsid w:val="00962B0D"/>
    <w:rsid w:val="00962C9F"/>
    <w:rsid w:val="00962DBA"/>
    <w:rsid w:val="00963370"/>
    <w:rsid w:val="00964166"/>
    <w:rsid w:val="00965375"/>
    <w:rsid w:val="009658E2"/>
    <w:rsid w:val="00966379"/>
    <w:rsid w:val="009669AF"/>
    <w:rsid w:val="00966D85"/>
    <w:rsid w:val="0096790E"/>
    <w:rsid w:val="00967B10"/>
    <w:rsid w:val="00970227"/>
    <w:rsid w:val="00971E6C"/>
    <w:rsid w:val="00971F26"/>
    <w:rsid w:val="00973584"/>
    <w:rsid w:val="00973C89"/>
    <w:rsid w:val="00975049"/>
    <w:rsid w:val="00975C63"/>
    <w:rsid w:val="00975F63"/>
    <w:rsid w:val="009764DF"/>
    <w:rsid w:val="009766FA"/>
    <w:rsid w:val="00976C1D"/>
    <w:rsid w:val="00981A08"/>
    <w:rsid w:val="00981AE5"/>
    <w:rsid w:val="00981DC8"/>
    <w:rsid w:val="0098332C"/>
    <w:rsid w:val="0098562E"/>
    <w:rsid w:val="00987539"/>
    <w:rsid w:val="009919D4"/>
    <w:rsid w:val="0099265D"/>
    <w:rsid w:val="009935EC"/>
    <w:rsid w:val="00995C82"/>
    <w:rsid w:val="00995F6E"/>
    <w:rsid w:val="0099634D"/>
    <w:rsid w:val="009977DF"/>
    <w:rsid w:val="009A05A1"/>
    <w:rsid w:val="009A067E"/>
    <w:rsid w:val="009A0730"/>
    <w:rsid w:val="009A180D"/>
    <w:rsid w:val="009A261D"/>
    <w:rsid w:val="009A2A28"/>
    <w:rsid w:val="009A2F45"/>
    <w:rsid w:val="009A3764"/>
    <w:rsid w:val="009A379F"/>
    <w:rsid w:val="009A3D0A"/>
    <w:rsid w:val="009A4897"/>
    <w:rsid w:val="009A519D"/>
    <w:rsid w:val="009A6146"/>
    <w:rsid w:val="009B1FE8"/>
    <w:rsid w:val="009B30A6"/>
    <w:rsid w:val="009B33BB"/>
    <w:rsid w:val="009B3855"/>
    <w:rsid w:val="009B4B81"/>
    <w:rsid w:val="009B5171"/>
    <w:rsid w:val="009B62E4"/>
    <w:rsid w:val="009C03AD"/>
    <w:rsid w:val="009C0BD4"/>
    <w:rsid w:val="009C10D5"/>
    <w:rsid w:val="009C204E"/>
    <w:rsid w:val="009C3C72"/>
    <w:rsid w:val="009C49F9"/>
    <w:rsid w:val="009C4D9F"/>
    <w:rsid w:val="009D05E6"/>
    <w:rsid w:val="009D1035"/>
    <w:rsid w:val="009D373F"/>
    <w:rsid w:val="009D3F25"/>
    <w:rsid w:val="009D48E3"/>
    <w:rsid w:val="009D74F9"/>
    <w:rsid w:val="009E2A59"/>
    <w:rsid w:val="009E3B73"/>
    <w:rsid w:val="009E7629"/>
    <w:rsid w:val="009F36D8"/>
    <w:rsid w:val="009F4CB0"/>
    <w:rsid w:val="009F50A2"/>
    <w:rsid w:val="009F5BE7"/>
    <w:rsid w:val="009F682C"/>
    <w:rsid w:val="009F6A11"/>
    <w:rsid w:val="009F6B2F"/>
    <w:rsid w:val="009F6C4D"/>
    <w:rsid w:val="009F6E52"/>
    <w:rsid w:val="00A01C78"/>
    <w:rsid w:val="00A01D6A"/>
    <w:rsid w:val="00A01F38"/>
    <w:rsid w:val="00A02820"/>
    <w:rsid w:val="00A0619E"/>
    <w:rsid w:val="00A06D2A"/>
    <w:rsid w:val="00A07477"/>
    <w:rsid w:val="00A11B2A"/>
    <w:rsid w:val="00A12002"/>
    <w:rsid w:val="00A1226B"/>
    <w:rsid w:val="00A12A64"/>
    <w:rsid w:val="00A14B19"/>
    <w:rsid w:val="00A1550D"/>
    <w:rsid w:val="00A15D4A"/>
    <w:rsid w:val="00A21336"/>
    <w:rsid w:val="00A21DD7"/>
    <w:rsid w:val="00A22ACE"/>
    <w:rsid w:val="00A245D6"/>
    <w:rsid w:val="00A24E43"/>
    <w:rsid w:val="00A26858"/>
    <w:rsid w:val="00A279DB"/>
    <w:rsid w:val="00A27E0F"/>
    <w:rsid w:val="00A3096D"/>
    <w:rsid w:val="00A31BCC"/>
    <w:rsid w:val="00A31E76"/>
    <w:rsid w:val="00A32570"/>
    <w:rsid w:val="00A3262D"/>
    <w:rsid w:val="00A32B83"/>
    <w:rsid w:val="00A35255"/>
    <w:rsid w:val="00A35C25"/>
    <w:rsid w:val="00A36784"/>
    <w:rsid w:val="00A36B66"/>
    <w:rsid w:val="00A37272"/>
    <w:rsid w:val="00A376D0"/>
    <w:rsid w:val="00A40906"/>
    <w:rsid w:val="00A40F22"/>
    <w:rsid w:val="00A429B2"/>
    <w:rsid w:val="00A450E7"/>
    <w:rsid w:val="00A45B4C"/>
    <w:rsid w:val="00A51131"/>
    <w:rsid w:val="00A53716"/>
    <w:rsid w:val="00A53FB4"/>
    <w:rsid w:val="00A54ABE"/>
    <w:rsid w:val="00A5547A"/>
    <w:rsid w:val="00A564D7"/>
    <w:rsid w:val="00A56E8D"/>
    <w:rsid w:val="00A610AC"/>
    <w:rsid w:val="00A61E8C"/>
    <w:rsid w:val="00A62BEE"/>
    <w:rsid w:val="00A64178"/>
    <w:rsid w:val="00A64AD7"/>
    <w:rsid w:val="00A64D1C"/>
    <w:rsid w:val="00A70E88"/>
    <w:rsid w:val="00A7160D"/>
    <w:rsid w:val="00A71F75"/>
    <w:rsid w:val="00A7224C"/>
    <w:rsid w:val="00A72F7F"/>
    <w:rsid w:val="00A75759"/>
    <w:rsid w:val="00A76577"/>
    <w:rsid w:val="00A7721F"/>
    <w:rsid w:val="00A77D07"/>
    <w:rsid w:val="00A80E09"/>
    <w:rsid w:val="00A822AD"/>
    <w:rsid w:val="00A83414"/>
    <w:rsid w:val="00A84137"/>
    <w:rsid w:val="00A86502"/>
    <w:rsid w:val="00A86F4F"/>
    <w:rsid w:val="00A87015"/>
    <w:rsid w:val="00A87B15"/>
    <w:rsid w:val="00A90185"/>
    <w:rsid w:val="00A917DF"/>
    <w:rsid w:val="00A9232C"/>
    <w:rsid w:val="00A93914"/>
    <w:rsid w:val="00A9572B"/>
    <w:rsid w:val="00AA33F4"/>
    <w:rsid w:val="00AA5B0F"/>
    <w:rsid w:val="00AA5B9E"/>
    <w:rsid w:val="00AA5DE9"/>
    <w:rsid w:val="00AA6B5E"/>
    <w:rsid w:val="00AA6D1B"/>
    <w:rsid w:val="00AB09B2"/>
    <w:rsid w:val="00AB2904"/>
    <w:rsid w:val="00AB3A5B"/>
    <w:rsid w:val="00AB52B7"/>
    <w:rsid w:val="00AC020F"/>
    <w:rsid w:val="00AC06D6"/>
    <w:rsid w:val="00AC1992"/>
    <w:rsid w:val="00AC215B"/>
    <w:rsid w:val="00AC41DD"/>
    <w:rsid w:val="00AC462B"/>
    <w:rsid w:val="00AC564D"/>
    <w:rsid w:val="00AC651D"/>
    <w:rsid w:val="00AC6852"/>
    <w:rsid w:val="00AC7E26"/>
    <w:rsid w:val="00AD0E99"/>
    <w:rsid w:val="00AD1ED7"/>
    <w:rsid w:val="00AD28DA"/>
    <w:rsid w:val="00AD3925"/>
    <w:rsid w:val="00AD54EE"/>
    <w:rsid w:val="00AD57A0"/>
    <w:rsid w:val="00AD6B81"/>
    <w:rsid w:val="00AE39F5"/>
    <w:rsid w:val="00AF0381"/>
    <w:rsid w:val="00AF1274"/>
    <w:rsid w:val="00AF1E49"/>
    <w:rsid w:val="00AF2686"/>
    <w:rsid w:val="00AF2690"/>
    <w:rsid w:val="00AF3D6B"/>
    <w:rsid w:val="00AF3E9D"/>
    <w:rsid w:val="00AF3E9E"/>
    <w:rsid w:val="00AF4E99"/>
    <w:rsid w:val="00B0081E"/>
    <w:rsid w:val="00B00A3B"/>
    <w:rsid w:val="00B04262"/>
    <w:rsid w:val="00B05255"/>
    <w:rsid w:val="00B0572A"/>
    <w:rsid w:val="00B07CD3"/>
    <w:rsid w:val="00B132F8"/>
    <w:rsid w:val="00B14ACE"/>
    <w:rsid w:val="00B161C3"/>
    <w:rsid w:val="00B174A0"/>
    <w:rsid w:val="00B21FBE"/>
    <w:rsid w:val="00B221B8"/>
    <w:rsid w:val="00B221BF"/>
    <w:rsid w:val="00B230C8"/>
    <w:rsid w:val="00B244C3"/>
    <w:rsid w:val="00B259AA"/>
    <w:rsid w:val="00B30312"/>
    <w:rsid w:val="00B30685"/>
    <w:rsid w:val="00B35A8B"/>
    <w:rsid w:val="00B378AE"/>
    <w:rsid w:val="00B40593"/>
    <w:rsid w:val="00B41693"/>
    <w:rsid w:val="00B428C3"/>
    <w:rsid w:val="00B45134"/>
    <w:rsid w:val="00B46AF9"/>
    <w:rsid w:val="00B520C4"/>
    <w:rsid w:val="00B536C9"/>
    <w:rsid w:val="00B55558"/>
    <w:rsid w:val="00B56DE3"/>
    <w:rsid w:val="00B571FC"/>
    <w:rsid w:val="00B578FF"/>
    <w:rsid w:val="00B57C26"/>
    <w:rsid w:val="00B63BE7"/>
    <w:rsid w:val="00B63DB4"/>
    <w:rsid w:val="00B655CC"/>
    <w:rsid w:val="00B657EE"/>
    <w:rsid w:val="00B66DCB"/>
    <w:rsid w:val="00B74EDB"/>
    <w:rsid w:val="00B755E6"/>
    <w:rsid w:val="00B76434"/>
    <w:rsid w:val="00B76E07"/>
    <w:rsid w:val="00B8089A"/>
    <w:rsid w:val="00B80ADA"/>
    <w:rsid w:val="00B8198B"/>
    <w:rsid w:val="00B81D28"/>
    <w:rsid w:val="00B81F89"/>
    <w:rsid w:val="00B83630"/>
    <w:rsid w:val="00B837D4"/>
    <w:rsid w:val="00B83B89"/>
    <w:rsid w:val="00B843AC"/>
    <w:rsid w:val="00B84AB3"/>
    <w:rsid w:val="00B85389"/>
    <w:rsid w:val="00B86317"/>
    <w:rsid w:val="00B87828"/>
    <w:rsid w:val="00B87D82"/>
    <w:rsid w:val="00B91E36"/>
    <w:rsid w:val="00B946CF"/>
    <w:rsid w:val="00B954A0"/>
    <w:rsid w:val="00B954DC"/>
    <w:rsid w:val="00B95788"/>
    <w:rsid w:val="00B959B0"/>
    <w:rsid w:val="00B9621F"/>
    <w:rsid w:val="00B96FE9"/>
    <w:rsid w:val="00BA48A9"/>
    <w:rsid w:val="00BA4C2E"/>
    <w:rsid w:val="00BA6CF1"/>
    <w:rsid w:val="00BA7CE9"/>
    <w:rsid w:val="00BB169E"/>
    <w:rsid w:val="00BB57CF"/>
    <w:rsid w:val="00BB5A3C"/>
    <w:rsid w:val="00BB66FB"/>
    <w:rsid w:val="00BB6724"/>
    <w:rsid w:val="00BB7C5D"/>
    <w:rsid w:val="00BC044A"/>
    <w:rsid w:val="00BC0B37"/>
    <w:rsid w:val="00BC13D4"/>
    <w:rsid w:val="00BC1AE4"/>
    <w:rsid w:val="00BC27B4"/>
    <w:rsid w:val="00BC2C4B"/>
    <w:rsid w:val="00BC42BA"/>
    <w:rsid w:val="00BC4AF7"/>
    <w:rsid w:val="00BC5198"/>
    <w:rsid w:val="00BC5285"/>
    <w:rsid w:val="00BC5477"/>
    <w:rsid w:val="00BC55E3"/>
    <w:rsid w:val="00BC60CC"/>
    <w:rsid w:val="00BC6628"/>
    <w:rsid w:val="00BC7511"/>
    <w:rsid w:val="00BD08C4"/>
    <w:rsid w:val="00BD0AA8"/>
    <w:rsid w:val="00BD14A0"/>
    <w:rsid w:val="00BD2E78"/>
    <w:rsid w:val="00BD3F14"/>
    <w:rsid w:val="00BD425B"/>
    <w:rsid w:val="00BD61F7"/>
    <w:rsid w:val="00BD7096"/>
    <w:rsid w:val="00BD7C57"/>
    <w:rsid w:val="00BD7FB0"/>
    <w:rsid w:val="00BE1A79"/>
    <w:rsid w:val="00BE1D47"/>
    <w:rsid w:val="00BE2435"/>
    <w:rsid w:val="00BE3367"/>
    <w:rsid w:val="00BE394A"/>
    <w:rsid w:val="00BE4C6C"/>
    <w:rsid w:val="00BE5C4A"/>
    <w:rsid w:val="00BE7CB7"/>
    <w:rsid w:val="00BF10D1"/>
    <w:rsid w:val="00BF3883"/>
    <w:rsid w:val="00BF4469"/>
    <w:rsid w:val="00BF586F"/>
    <w:rsid w:val="00BF7D83"/>
    <w:rsid w:val="00C0113E"/>
    <w:rsid w:val="00C021C8"/>
    <w:rsid w:val="00C02776"/>
    <w:rsid w:val="00C02C14"/>
    <w:rsid w:val="00C039EF"/>
    <w:rsid w:val="00C04AD8"/>
    <w:rsid w:val="00C05222"/>
    <w:rsid w:val="00C064D9"/>
    <w:rsid w:val="00C06A3D"/>
    <w:rsid w:val="00C06E08"/>
    <w:rsid w:val="00C110AC"/>
    <w:rsid w:val="00C114D0"/>
    <w:rsid w:val="00C12BFC"/>
    <w:rsid w:val="00C13583"/>
    <w:rsid w:val="00C159F0"/>
    <w:rsid w:val="00C1770E"/>
    <w:rsid w:val="00C21B5F"/>
    <w:rsid w:val="00C22666"/>
    <w:rsid w:val="00C236D5"/>
    <w:rsid w:val="00C244C2"/>
    <w:rsid w:val="00C25135"/>
    <w:rsid w:val="00C25C56"/>
    <w:rsid w:val="00C263E3"/>
    <w:rsid w:val="00C26A05"/>
    <w:rsid w:val="00C270E9"/>
    <w:rsid w:val="00C27E59"/>
    <w:rsid w:val="00C27F28"/>
    <w:rsid w:val="00C32327"/>
    <w:rsid w:val="00C3252C"/>
    <w:rsid w:val="00C32F0D"/>
    <w:rsid w:val="00C3415D"/>
    <w:rsid w:val="00C366A1"/>
    <w:rsid w:val="00C366B1"/>
    <w:rsid w:val="00C36EC5"/>
    <w:rsid w:val="00C41C48"/>
    <w:rsid w:val="00C424CC"/>
    <w:rsid w:val="00C429C6"/>
    <w:rsid w:val="00C44B89"/>
    <w:rsid w:val="00C451C0"/>
    <w:rsid w:val="00C45D87"/>
    <w:rsid w:val="00C46B30"/>
    <w:rsid w:val="00C478A2"/>
    <w:rsid w:val="00C479AE"/>
    <w:rsid w:val="00C50003"/>
    <w:rsid w:val="00C50D34"/>
    <w:rsid w:val="00C556AB"/>
    <w:rsid w:val="00C56B57"/>
    <w:rsid w:val="00C570D1"/>
    <w:rsid w:val="00C57E58"/>
    <w:rsid w:val="00C61CF2"/>
    <w:rsid w:val="00C62510"/>
    <w:rsid w:val="00C6292A"/>
    <w:rsid w:val="00C62C80"/>
    <w:rsid w:val="00C62EAB"/>
    <w:rsid w:val="00C63BE1"/>
    <w:rsid w:val="00C6470A"/>
    <w:rsid w:val="00C65616"/>
    <w:rsid w:val="00C65B49"/>
    <w:rsid w:val="00C67577"/>
    <w:rsid w:val="00C6773D"/>
    <w:rsid w:val="00C73553"/>
    <w:rsid w:val="00C762F1"/>
    <w:rsid w:val="00C7752B"/>
    <w:rsid w:val="00C77C3C"/>
    <w:rsid w:val="00C80359"/>
    <w:rsid w:val="00C80F6E"/>
    <w:rsid w:val="00C816FF"/>
    <w:rsid w:val="00C83AAE"/>
    <w:rsid w:val="00C858ED"/>
    <w:rsid w:val="00C85A4D"/>
    <w:rsid w:val="00C85B3E"/>
    <w:rsid w:val="00C865BF"/>
    <w:rsid w:val="00C8684F"/>
    <w:rsid w:val="00C87534"/>
    <w:rsid w:val="00C90269"/>
    <w:rsid w:val="00C91C99"/>
    <w:rsid w:val="00C92F75"/>
    <w:rsid w:val="00C93304"/>
    <w:rsid w:val="00C9332F"/>
    <w:rsid w:val="00C933A5"/>
    <w:rsid w:val="00C936D7"/>
    <w:rsid w:val="00C96738"/>
    <w:rsid w:val="00C97CC0"/>
    <w:rsid w:val="00CA29D0"/>
    <w:rsid w:val="00CA2E18"/>
    <w:rsid w:val="00CA406C"/>
    <w:rsid w:val="00CA4690"/>
    <w:rsid w:val="00CA4BD2"/>
    <w:rsid w:val="00CA55E8"/>
    <w:rsid w:val="00CA7E84"/>
    <w:rsid w:val="00CB33C9"/>
    <w:rsid w:val="00CB3899"/>
    <w:rsid w:val="00CB7D1A"/>
    <w:rsid w:val="00CB7DF1"/>
    <w:rsid w:val="00CC1551"/>
    <w:rsid w:val="00CC32C2"/>
    <w:rsid w:val="00CC33B2"/>
    <w:rsid w:val="00CC5A4C"/>
    <w:rsid w:val="00CC7C18"/>
    <w:rsid w:val="00CD0E1B"/>
    <w:rsid w:val="00CD11CA"/>
    <w:rsid w:val="00CD1D8F"/>
    <w:rsid w:val="00CD1FB2"/>
    <w:rsid w:val="00CD2B00"/>
    <w:rsid w:val="00CD3E9C"/>
    <w:rsid w:val="00CD54E0"/>
    <w:rsid w:val="00CD6D3E"/>
    <w:rsid w:val="00CD746B"/>
    <w:rsid w:val="00CE2946"/>
    <w:rsid w:val="00CE29AD"/>
    <w:rsid w:val="00CE397A"/>
    <w:rsid w:val="00CE4005"/>
    <w:rsid w:val="00CE5018"/>
    <w:rsid w:val="00CE5666"/>
    <w:rsid w:val="00CE5B66"/>
    <w:rsid w:val="00CE7443"/>
    <w:rsid w:val="00CF0671"/>
    <w:rsid w:val="00CF0CFC"/>
    <w:rsid w:val="00CF3535"/>
    <w:rsid w:val="00CF3853"/>
    <w:rsid w:val="00CF42E9"/>
    <w:rsid w:val="00CF4AD8"/>
    <w:rsid w:val="00D05CEF"/>
    <w:rsid w:val="00D06970"/>
    <w:rsid w:val="00D06C8D"/>
    <w:rsid w:val="00D07946"/>
    <w:rsid w:val="00D10063"/>
    <w:rsid w:val="00D107C1"/>
    <w:rsid w:val="00D1130D"/>
    <w:rsid w:val="00D11994"/>
    <w:rsid w:val="00D12458"/>
    <w:rsid w:val="00D12D60"/>
    <w:rsid w:val="00D1367F"/>
    <w:rsid w:val="00D14653"/>
    <w:rsid w:val="00D154E9"/>
    <w:rsid w:val="00D160D8"/>
    <w:rsid w:val="00D16ED3"/>
    <w:rsid w:val="00D2005F"/>
    <w:rsid w:val="00D209C5"/>
    <w:rsid w:val="00D21AEE"/>
    <w:rsid w:val="00D22969"/>
    <w:rsid w:val="00D2332A"/>
    <w:rsid w:val="00D23397"/>
    <w:rsid w:val="00D239E0"/>
    <w:rsid w:val="00D23C68"/>
    <w:rsid w:val="00D24429"/>
    <w:rsid w:val="00D25185"/>
    <w:rsid w:val="00D25777"/>
    <w:rsid w:val="00D25FD6"/>
    <w:rsid w:val="00D263C0"/>
    <w:rsid w:val="00D26B88"/>
    <w:rsid w:val="00D27158"/>
    <w:rsid w:val="00D27C8B"/>
    <w:rsid w:val="00D30643"/>
    <w:rsid w:val="00D30DDF"/>
    <w:rsid w:val="00D31BB2"/>
    <w:rsid w:val="00D31C09"/>
    <w:rsid w:val="00D31FB1"/>
    <w:rsid w:val="00D3318C"/>
    <w:rsid w:val="00D335CA"/>
    <w:rsid w:val="00D33C17"/>
    <w:rsid w:val="00D345EB"/>
    <w:rsid w:val="00D36765"/>
    <w:rsid w:val="00D37243"/>
    <w:rsid w:val="00D37ABA"/>
    <w:rsid w:val="00D37AED"/>
    <w:rsid w:val="00D41D03"/>
    <w:rsid w:val="00D448AF"/>
    <w:rsid w:val="00D45034"/>
    <w:rsid w:val="00D454A1"/>
    <w:rsid w:val="00D46544"/>
    <w:rsid w:val="00D47A52"/>
    <w:rsid w:val="00D5266F"/>
    <w:rsid w:val="00D52D90"/>
    <w:rsid w:val="00D534C9"/>
    <w:rsid w:val="00D54F7B"/>
    <w:rsid w:val="00D5572C"/>
    <w:rsid w:val="00D55E69"/>
    <w:rsid w:val="00D5649A"/>
    <w:rsid w:val="00D57A7E"/>
    <w:rsid w:val="00D60889"/>
    <w:rsid w:val="00D60A3F"/>
    <w:rsid w:val="00D60DEE"/>
    <w:rsid w:val="00D621D9"/>
    <w:rsid w:val="00D62506"/>
    <w:rsid w:val="00D64335"/>
    <w:rsid w:val="00D64B5C"/>
    <w:rsid w:val="00D656CA"/>
    <w:rsid w:val="00D65C75"/>
    <w:rsid w:val="00D665D1"/>
    <w:rsid w:val="00D6682B"/>
    <w:rsid w:val="00D67D71"/>
    <w:rsid w:val="00D70493"/>
    <w:rsid w:val="00D709FB"/>
    <w:rsid w:val="00D70DB6"/>
    <w:rsid w:val="00D74ABC"/>
    <w:rsid w:val="00D8068F"/>
    <w:rsid w:val="00D806C9"/>
    <w:rsid w:val="00D807DD"/>
    <w:rsid w:val="00D8390B"/>
    <w:rsid w:val="00D848A8"/>
    <w:rsid w:val="00D85889"/>
    <w:rsid w:val="00D85C4D"/>
    <w:rsid w:val="00D869A7"/>
    <w:rsid w:val="00D86C35"/>
    <w:rsid w:val="00D908DB"/>
    <w:rsid w:val="00D90EA7"/>
    <w:rsid w:val="00D9183D"/>
    <w:rsid w:val="00D92A8F"/>
    <w:rsid w:val="00D966A7"/>
    <w:rsid w:val="00D97655"/>
    <w:rsid w:val="00DA117C"/>
    <w:rsid w:val="00DA3BA6"/>
    <w:rsid w:val="00DA4B0F"/>
    <w:rsid w:val="00DA4BBE"/>
    <w:rsid w:val="00DA71E5"/>
    <w:rsid w:val="00DA7E39"/>
    <w:rsid w:val="00DB297D"/>
    <w:rsid w:val="00DB322F"/>
    <w:rsid w:val="00DC0887"/>
    <w:rsid w:val="00DC1820"/>
    <w:rsid w:val="00DC19CA"/>
    <w:rsid w:val="00DC23D8"/>
    <w:rsid w:val="00DC28D7"/>
    <w:rsid w:val="00DC2C66"/>
    <w:rsid w:val="00DC4876"/>
    <w:rsid w:val="00DC49FE"/>
    <w:rsid w:val="00DC5E03"/>
    <w:rsid w:val="00DC605B"/>
    <w:rsid w:val="00DC6772"/>
    <w:rsid w:val="00DD1C2C"/>
    <w:rsid w:val="00DD2F76"/>
    <w:rsid w:val="00DD5385"/>
    <w:rsid w:val="00DE029D"/>
    <w:rsid w:val="00DE065E"/>
    <w:rsid w:val="00DE0B4E"/>
    <w:rsid w:val="00DE250F"/>
    <w:rsid w:val="00DE2E83"/>
    <w:rsid w:val="00DE31AB"/>
    <w:rsid w:val="00DE3562"/>
    <w:rsid w:val="00DE37BD"/>
    <w:rsid w:val="00DE3D04"/>
    <w:rsid w:val="00DE47B8"/>
    <w:rsid w:val="00DE50E3"/>
    <w:rsid w:val="00DE7062"/>
    <w:rsid w:val="00DF09CA"/>
    <w:rsid w:val="00DF0D49"/>
    <w:rsid w:val="00DF3EFA"/>
    <w:rsid w:val="00DF515B"/>
    <w:rsid w:val="00DF5D1F"/>
    <w:rsid w:val="00DF610D"/>
    <w:rsid w:val="00E006F8"/>
    <w:rsid w:val="00E02FE4"/>
    <w:rsid w:val="00E04FCC"/>
    <w:rsid w:val="00E077FB"/>
    <w:rsid w:val="00E079CE"/>
    <w:rsid w:val="00E11FA7"/>
    <w:rsid w:val="00E126EF"/>
    <w:rsid w:val="00E12E8D"/>
    <w:rsid w:val="00E12FF9"/>
    <w:rsid w:val="00E136AC"/>
    <w:rsid w:val="00E15DA1"/>
    <w:rsid w:val="00E16DFD"/>
    <w:rsid w:val="00E178A2"/>
    <w:rsid w:val="00E17A0B"/>
    <w:rsid w:val="00E209B3"/>
    <w:rsid w:val="00E20D6B"/>
    <w:rsid w:val="00E21FE1"/>
    <w:rsid w:val="00E2275E"/>
    <w:rsid w:val="00E22A48"/>
    <w:rsid w:val="00E233BC"/>
    <w:rsid w:val="00E24B23"/>
    <w:rsid w:val="00E277FB"/>
    <w:rsid w:val="00E27F26"/>
    <w:rsid w:val="00E3033B"/>
    <w:rsid w:val="00E3049C"/>
    <w:rsid w:val="00E30809"/>
    <w:rsid w:val="00E30A69"/>
    <w:rsid w:val="00E3199E"/>
    <w:rsid w:val="00E333A9"/>
    <w:rsid w:val="00E339BF"/>
    <w:rsid w:val="00E33C55"/>
    <w:rsid w:val="00E340EE"/>
    <w:rsid w:val="00E3473E"/>
    <w:rsid w:val="00E35949"/>
    <w:rsid w:val="00E35FA5"/>
    <w:rsid w:val="00E408D2"/>
    <w:rsid w:val="00E42432"/>
    <w:rsid w:val="00E43F42"/>
    <w:rsid w:val="00E47248"/>
    <w:rsid w:val="00E47903"/>
    <w:rsid w:val="00E50EFF"/>
    <w:rsid w:val="00E541EF"/>
    <w:rsid w:val="00E55627"/>
    <w:rsid w:val="00E560E6"/>
    <w:rsid w:val="00E62387"/>
    <w:rsid w:val="00E62948"/>
    <w:rsid w:val="00E635A2"/>
    <w:rsid w:val="00E6588F"/>
    <w:rsid w:val="00E65D30"/>
    <w:rsid w:val="00E67427"/>
    <w:rsid w:val="00E67578"/>
    <w:rsid w:val="00E71825"/>
    <w:rsid w:val="00E72BF8"/>
    <w:rsid w:val="00E733BE"/>
    <w:rsid w:val="00E761C3"/>
    <w:rsid w:val="00E77510"/>
    <w:rsid w:val="00E80139"/>
    <w:rsid w:val="00E80ED3"/>
    <w:rsid w:val="00E80ED6"/>
    <w:rsid w:val="00E838DF"/>
    <w:rsid w:val="00E845F6"/>
    <w:rsid w:val="00E85210"/>
    <w:rsid w:val="00E875E3"/>
    <w:rsid w:val="00E92024"/>
    <w:rsid w:val="00E94B78"/>
    <w:rsid w:val="00E9621E"/>
    <w:rsid w:val="00E96BE3"/>
    <w:rsid w:val="00E97A36"/>
    <w:rsid w:val="00EA0371"/>
    <w:rsid w:val="00EA1FEB"/>
    <w:rsid w:val="00EA27F1"/>
    <w:rsid w:val="00EA2E00"/>
    <w:rsid w:val="00EA4AE5"/>
    <w:rsid w:val="00EA5C6F"/>
    <w:rsid w:val="00EA76E2"/>
    <w:rsid w:val="00EA7E21"/>
    <w:rsid w:val="00EB10D9"/>
    <w:rsid w:val="00EB155A"/>
    <w:rsid w:val="00EB1FBC"/>
    <w:rsid w:val="00EB332C"/>
    <w:rsid w:val="00EB3CC2"/>
    <w:rsid w:val="00EB3F70"/>
    <w:rsid w:val="00EB4A80"/>
    <w:rsid w:val="00EB560C"/>
    <w:rsid w:val="00EB763A"/>
    <w:rsid w:val="00EB770E"/>
    <w:rsid w:val="00EC12EF"/>
    <w:rsid w:val="00EC1F59"/>
    <w:rsid w:val="00EC2E74"/>
    <w:rsid w:val="00EC6D43"/>
    <w:rsid w:val="00EC7999"/>
    <w:rsid w:val="00ED19DF"/>
    <w:rsid w:val="00ED7B42"/>
    <w:rsid w:val="00EE0420"/>
    <w:rsid w:val="00EE1540"/>
    <w:rsid w:val="00EE294B"/>
    <w:rsid w:val="00EE42C6"/>
    <w:rsid w:val="00EE47C8"/>
    <w:rsid w:val="00EE4DA7"/>
    <w:rsid w:val="00EE726E"/>
    <w:rsid w:val="00EF1139"/>
    <w:rsid w:val="00EF30CA"/>
    <w:rsid w:val="00EF3D56"/>
    <w:rsid w:val="00EF49E5"/>
    <w:rsid w:val="00F0076E"/>
    <w:rsid w:val="00F019F8"/>
    <w:rsid w:val="00F01B81"/>
    <w:rsid w:val="00F01FA9"/>
    <w:rsid w:val="00F06CD8"/>
    <w:rsid w:val="00F07956"/>
    <w:rsid w:val="00F10116"/>
    <w:rsid w:val="00F107AF"/>
    <w:rsid w:val="00F10F58"/>
    <w:rsid w:val="00F121C3"/>
    <w:rsid w:val="00F12E5D"/>
    <w:rsid w:val="00F15E16"/>
    <w:rsid w:val="00F15F1C"/>
    <w:rsid w:val="00F1640A"/>
    <w:rsid w:val="00F173C5"/>
    <w:rsid w:val="00F17AC4"/>
    <w:rsid w:val="00F21090"/>
    <w:rsid w:val="00F22F6C"/>
    <w:rsid w:val="00F25A61"/>
    <w:rsid w:val="00F25C38"/>
    <w:rsid w:val="00F27EF2"/>
    <w:rsid w:val="00F31214"/>
    <w:rsid w:val="00F317FB"/>
    <w:rsid w:val="00F32116"/>
    <w:rsid w:val="00F32670"/>
    <w:rsid w:val="00F329CC"/>
    <w:rsid w:val="00F329F1"/>
    <w:rsid w:val="00F331AB"/>
    <w:rsid w:val="00F339E7"/>
    <w:rsid w:val="00F343AA"/>
    <w:rsid w:val="00F35076"/>
    <w:rsid w:val="00F36020"/>
    <w:rsid w:val="00F36EF3"/>
    <w:rsid w:val="00F3714C"/>
    <w:rsid w:val="00F3747D"/>
    <w:rsid w:val="00F375E5"/>
    <w:rsid w:val="00F4018D"/>
    <w:rsid w:val="00F40529"/>
    <w:rsid w:val="00F41417"/>
    <w:rsid w:val="00F41D87"/>
    <w:rsid w:val="00F41DCE"/>
    <w:rsid w:val="00F443BF"/>
    <w:rsid w:val="00F4441F"/>
    <w:rsid w:val="00F44B92"/>
    <w:rsid w:val="00F45084"/>
    <w:rsid w:val="00F45322"/>
    <w:rsid w:val="00F46754"/>
    <w:rsid w:val="00F46A03"/>
    <w:rsid w:val="00F50B5E"/>
    <w:rsid w:val="00F50D5A"/>
    <w:rsid w:val="00F532DE"/>
    <w:rsid w:val="00F57DE6"/>
    <w:rsid w:val="00F605E9"/>
    <w:rsid w:val="00F6244F"/>
    <w:rsid w:val="00F6307D"/>
    <w:rsid w:val="00F63D30"/>
    <w:rsid w:val="00F642F9"/>
    <w:rsid w:val="00F64C5D"/>
    <w:rsid w:val="00F658CE"/>
    <w:rsid w:val="00F6756B"/>
    <w:rsid w:val="00F6792E"/>
    <w:rsid w:val="00F703D8"/>
    <w:rsid w:val="00F71A24"/>
    <w:rsid w:val="00F73251"/>
    <w:rsid w:val="00F73D82"/>
    <w:rsid w:val="00F748DB"/>
    <w:rsid w:val="00F757B8"/>
    <w:rsid w:val="00F76E93"/>
    <w:rsid w:val="00F77929"/>
    <w:rsid w:val="00F77AE8"/>
    <w:rsid w:val="00F77CE9"/>
    <w:rsid w:val="00F804DA"/>
    <w:rsid w:val="00F817D7"/>
    <w:rsid w:val="00F81A7B"/>
    <w:rsid w:val="00F83313"/>
    <w:rsid w:val="00F85125"/>
    <w:rsid w:val="00F851B5"/>
    <w:rsid w:val="00F858FE"/>
    <w:rsid w:val="00F8629D"/>
    <w:rsid w:val="00F868EA"/>
    <w:rsid w:val="00F86C13"/>
    <w:rsid w:val="00F879AD"/>
    <w:rsid w:val="00F908CC"/>
    <w:rsid w:val="00F93F25"/>
    <w:rsid w:val="00F962B0"/>
    <w:rsid w:val="00FA0889"/>
    <w:rsid w:val="00FA2460"/>
    <w:rsid w:val="00FA36A5"/>
    <w:rsid w:val="00FA4DFC"/>
    <w:rsid w:val="00FA50CE"/>
    <w:rsid w:val="00FA6E8D"/>
    <w:rsid w:val="00FA7342"/>
    <w:rsid w:val="00FB0567"/>
    <w:rsid w:val="00FB05B7"/>
    <w:rsid w:val="00FB0FBB"/>
    <w:rsid w:val="00FB3664"/>
    <w:rsid w:val="00FB3C3A"/>
    <w:rsid w:val="00FB5AAA"/>
    <w:rsid w:val="00FC0E1D"/>
    <w:rsid w:val="00FC1BCF"/>
    <w:rsid w:val="00FC280D"/>
    <w:rsid w:val="00FD0C85"/>
    <w:rsid w:val="00FD0F14"/>
    <w:rsid w:val="00FD2629"/>
    <w:rsid w:val="00FD28B6"/>
    <w:rsid w:val="00FD2DAC"/>
    <w:rsid w:val="00FD4608"/>
    <w:rsid w:val="00FD4D1A"/>
    <w:rsid w:val="00FD6D12"/>
    <w:rsid w:val="00FE028F"/>
    <w:rsid w:val="00FE03EC"/>
    <w:rsid w:val="00FE0ECF"/>
    <w:rsid w:val="00FE297B"/>
    <w:rsid w:val="00FE345D"/>
    <w:rsid w:val="00FE3DF5"/>
    <w:rsid w:val="00FE5895"/>
    <w:rsid w:val="00FE5AE7"/>
    <w:rsid w:val="00FE6406"/>
    <w:rsid w:val="00FE6D29"/>
    <w:rsid w:val="00FE6F5E"/>
    <w:rsid w:val="00FF05A3"/>
    <w:rsid w:val="00FF1AD7"/>
    <w:rsid w:val="00FF1C04"/>
    <w:rsid w:val="00FF1D04"/>
    <w:rsid w:val="00FF1DD7"/>
    <w:rsid w:val="00FF320E"/>
    <w:rsid w:val="00FF36C1"/>
    <w:rsid w:val="00FF3C68"/>
    <w:rsid w:val="00FF3CEB"/>
    <w:rsid w:val="00FF4DC2"/>
    <w:rsid w:val="00FF6189"/>
    <w:rsid w:val="00FF7543"/>
    <w:rsid w:val="00FF78D9"/>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7A5562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Date" w:uiPriority="0"/>
    <w:lsdException w:name="Body Text 2" w:qFormat="1"/>
    <w:lsdException w:name="Body Text 3" w:uiPriority="0"/>
    <w:lsdException w:name="Block Text" w:uiPriority="0"/>
    <w:lsdException w:name="Strong" w:semiHidden="0" w:uiPriority="22" w:unhideWhenUsed="0" w:qFormat="1"/>
    <w:lsdException w:name="Emphasis" w:semiHidden="0" w:uiPriority="20" w:unhideWhenUsed="0" w:qFormat="1"/>
    <w:lsdException w:name="Document Map" w:uiPriority="0"/>
    <w:lsdException w:name="Table Classic 1"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liases w:val="Body text"/>
    <w:qFormat/>
    <w:rsid w:val="00E079CE"/>
    <w:pPr>
      <w:spacing w:before="120" w:after="240"/>
      <w:jc w:val="both"/>
    </w:pPr>
    <w:rPr>
      <w:rFonts w:asciiTheme="minorHAnsi" w:hAnsiTheme="minorHAnsi" w:cstheme="minorHAnsi"/>
      <w:sz w:val="22"/>
      <w:szCs w:val="22"/>
    </w:rPr>
  </w:style>
  <w:style w:type="paragraph" w:styleId="Heading1">
    <w:name w:val="heading 1"/>
    <w:basedOn w:val="Normal"/>
    <w:next w:val="Normal"/>
    <w:link w:val="Heading1Char"/>
    <w:qFormat/>
    <w:rsid w:val="00C12BFC"/>
    <w:pPr>
      <w:keepNext/>
      <w:pageBreakBefore/>
      <w:spacing w:after="120"/>
      <w:outlineLvl w:val="0"/>
    </w:pPr>
    <w:rPr>
      <w:b/>
      <w:bCs/>
      <w:caps/>
      <w:kern w:val="32"/>
      <w:sz w:val="32"/>
      <w:szCs w:val="32"/>
    </w:rPr>
  </w:style>
  <w:style w:type="paragraph" w:styleId="Heading2">
    <w:name w:val="heading 2"/>
    <w:aliases w:val="2nd Level Heading"/>
    <w:basedOn w:val="Normal"/>
    <w:next w:val="Normal"/>
    <w:link w:val="Heading2Char"/>
    <w:qFormat/>
    <w:rsid w:val="007557A2"/>
    <w:pPr>
      <w:numPr>
        <w:ilvl w:val="2"/>
        <w:numId w:val="3"/>
      </w:numPr>
      <w:spacing w:before="240"/>
      <w:outlineLvl w:val="1"/>
    </w:pPr>
    <w:rPr>
      <w:b/>
      <w:sz w:val="24"/>
    </w:rPr>
  </w:style>
  <w:style w:type="paragraph" w:styleId="Heading3">
    <w:name w:val="heading 3"/>
    <w:aliases w:val="3rd Level Heading"/>
    <w:basedOn w:val="Normal"/>
    <w:next w:val="Normal"/>
    <w:link w:val="Heading3Char"/>
    <w:qFormat/>
    <w:rsid w:val="0015270F"/>
    <w:pPr>
      <w:numPr>
        <w:numId w:val="9"/>
      </w:numPr>
      <w:spacing w:before="240"/>
      <w:outlineLvl w:val="2"/>
    </w:pPr>
    <w:rPr>
      <w:b/>
    </w:rPr>
  </w:style>
  <w:style w:type="paragraph" w:styleId="Heading4">
    <w:name w:val="heading 4"/>
    <w:aliases w:val="4th Level Heading"/>
    <w:basedOn w:val="Normal"/>
    <w:next w:val="Normal"/>
    <w:link w:val="Heading4Char"/>
    <w:uiPriority w:val="9"/>
    <w:qFormat/>
    <w:rsid w:val="00FC280D"/>
    <w:pPr>
      <w:outlineLvl w:val="3"/>
    </w:pPr>
    <w:rPr>
      <w:b/>
      <w:i/>
    </w:rPr>
  </w:style>
  <w:style w:type="paragraph" w:styleId="Heading5">
    <w:name w:val="heading 5"/>
    <w:basedOn w:val="Normal"/>
    <w:next w:val="Normal"/>
    <w:link w:val="Heading5Char"/>
    <w:uiPriority w:val="9"/>
    <w:unhideWhenUsed/>
    <w:qFormat/>
    <w:rsid w:val="008D3A01"/>
    <w:pPr>
      <w:keepNext/>
      <w:keepLines/>
      <w:spacing w:before="200" w:line="276" w:lineRule="auto"/>
      <w:ind w:left="1008" w:hanging="1008"/>
      <w:jc w:val="left"/>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5E0A0B"/>
    <w:pPr>
      <w:spacing w:after="0" w:line="276" w:lineRule="auto"/>
      <w:jc w:val="left"/>
      <w:outlineLvl w:val="5"/>
    </w:pPr>
    <w:rPr>
      <w:rFonts w:eastAsiaTheme="minorEastAsia" w:cstheme="minorBidi"/>
      <w:smallCaps/>
      <w:color w:val="C0504D" w:themeColor="accent2"/>
      <w:spacing w:val="5"/>
      <w:szCs w:val="20"/>
      <w:lang w:eastAsia="en-US"/>
    </w:rPr>
  </w:style>
  <w:style w:type="paragraph" w:styleId="Heading7">
    <w:name w:val="heading 7"/>
    <w:basedOn w:val="Normal"/>
    <w:next w:val="Normal"/>
    <w:link w:val="Heading7Char"/>
    <w:uiPriority w:val="9"/>
    <w:semiHidden/>
    <w:unhideWhenUsed/>
    <w:qFormat/>
    <w:rsid w:val="005E0A0B"/>
    <w:pPr>
      <w:spacing w:after="0" w:line="276" w:lineRule="auto"/>
      <w:jc w:val="left"/>
      <w:outlineLvl w:val="6"/>
    </w:pPr>
    <w:rPr>
      <w:rFonts w:eastAsiaTheme="minorEastAsia" w:cstheme="minorBidi"/>
      <w:b/>
      <w:smallCaps/>
      <w:color w:val="C0504D" w:themeColor="accent2"/>
      <w:spacing w:val="10"/>
      <w:szCs w:val="20"/>
      <w:lang w:eastAsia="en-US"/>
    </w:rPr>
  </w:style>
  <w:style w:type="paragraph" w:styleId="Heading8">
    <w:name w:val="heading 8"/>
    <w:basedOn w:val="Normal"/>
    <w:next w:val="Normal"/>
    <w:link w:val="Heading8Char"/>
    <w:uiPriority w:val="9"/>
    <w:semiHidden/>
    <w:unhideWhenUsed/>
    <w:qFormat/>
    <w:rsid w:val="005E0A0B"/>
    <w:pPr>
      <w:spacing w:after="0" w:line="276" w:lineRule="auto"/>
      <w:jc w:val="left"/>
      <w:outlineLvl w:val="7"/>
    </w:pPr>
    <w:rPr>
      <w:rFonts w:eastAsiaTheme="minorEastAsia" w:cstheme="minorBidi"/>
      <w:b/>
      <w:i/>
      <w:smallCaps/>
      <w:color w:val="943634" w:themeColor="accent2" w:themeShade="BF"/>
      <w:szCs w:val="20"/>
      <w:lang w:eastAsia="en-US"/>
    </w:rPr>
  </w:style>
  <w:style w:type="paragraph" w:styleId="Heading9">
    <w:name w:val="heading 9"/>
    <w:basedOn w:val="Normal"/>
    <w:next w:val="Normal"/>
    <w:link w:val="Heading9Char"/>
    <w:uiPriority w:val="9"/>
    <w:semiHidden/>
    <w:unhideWhenUsed/>
    <w:qFormat/>
    <w:rsid w:val="005E0A0B"/>
    <w:pPr>
      <w:spacing w:after="0" w:line="276" w:lineRule="auto"/>
      <w:jc w:val="left"/>
      <w:outlineLvl w:val="8"/>
    </w:pPr>
    <w:rPr>
      <w:rFonts w:eastAsiaTheme="minorEastAsia" w:cstheme="minorBidi"/>
      <w:b/>
      <w:i/>
      <w:smallCaps/>
      <w:color w:val="622423" w:themeColor="accent2" w:themeShade="7F"/>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1">
    <w:name w:val="Style1"/>
    <w:basedOn w:val="Normal"/>
    <w:semiHidden/>
    <w:rsid w:val="001D6A77"/>
    <w:rPr>
      <w:b/>
      <w:caps/>
    </w:rPr>
  </w:style>
  <w:style w:type="paragraph" w:customStyle="1" w:styleId="Style2">
    <w:name w:val="Style2"/>
    <w:basedOn w:val="Normal"/>
    <w:semiHidden/>
    <w:rsid w:val="00C50003"/>
    <w:pPr>
      <w:spacing w:after="120"/>
    </w:pPr>
    <w:rPr>
      <w:b/>
    </w:rPr>
  </w:style>
  <w:style w:type="paragraph" w:customStyle="1" w:styleId="Style3">
    <w:name w:val="Style3"/>
    <w:basedOn w:val="BodyText"/>
    <w:semiHidden/>
    <w:rsid w:val="00C50003"/>
    <w:rPr>
      <w:szCs w:val="20"/>
      <w:lang w:eastAsia="en-US"/>
    </w:rPr>
  </w:style>
  <w:style w:type="paragraph" w:styleId="BodyText">
    <w:name w:val="Body Text"/>
    <w:basedOn w:val="Normal"/>
    <w:link w:val="BodyTextChar"/>
    <w:rsid w:val="00AA33F4"/>
    <w:pPr>
      <w:spacing w:after="120"/>
    </w:pPr>
  </w:style>
  <w:style w:type="paragraph" w:customStyle="1" w:styleId="Style4">
    <w:name w:val="Style4"/>
    <w:basedOn w:val="BodyText"/>
    <w:semiHidden/>
    <w:rsid w:val="00D656CA"/>
    <w:pPr>
      <w:spacing w:after="0"/>
    </w:pPr>
    <w:rPr>
      <w:i/>
      <w:szCs w:val="20"/>
      <w:lang w:eastAsia="en-US"/>
    </w:rPr>
  </w:style>
  <w:style w:type="paragraph" w:styleId="Header">
    <w:name w:val="header"/>
    <w:basedOn w:val="Normal"/>
    <w:link w:val="HeaderChar"/>
    <w:uiPriority w:val="99"/>
    <w:rsid w:val="0024505B"/>
    <w:pPr>
      <w:tabs>
        <w:tab w:val="center" w:pos="4320"/>
        <w:tab w:val="right" w:pos="8640"/>
      </w:tabs>
    </w:pPr>
  </w:style>
  <w:style w:type="paragraph" w:styleId="Footer">
    <w:name w:val="footer"/>
    <w:basedOn w:val="Normal"/>
    <w:link w:val="FooterChar"/>
    <w:uiPriority w:val="99"/>
    <w:rsid w:val="0024505B"/>
    <w:pPr>
      <w:tabs>
        <w:tab w:val="center" w:pos="4320"/>
        <w:tab w:val="right" w:pos="8640"/>
      </w:tabs>
    </w:pPr>
  </w:style>
  <w:style w:type="character" w:styleId="PageNumber">
    <w:name w:val="page number"/>
    <w:basedOn w:val="DefaultParagraphFont"/>
    <w:rsid w:val="0024505B"/>
  </w:style>
  <w:style w:type="paragraph" w:customStyle="1" w:styleId="Default">
    <w:name w:val="Default"/>
    <w:rsid w:val="00F858FE"/>
    <w:pPr>
      <w:autoSpaceDE w:val="0"/>
      <w:autoSpaceDN w:val="0"/>
      <w:adjustRightInd w:val="0"/>
    </w:pPr>
    <w:rPr>
      <w:color w:val="000000"/>
      <w:sz w:val="24"/>
      <w:szCs w:val="24"/>
      <w:lang w:val="en-US" w:eastAsia="en-US"/>
    </w:rPr>
  </w:style>
  <w:style w:type="paragraph" w:styleId="Title">
    <w:name w:val="Title"/>
    <w:basedOn w:val="Default"/>
    <w:next w:val="Default"/>
    <w:link w:val="TitleChar"/>
    <w:uiPriority w:val="10"/>
    <w:qFormat/>
    <w:rsid w:val="00F858FE"/>
    <w:rPr>
      <w:color w:val="auto"/>
    </w:rPr>
  </w:style>
  <w:style w:type="paragraph" w:styleId="Subtitle">
    <w:name w:val="Subtitle"/>
    <w:basedOn w:val="Default"/>
    <w:next w:val="Default"/>
    <w:link w:val="SubtitleChar"/>
    <w:uiPriority w:val="11"/>
    <w:qFormat/>
    <w:rsid w:val="00F858FE"/>
    <w:rPr>
      <w:color w:val="auto"/>
    </w:rPr>
  </w:style>
  <w:style w:type="character" w:styleId="CommentReference">
    <w:name w:val="annotation reference"/>
    <w:basedOn w:val="DefaultParagraphFont"/>
    <w:uiPriority w:val="99"/>
    <w:rsid w:val="005B0BB8"/>
    <w:rPr>
      <w:sz w:val="16"/>
      <w:szCs w:val="16"/>
    </w:rPr>
  </w:style>
  <w:style w:type="paragraph" w:styleId="CommentText">
    <w:name w:val="annotation text"/>
    <w:basedOn w:val="Normal"/>
    <w:link w:val="CommentTextChar"/>
    <w:uiPriority w:val="99"/>
    <w:rsid w:val="005B0BB8"/>
    <w:rPr>
      <w:sz w:val="20"/>
      <w:szCs w:val="20"/>
    </w:rPr>
  </w:style>
  <w:style w:type="paragraph" w:styleId="CommentSubject">
    <w:name w:val="annotation subject"/>
    <w:basedOn w:val="CommentText"/>
    <w:next w:val="CommentText"/>
    <w:link w:val="CommentSubjectChar"/>
    <w:uiPriority w:val="99"/>
    <w:semiHidden/>
    <w:rsid w:val="005B0BB8"/>
    <w:rPr>
      <w:b/>
      <w:bCs/>
    </w:rPr>
  </w:style>
  <w:style w:type="paragraph" w:styleId="BalloonText">
    <w:name w:val="Balloon Text"/>
    <w:basedOn w:val="Normal"/>
    <w:link w:val="BalloonTextChar"/>
    <w:uiPriority w:val="99"/>
    <w:semiHidden/>
    <w:rsid w:val="005B0BB8"/>
    <w:rPr>
      <w:rFonts w:ascii="Tahoma" w:hAnsi="Tahoma" w:cs="Tahoma"/>
      <w:sz w:val="16"/>
      <w:szCs w:val="16"/>
    </w:rPr>
  </w:style>
  <w:style w:type="paragraph" w:styleId="DocumentMap">
    <w:name w:val="Document Map"/>
    <w:basedOn w:val="Normal"/>
    <w:link w:val="DocumentMapChar"/>
    <w:semiHidden/>
    <w:rsid w:val="00F375E5"/>
    <w:pPr>
      <w:shd w:val="clear" w:color="auto" w:fill="000080"/>
    </w:pPr>
    <w:rPr>
      <w:rFonts w:ascii="Tahoma" w:hAnsi="Tahoma" w:cs="Tahoma"/>
      <w:sz w:val="20"/>
      <w:szCs w:val="20"/>
    </w:rPr>
  </w:style>
  <w:style w:type="paragraph" w:customStyle="1" w:styleId="tableandfigureheader">
    <w:name w:val="table and figure header"/>
    <w:basedOn w:val="Title"/>
    <w:link w:val="tableandfigureheaderChar"/>
    <w:semiHidden/>
    <w:rsid w:val="00AA33F4"/>
    <w:pPr>
      <w:autoSpaceDE/>
      <w:autoSpaceDN/>
      <w:adjustRightInd/>
      <w:jc w:val="both"/>
    </w:pPr>
    <w:rPr>
      <w:bCs/>
      <w:sz w:val="20"/>
      <w:szCs w:val="20"/>
      <w:lang w:val="en-AU"/>
    </w:rPr>
  </w:style>
  <w:style w:type="character" w:customStyle="1" w:styleId="tableandfigureheaderChar">
    <w:name w:val="table and figure header Char"/>
    <w:basedOn w:val="DefaultParagraphFont"/>
    <w:link w:val="tableandfigureheader"/>
    <w:rsid w:val="00AA33F4"/>
    <w:rPr>
      <w:bCs/>
      <w:lang w:val="en-AU" w:eastAsia="en-US" w:bidi="ar-SA"/>
    </w:rPr>
  </w:style>
  <w:style w:type="paragraph" w:styleId="BodyText2">
    <w:name w:val="Body Text 2"/>
    <w:basedOn w:val="Normal"/>
    <w:link w:val="BodyText2Char"/>
    <w:uiPriority w:val="99"/>
    <w:qFormat/>
    <w:rsid w:val="00FD4D1A"/>
    <w:pPr>
      <w:spacing w:after="120" w:line="480" w:lineRule="auto"/>
    </w:pPr>
  </w:style>
  <w:style w:type="character" w:styleId="Hyperlink">
    <w:name w:val="Hyperlink"/>
    <w:basedOn w:val="DefaultParagraphFont"/>
    <w:uiPriority w:val="99"/>
    <w:rsid w:val="00FD4D1A"/>
    <w:rPr>
      <w:color w:val="0000FF"/>
      <w:u w:val="single"/>
    </w:rPr>
  </w:style>
  <w:style w:type="paragraph" w:styleId="TOC1">
    <w:name w:val="toc 1"/>
    <w:basedOn w:val="Normal"/>
    <w:next w:val="Normal"/>
    <w:autoRedefine/>
    <w:uiPriority w:val="39"/>
    <w:qFormat/>
    <w:rsid w:val="00494795"/>
    <w:pPr>
      <w:tabs>
        <w:tab w:val="left" w:pos="440"/>
        <w:tab w:val="right" w:leader="dot" w:pos="9563"/>
      </w:tabs>
      <w:spacing w:before="40" w:after="0"/>
      <w:jc w:val="left"/>
    </w:pPr>
    <w:rPr>
      <w:rFonts w:asciiTheme="majorHAnsi" w:hAnsiTheme="majorHAnsi"/>
      <w:b/>
      <w:bCs/>
      <w:caps/>
      <w:sz w:val="24"/>
      <w:szCs w:val="24"/>
    </w:rPr>
  </w:style>
  <w:style w:type="paragraph" w:styleId="TOC2">
    <w:name w:val="toc 2"/>
    <w:basedOn w:val="Normal"/>
    <w:next w:val="Normal"/>
    <w:autoRedefine/>
    <w:uiPriority w:val="39"/>
    <w:qFormat/>
    <w:rsid w:val="00494795"/>
    <w:pPr>
      <w:tabs>
        <w:tab w:val="left" w:pos="660"/>
        <w:tab w:val="right" w:leader="dot" w:pos="9563"/>
      </w:tabs>
      <w:spacing w:before="0" w:after="0"/>
      <w:jc w:val="left"/>
    </w:pPr>
    <w:rPr>
      <w:b/>
      <w:bCs/>
      <w:sz w:val="20"/>
      <w:szCs w:val="20"/>
    </w:rPr>
  </w:style>
  <w:style w:type="paragraph" w:styleId="TOC3">
    <w:name w:val="toc 3"/>
    <w:basedOn w:val="Normal"/>
    <w:next w:val="Normal"/>
    <w:autoRedefine/>
    <w:uiPriority w:val="39"/>
    <w:qFormat/>
    <w:rsid w:val="001758C6"/>
    <w:pPr>
      <w:spacing w:before="0" w:after="0"/>
      <w:ind w:left="220"/>
      <w:jc w:val="left"/>
    </w:pPr>
    <w:rPr>
      <w:sz w:val="20"/>
      <w:szCs w:val="20"/>
    </w:rPr>
  </w:style>
  <w:style w:type="paragraph" w:styleId="HTMLPreformatted">
    <w:name w:val="HTML Preformatted"/>
    <w:basedOn w:val="Normal"/>
    <w:link w:val="HTMLPreformattedChar"/>
    <w:uiPriority w:val="99"/>
    <w:rsid w:val="005E35E6"/>
    <w:rPr>
      <w:rFonts w:ascii="Courier New" w:hAnsi="Courier New" w:cs="Courier New"/>
      <w:sz w:val="20"/>
      <w:szCs w:val="20"/>
    </w:rPr>
  </w:style>
  <w:style w:type="character" w:customStyle="1" w:styleId="SubtitleChar">
    <w:name w:val="Subtitle Char"/>
    <w:basedOn w:val="DefaultParagraphFont"/>
    <w:link w:val="Subtitle"/>
    <w:uiPriority w:val="11"/>
    <w:rsid w:val="00CA7E84"/>
    <w:rPr>
      <w:sz w:val="24"/>
      <w:szCs w:val="24"/>
      <w:lang w:val="en-US" w:eastAsia="en-US" w:bidi="ar-SA"/>
    </w:rPr>
  </w:style>
  <w:style w:type="paragraph" w:styleId="TOC4">
    <w:name w:val="toc 4"/>
    <w:basedOn w:val="Normal"/>
    <w:next w:val="Normal"/>
    <w:autoRedefine/>
    <w:uiPriority w:val="39"/>
    <w:rsid w:val="00BD14A0"/>
    <w:pPr>
      <w:spacing w:before="0" w:after="0"/>
      <w:ind w:left="440"/>
      <w:jc w:val="left"/>
    </w:pPr>
    <w:rPr>
      <w:sz w:val="20"/>
      <w:szCs w:val="20"/>
    </w:rPr>
  </w:style>
  <w:style w:type="paragraph" w:customStyle="1" w:styleId="Titleheading">
    <w:name w:val="Title heading"/>
    <w:basedOn w:val="Normal"/>
    <w:rsid w:val="00A22ACE"/>
    <w:rPr>
      <w:rFonts w:ascii="Arial" w:hAnsi="Arial"/>
      <w:b/>
      <w:color w:val="47CCFF"/>
      <w:sz w:val="48"/>
      <w:szCs w:val="48"/>
      <w:lang w:eastAsia="en-US"/>
    </w:rPr>
  </w:style>
  <w:style w:type="paragraph" w:customStyle="1" w:styleId="Body">
    <w:name w:val="Body"/>
    <w:basedOn w:val="Normal"/>
    <w:rsid w:val="00D07946"/>
    <w:pPr>
      <w:spacing w:line="260" w:lineRule="exact"/>
    </w:pPr>
    <w:rPr>
      <w:rFonts w:ascii="Arial" w:hAnsi="Arial"/>
      <w:color w:val="000000"/>
      <w:lang w:eastAsia="en-US"/>
    </w:rPr>
  </w:style>
  <w:style w:type="character" w:customStyle="1" w:styleId="TitleChar">
    <w:name w:val="Title Char"/>
    <w:basedOn w:val="DefaultParagraphFont"/>
    <w:link w:val="Title"/>
    <w:uiPriority w:val="10"/>
    <w:rsid w:val="00223AF9"/>
    <w:rPr>
      <w:sz w:val="24"/>
      <w:szCs w:val="24"/>
      <w:lang w:val="en-US" w:eastAsia="en-US"/>
    </w:rPr>
  </w:style>
  <w:style w:type="paragraph" w:styleId="ListParagraph">
    <w:name w:val="List Paragraph"/>
    <w:basedOn w:val="Normal"/>
    <w:uiPriority w:val="34"/>
    <w:qFormat/>
    <w:rsid w:val="006424EB"/>
    <w:pPr>
      <w:ind w:left="720"/>
      <w:contextualSpacing/>
    </w:pPr>
  </w:style>
  <w:style w:type="character" w:customStyle="1" w:styleId="HeaderChar">
    <w:name w:val="Header Char"/>
    <w:link w:val="Header"/>
    <w:uiPriority w:val="99"/>
    <w:rsid w:val="0050554D"/>
    <w:rPr>
      <w:rFonts w:asciiTheme="minorHAnsi" w:hAnsiTheme="minorHAnsi" w:cstheme="minorHAnsi"/>
      <w:sz w:val="22"/>
      <w:szCs w:val="22"/>
    </w:rPr>
  </w:style>
  <w:style w:type="character" w:customStyle="1" w:styleId="Bold-character">
    <w:name w:val="Bold - character"/>
    <w:rsid w:val="0050554D"/>
    <w:rPr>
      <w:b/>
    </w:rPr>
  </w:style>
  <w:style w:type="numbering" w:customStyle="1" w:styleId="Body-bullets">
    <w:name w:val="Body - bullets"/>
    <w:rsid w:val="005E30FE"/>
    <w:pPr>
      <w:numPr>
        <w:numId w:val="1"/>
      </w:numPr>
    </w:pPr>
  </w:style>
  <w:style w:type="paragraph" w:styleId="FootnoteText">
    <w:name w:val="footnote text"/>
    <w:basedOn w:val="Normal"/>
    <w:link w:val="FootnoteTextChar"/>
    <w:uiPriority w:val="99"/>
    <w:rsid w:val="005E30FE"/>
    <w:pPr>
      <w:spacing w:line="260" w:lineRule="exact"/>
      <w:jc w:val="left"/>
    </w:pPr>
    <w:rPr>
      <w:rFonts w:ascii="Arial" w:hAnsi="Arial" w:cs="Times New Roman"/>
      <w:sz w:val="18"/>
      <w:szCs w:val="20"/>
      <w:lang w:eastAsia="en-US"/>
    </w:rPr>
  </w:style>
  <w:style w:type="character" w:customStyle="1" w:styleId="FootnoteTextChar">
    <w:name w:val="Footnote Text Char"/>
    <w:basedOn w:val="DefaultParagraphFont"/>
    <w:link w:val="FootnoteText"/>
    <w:uiPriority w:val="99"/>
    <w:rsid w:val="005E30FE"/>
    <w:rPr>
      <w:rFonts w:ascii="Arial" w:hAnsi="Arial"/>
      <w:sz w:val="18"/>
      <w:lang w:eastAsia="en-US"/>
    </w:rPr>
  </w:style>
  <w:style w:type="character" w:styleId="FootnoteReference">
    <w:name w:val="footnote reference"/>
    <w:aliases w:val="Footnote symbol"/>
    <w:uiPriority w:val="99"/>
    <w:rsid w:val="005E30FE"/>
    <w:rPr>
      <w:vertAlign w:val="superscript"/>
    </w:rPr>
  </w:style>
  <w:style w:type="paragraph" w:styleId="Date">
    <w:name w:val="Date"/>
    <w:basedOn w:val="Normal"/>
    <w:next w:val="Normal"/>
    <w:link w:val="DateChar"/>
    <w:rsid w:val="005E30FE"/>
    <w:pPr>
      <w:jc w:val="left"/>
    </w:pPr>
    <w:rPr>
      <w:rFonts w:ascii="Arial" w:hAnsi="Arial" w:cs="Times New Roman"/>
      <w:szCs w:val="20"/>
      <w:lang w:val="en-US" w:eastAsia="en-US"/>
    </w:rPr>
  </w:style>
  <w:style w:type="character" w:customStyle="1" w:styleId="DateChar">
    <w:name w:val="Date Char"/>
    <w:basedOn w:val="DefaultParagraphFont"/>
    <w:link w:val="Date"/>
    <w:rsid w:val="005E30FE"/>
    <w:rPr>
      <w:rFonts w:ascii="Arial" w:hAnsi="Arial"/>
      <w:sz w:val="22"/>
      <w:lang w:val="en-US" w:eastAsia="en-US"/>
    </w:rPr>
  </w:style>
  <w:style w:type="character" w:customStyle="1" w:styleId="BodyText2Char">
    <w:name w:val="Body Text 2 Char"/>
    <w:link w:val="BodyText2"/>
    <w:uiPriority w:val="99"/>
    <w:rsid w:val="005E30FE"/>
    <w:rPr>
      <w:rFonts w:asciiTheme="minorHAnsi" w:hAnsiTheme="minorHAnsi" w:cstheme="minorHAnsi"/>
      <w:sz w:val="22"/>
      <w:szCs w:val="22"/>
    </w:rPr>
  </w:style>
  <w:style w:type="character" w:customStyle="1" w:styleId="Heading1Char">
    <w:name w:val="Heading 1 Char"/>
    <w:link w:val="Heading1"/>
    <w:rsid w:val="00C12BFC"/>
    <w:rPr>
      <w:rFonts w:asciiTheme="minorHAnsi" w:hAnsiTheme="minorHAnsi" w:cstheme="minorHAnsi"/>
      <w:b/>
      <w:bCs/>
      <w:caps/>
      <w:kern w:val="32"/>
      <w:sz w:val="32"/>
      <w:szCs w:val="32"/>
    </w:rPr>
  </w:style>
  <w:style w:type="paragraph" w:customStyle="1" w:styleId="Caption-standard">
    <w:name w:val="Caption - standard"/>
    <w:basedOn w:val="Body"/>
    <w:rsid w:val="005E30FE"/>
    <w:pPr>
      <w:jc w:val="left"/>
    </w:pPr>
    <w:rPr>
      <w:rFonts w:cs="Times New Roman"/>
      <w:sz w:val="20"/>
      <w:szCs w:val="20"/>
    </w:rPr>
  </w:style>
  <w:style w:type="paragraph" w:customStyle="1" w:styleId="Body-numbered">
    <w:name w:val="Body - numbered"/>
    <w:basedOn w:val="Body"/>
    <w:rsid w:val="005E30FE"/>
    <w:pPr>
      <w:numPr>
        <w:numId w:val="2"/>
      </w:numPr>
      <w:jc w:val="left"/>
    </w:pPr>
    <w:rPr>
      <w:rFonts w:cs="Times New Roman"/>
    </w:rPr>
  </w:style>
  <w:style w:type="character" w:customStyle="1" w:styleId="Italics-character">
    <w:name w:val="Italics - character"/>
    <w:rsid w:val="005E30FE"/>
    <w:rPr>
      <w:i/>
    </w:rPr>
  </w:style>
  <w:style w:type="character" w:customStyle="1" w:styleId="Superscript-character">
    <w:name w:val="Superscript - character"/>
    <w:rsid w:val="005E30FE"/>
    <w:rPr>
      <w:dstrike w:val="0"/>
      <w:vertAlign w:val="superscript"/>
    </w:rPr>
  </w:style>
  <w:style w:type="paragraph" w:customStyle="1" w:styleId="Titlesub-heading">
    <w:name w:val="Title sub-heading"/>
    <w:basedOn w:val="Normal"/>
    <w:rsid w:val="005E30FE"/>
    <w:pPr>
      <w:jc w:val="left"/>
    </w:pPr>
    <w:rPr>
      <w:rFonts w:ascii="Arial" w:hAnsi="Arial" w:cs="Times New Roman"/>
      <w:color w:val="636267"/>
      <w:sz w:val="48"/>
      <w:szCs w:val="48"/>
      <w:lang w:eastAsia="en-US"/>
    </w:rPr>
  </w:style>
  <w:style w:type="paragraph" w:styleId="Caption">
    <w:name w:val="caption"/>
    <w:aliases w:val="Tables,Caption Char Char,Caption Char1,Caption Char4 Char1,Caption Char1 Char5 Char,Caption Char4 Char Char2 Char,Caption Char1 Char2 Char Char4 Char,Caption Char4 Char Char Char1 Char2 Char,Caption Char1 Char Char Char1 Char Char3 Char"/>
    <w:basedOn w:val="Normal"/>
    <w:next w:val="Normal"/>
    <w:link w:val="CaptionChar"/>
    <w:uiPriority w:val="35"/>
    <w:qFormat/>
    <w:rsid w:val="0083263F"/>
    <w:pPr>
      <w:tabs>
        <w:tab w:val="left" w:pos="1134"/>
      </w:tabs>
      <w:spacing w:after="120"/>
      <w:ind w:left="1134" w:hanging="1134"/>
      <w:jc w:val="left"/>
    </w:pPr>
    <w:rPr>
      <w:rFonts w:ascii="Calibri" w:hAnsi="Calibri" w:cs="Times New Roman"/>
      <w:color w:val="17365D" w:themeColor="text2" w:themeShade="BF"/>
      <w:szCs w:val="20"/>
      <w:lang w:val="en-GB" w:eastAsia="en-US"/>
    </w:rPr>
  </w:style>
  <w:style w:type="paragraph" w:customStyle="1" w:styleId="Heading10">
    <w:name w:val="Heading1"/>
    <w:basedOn w:val="Normal"/>
    <w:rsid w:val="005E30FE"/>
    <w:rPr>
      <w:rFonts w:ascii="Arial" w:hAnsi="Arial" w:cs="Times New Roman"/>
      <w:b/>
      <w:bCs/>
      <w:szCs w:val="20"/>
    </w:rPr>
  </w:style>
  <w:style w:type="character" w:customStyle="1" w:styleId="Heading20">
    <w:name w:val="Heading2"/>
    <w:qFormat/>
    <w:rsid w:val="00E11FA7"/>
    <w:rPr>
      <w:rFonts w:ascii="Calibri" w:hAnsi="Calibri"/>
      <w:b/>
      <w:bCs/>
      <w:i w:val="0"/>
      <w:iCs/>
      <w:sz w:val="24"/>
    </w:rPr>
  </w:style>
  <w:style w:type="table" w:styleId="TableGrid">
    <w:name w:val="Table Grid"/>
    <w:basedOn w:val="TableNormal"/>
    <w:uiPriority w:val="59"/>
    <w:rsid w:val="005E30F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3">
    <w:name w:val="Body Text 3"/>
    <w:basedOn w:val="Normal"/>
    <w:link w:val="BodyText3Char"/>
    <w:rsid w:val="005E30FE"/>
    <w:pPr>
      <w:spacing w:after="120"/>
      <w:jc w:val="left"/>
    </w:pPr>
    <w:rPr>
      <w:rFonts w:ascii="Arial" w:hAnsi="Arial" w:cs="Times New Roman"/>
      <w:sz w:val="16"/>
      <w:szCs w:val="16"/>
      <w:lang w:eastAsia="en-US"/>
    </w:rPr>
  </w:style>
  <w:style w:type="character" w:customStyle="1" w:styleId="BodyText3Char">
    <w:name w:val="Body Text 3 Char"/>
    <w:basedOn w:val="DefaultParagraphFont"/>
    <w:link w:val="BodyText3"/>
    <w:rsid w:val="005E30FE"/>
    <w:rPr>
      <w:rFonts w:ascii="Arial" w:hAnsi="Arial"/>
      <w:sz w:val="16"/>
      <w:szCs w:val="16"/>
      <w:lang w:eastAsia="en-US"/>
    </w:rPr>
  </w:style>
  <w:style w:type="paragraph" w:styleId="BlockText">
    <w:name w:val="Block Text"/>
    <w:basedOn w:val="Normal"/>
    <w:rsid w:val="005E30FE"/>
    <w:pPr>
      <w:spacing w:after="120"/>
    </w:pPr>
    <w:rPr>
      <w:rFonts w:ascii="Times New Roman" w:hAnsi="Times New Roman" w:cs="Times New Roman"/>
      <w:szCs w:val="20"/>
      <w:lang w:eastAsia="en-US"/>
    </w:rPr>
  </w:style>
  <w:style w:type="paragraph" w:customStyle="1" w:styleId="Heading30">
    <w:name w:val="Heading3"/>
    <w:basedOn w:val="Normal"/>
    <w:rsid w:val="00B837D4"/>
    <w:rPr>
      <w:rFonts w:ascii="Calibri" w:hAnsi="Calibri" w:cs="Times New Roman"/>
      <w:b/>
      <w:bCs/>
      <w:szCs w:val="20"/>
    </w:rPr>
  </w:style>
  <w:style w:type="paragraph" w:styleId="NormalWeb">
    <w:name w:val="Normal (Web)"/>
    <w:basedOn w:val="Normal"/>
    <w:uiPriority w:val="99"/>
    <w:rsid w:val="008D3A01"/>
    <w:pPr>
      <w:spacing w:before="100" w:beforeAutospacing="1" w:after="120" w:line="360" w:lineRule="auto"/>
    </w:pPr>
    <w:rPr>
      <w:rFonts w:ascii="Calibri" w:hAnsi="Calibri" w:cs="Times New Roman"/>
      <w:color w:val="333333"/>
      <w:szCs w:val="24"/>
    </w:rPr>
  </w:style>
  <w:style w:type="character" w:customStyle="1" w:styleId="style10">
    <w:name w:val="style10"/>
    <w:basedOn w:val="DefaultParagraphFont"/>
    <w:rsid w:val="005E30FE"/>
  </w:style>
  <w:style w:type="character" w:styleId="Emphasis">
    <w:name w:val="Emphasis"/>
    <w:uiPriority w:val="20"/>
    <w:qFormat/>
    <w:rsid w:val="005E30FE"/>
    <w:rPr>
      <w:i/>
      <w:iCs/>
    </w:rPr>
  </w:style>
  <w:style w:type="character" w:customStyle="1" w:styleId="normaltextbold1">
    <w:name w:val="normaltextbold1"/>
    <w:rsid w:val="005E30FE"/>
    <w:rPr>
      <w:rFonts w:ascii="Verdana" w:hAnsi="Verdana" w:hint="default"/>
      <w:b/>
      <w:bCs/>
      <w:color w:val="000000"/>
      <w:sz w:val="19"/>
      <w:szCs w:val="19"/>
      <w:shd w:val="clear" w:color="auto" w:fill="auto"/>
    </w:rPr>
  </w:style>
  <w:style w:type="character" w:customStyle="1" w:styleId="Heading2Char">
    <w:name w:val="Heading 2 Char"/>
    <w:aliases w:val="2nd Level Heading Char"/>
    <w:link w:val="Heading2"/>
    <w:rsid w:val="007557A2"/>
    <w:rPr>
      <w:rFonts w:asciiTheme="minorHAnsi" w:hAnsiTheme="minorHAnsi" w:cstheme="minorHAnsi"/>
      <w:b/>
      <w:sz w:val="24"/>
      <w:szCs w:val="22"/>
    </w:rPr>
  </w:style>
  <w:style w:type="character" w:customStyle="1" w:styleId="Heading3Char">
    <w:name w:val="Heading 3 Char"/>
    <w:aliases w:val="3rd Level Heading Char"/>
    <w:link w:val="Heading3"/>
    <w:rsid w:val="0015270F"/>
    <w:rPr>
      <w:rFonts w:asciiTheme="minorHAnsi" w:hAnsiTheme="minorHAnsi" w:cstheme="minorHAnsi"/>
      <w:b/>
      <w:sz w:val="22"/>
      <w:szCs w:val="22"/>
    </w:rPr>
  </w:style>
  <w:style w:type="character" w:customStyle="1" w:styleId="Heading4Char">
    <w:name w:val="Heading 4 Char"/>
    <w:aliases w:val="4th Level Heading Char"/>
    <w:link w:val="Heading4"/>
    <w:uiPriority w:val="9"/>
    <w:rsid w:val="005E30FE"/>
    <w:rPr>
      <w:rFonts w:asciiTheme="minorHAnsi" w:hAnsiTheme="minorHAnsi" w:cstheme="minorHAnsi"/>
      <w:b/>
      <w:i/>
      <w:sz w:val="22"/>
      <w:szCs w:val="22"/>
    </w:rPr>
  </w:style>
  <w:style w:type="character" w:customStyle="1" w:styleId="CommentTextChar">
    <w:name w:val="Comment Text Char"/>
    <w:basedOn w:val="DefaultParagraphFont"/>
    <w:link w:val="CommentText"/>
    <w:uiPriority w:val="99"/>
    <w:rsid w:val="000438ED"/>
    <w:rPr>
      <w:rFonts w:asciiTheme="minorHAnsi" w:hAnsiTheme="minorHAnsi" w:cstheme="minorHAnsi"/>
    </w:rPr>
  </w:style>
  <w:style w:type="character" w:customStyle="1" w:styleId="FooterChar">
    <w:name w:val="Footer Char"/>
    <w:basedOn w:val="DefaultParagraphFont"/>
    <w:link w:val="Footer"/>
    <w:uiPriority w:val="99"/>
    <w:rsid w:val="008D3A01"/>
    <w:rPr>
      <w:rFonts w:asciiTheme="minorHAnsi" w:hAnsiTheme="minorHAnsi" w:cstheme="minorHAnsi"/>
      <w:sz w:val="22"/>
      <w:szCs w:val="22"/>
    </w:rPr>
  </w:style>
  <w:style w:type="table" w:styleId="TableClassic1">
    <w:name w:val="Table Classic 1"/>
    <w:basedOn w:val="TableNormal"/>
    <w:rsid w:val="008D3A01"/>
    <w:pPr>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CaptionChar">
    <w:name w:val="Caption Char"/>
    <w:aliases w:val="Tables Char,Caption Char Char Char,Caption Char1 Char,Caption Char4 Char1 Char,Caption Char1 Char5 Char Char,Caption Char4 Char Char2 Char Char,Caption Char1 Char2 Char Char4 Char Char,Caption Char4 Char Char Char1 Char2 Char Char"/>
    <w:link w:val="Caption"/>
    <w:uiPriority w:val="35"/>
    <w:locked/>
    <w:rsid w:val="0083263F"/>
    <w:rPr>
      <w:rFonts w:ascii="Calibri" w:hAnsi="Calibri"/>
      <w:color w:val="17365D" w:themeColor="text2" w:themeShade="BF"/>
      <w:sz w:val="22"/>
      <w:lang w:val="en-GB" w:eastAsia="en-US"/>
    </w:rPr>
  </w:style>
  <w:style w:type="paragraph" w:styleId="NoSpacing">
    <w:name w:val="No Spacing"/>
    <w:link w:val="NoSpacingChar"/>
    <w:uiPriority w:val="1"/>
    <w:qFormat/>
    <w:rsid w:val="008D3A01"/>
    <w:rPr>
      <w:rFonts w:asciiTheme="minorHAnsi" w:eastAsiaTheme="minorHAnsi" w:hAnsiTheme="minorHAnsi" w:cstheme="minorBidi"/>
      <w:sz w:val="22"/>
      <w:szCs w:val="22"/>
      <w:lang w:eastAsia="en-US"/>
    </w:rPr>
  </w:style>
  <w:style w:type="character" w:customStyle="1" w:styleId="Heading5Char">
    <w:name w:val="Heading 5 Char"/>
    <w:basedOn w:val="DefaultParagraphFont"/>
    <w:link w:val="Heading5"/>
    <w:uiPriority w:val="9"/>
    <w:rsid w:val="008D3A01"/>
    <w:rPr>
      <w:rFonts w:asciiTheme="majorHAnsi" w:eastAsiaTheme="majorEastAsia" w:hAnsiTheme="majorHAnsi" w:cstheme="majorBidi"/>
      <w:color w:val="243F60" w:themeColor="accent1" w:themeShade="7F"/>
      <w:sz w:val="22"/>
      <w:szCs w:val="22"/>
    </w:rPr>
  </w:style>
  <w:style w:type="character" w:customStyle="1" w:styleId="BalloonTextChar">
    <w:name w:val="Balloon Text Char"/>
    <w:basedOn w:val="DefaultParagraphFont"/>
    <w:link w:val="BalloonText"/>
    <w:uiPriority w:val="99"/>
    <w:semiHidden/>
    <w:rsid w:val="008D3A01"/>
    <w:rPr>
      <w:rFonts w:ascii="Tahoma" w:hAnsi="Tahoma" w:cs="Tahoma"/>
      <w:sz w:val="16"/>
      <w:szCs w:val="16"/>
    </w:rPr>
  </w:style>
  <w:style w:type="character" w:customStyle="1" w:styleId="maincenter">
    <w:name w:val="main_center"/>
    <w:basedOn w:val="DefaultParagraphFont"/>
    <w:rsid w:val="008D3A01"/>
  </w:style>
  <w:style w:type="paragraph" w:styleId="PlainText">
    <w:name w:val="Plain Text"/>
    <w:basedOn w:val="Normal"/>
    <w:link w:val="PlainTextChar"/>
    <w:uiPriority w:val="99"/>
    <w:rsid w:val="008D3A01"/>
    <w:pPr>
      <w:jc w:val="left"/>
    </w:pPr>
    <w:rPr>
      <w:rFonts w:ascii="Courier New" w:hAnsi="Courier New" w:cs="Courier New"/>
      <w:sz w:val="20"/>
      <w:szCs w:val="20"/>
      <w:lang w:val="en-US" w:eastAsia="en-US"/>
    </w:rPr>
  </w:style>
  <w:style w:type="character" w:customStyle="1" w:styleId="PlainTextChar">
    <w:name w:val="Plain Text Char"/>
    <w:basedOn w:val="DefaultParagraphFont"/>
    <w:link w:val="PlainText"/>
    <w:uiPriority w:val="99"/>
    <w:rsid w:val="008D3A01"/>
    <w:rPr>
      <w:rFonts w:ascii="Courier New" w:hAnsi="Courier New" w:cs="Courier New"/>
      <w:lang w:val="en-US" w:eastAsia="en-US"/>
    </w:rPr>
  </w:style>
  <w:style w:type="character" w:customStyle="1" w:styleId="CommentSubjectChar">
    <w:name w:val="Comment Subject Char"/>
    <w:basedOn w:val="CommentTextChar"/>
    <w:link w:val="CommentSubject"/>
    <w:uiPriority w:val="99"/>
    <w:semiHidden/>
    <w:rsid w:val="008D3A01"/>
    <w:rPr>
      <w:rFonts w:asciiTheme="minorHAnsi" w:hAnsiTheme="minorHAnsi" w:cstheme="minorHAnsi"/>
      <w:b/>
      <w:bCs/>
    </w:rPr>
  </w:style>
  <w:style w:type="paragraph" w:styleId="BodyTextIndent">
    <w:name w:val="Body Text Indent"/>
    <w:basedOn w:val="Normal"/>
    <w:link w:val="BodyTextIndentChar"/>
    <w:uiPriority w:val="99"/>
    <w:unhideWhenUsed/>
    <w:rsid w:val="008D3A01"/>
    <w:pPr>
      <w:spacing w:after="120"/>
      <w:ind w:left="567" w:hanging="567"/>
      <w:jc w:val="left"/>
    </w:pPr>
    <w:rPr>
      <w:rFonts w:ascii="Times New Roman" w:eastAsiaTheme="minorEastAsia" w:hAnsi="Times New Roman" w:cs="Times New Roman"/>
      <w:sz w:val="20"/>
      <w:szCs w:val="20"/>
      <w:lang w:eastAsia="ja-JP"/>
    </w:rPr>
  </w:style>
  <w:style w:type="character" w:customStyle="1" w:styleId="BodyTextIndentChar">
    <w:name w:val="Body Text Indent Char"/>
    <w:basedOn w:val="DefaultParagraphFont"/>
    <w:link w:val="BodyTextIndent"/>
    <w:uiPriority w:val="99"/>
    <w:rsid w:val="008D3A01"/>
    <w:rPr>
      <w:rFonts w:eastAsiaTheme="minorEastAsia"/>
      <w:lang w:eastAsia="ja-JP"/>
    </w:rPr>
  </w:style>
  <w:style w:type="paragraph" w:styleId="TOCHeading">
    <w:name w:val="TOC Heading"/>
    <w:basedOn w:val="Heading1"/>
    <w:next w:val="Normal"/>
    <w:uiPriority w:val="39"/>
    <w:unhideWhenUsed/>
    <w:qFormat/>
    <w:rsid w:val="005E0A0B"/>
    <w:pPr>
      <w:keepLines/>
      <w:spacing w:before="480" w:after="0"/>
      <w:outlineLvl w:val="9"/>
    </w:pPr>
    <w:rPr>
      <w:rFonts w:asciiTheme="majorHAnsi" w:eastAsiaTheme="majorEastAsia" w:hAnsiTheme="majorHAnsi" w:cstheme="majorBidi"/>
      <w:caps w:val="0"/>
      <w:color w:val="365F91" w:themeColor="accent1" w:themeShade="BF"/>
      <w:kern w:val="0"/>
      <w:sz w:val="28"/>
      <w:szCs w:val="28"/>
    </w:rPr>
  </w:style>
  <w:style w:type="character" w:customStyle="1" w:styleId="Heading6Char">
    <w:name w:val="Heading 6 Char"/>
    <w:basedOn w:val="DefaultParagraphFont"/>
    <w:link w:val="Heading6"/>
    <w:uiPriority w:val="9"/>
    <w:rsid w:val="005E0A0B"/>
    <w:rPr>
      <w:rFonts w:asciiTheme="minorHAnsi" w:eastAsiaTheme="minorEastAsia" w:hAnsiTheme="minorHAnsi" w:cstheme="minorBidi"/>
      <w:smallCaps/>
      <w:color w:val="C0504D" w:themeColor="accent2"/>
      <w:spacing w:val="5"/>
      <w:sz w:val="22"/>
      <w:lang w:eastAsia="en-US"/>
    </w:rPr>
  </w:style>
  <w:style w:type="character" w:customStyle="1" w:styleId="Heading7Char">
    <w:name w:val="Heading 7 Char"/>
    <w:basedOn w:val="DefaultParagraphFont"/>
    <w:link w:val="Heading7"/>
    <w:uiPriority w:val="9"/>
    <w:semiHidden/>
    <w:rsid w:val="005E0A0B"/>
    <w:rPr>
      <w:rFonts w:asciiTheme="minorHAnsi" w:eastAsiaTheme="minorEastAsia" w:hAnsiTheme="minorHAnsi" w:cstheme="minorBidi"/>
      <w:b/>
      <w:smallCaps/>
      <w:color w:val="C0504D" w:themeColor="accent2"/>
      <w:spacing w:val="10"/>
      <w:sz w:val="22"/>
      <w:lang w:eastAsia="en-US"/>
    </w:rPr>
  </w:style>
  <w:style w:type="character" w:customStyle="1" w:styleId="Heading8Char">
    <w:name w:val="Heading 8 Char"/>
    <w:basedOn w:val="DefaultParagraphFont"/>
    <w:link w:val="Heading8"/>
    <w:uiPriority w:val="9"/>
    <w:semiHidden/>
    <w:rsid w:val="005E0A0B"/>
    <w:rPr>
      <w:rFonts w:asciiTheme="minorHAnsi" w:eastAsiaTheme="minorEastAsia" w:hAnsiTheme="minorHAnsi" w:cstheme="minorBidi"/>
      <w:b/>
      <w:i/>
      <w:smallCaps/>
      <w:color w:val="943634" w:themeColor="accent2" w:themeShade="BF"/>
      <w:sz w:val="22"/>
      <w:lang w:eastAsia="en-US"/>
    </w:rPr>
  </w:style>
  <w:style w:type="character" w:customStyle="1" w:styleId="Heading9Char">
    <w:name w:val="Heading 9 Char"/>
    <w:basedOn w:val="DefaultParagraphFont"/>
    <w:link w:val="Heading9"/>
    <w:uiPriority w:val="9"/>
    <w:semiHidden/>
    <w:rsid w:val="005E0A0B"/>
    <w:rPr>
      <w:rFonts w:asciiTheme="minorHAnsi" w:eastAsiaTheme="minorEastAsia" w:hAnsiTheme="minorHAnsi" w:cstheme="minorBidi"/>
      <w:b/>
      <w:i/>
      <w:smallCaps/>
      <w:color w:val="622423" w:themeColor="accent2" w:themeShade="7F"/>
      <w:sz w:val="22"/>
      <w:lang w:eastAsia="en-US"/>
    </w:rPr>
  </w:style>
  <w:style w:type="character" w:styleId="Strong">
    <w:name w:val="Strong"/>
    <w:uiPriority w:val="22"/>
    <w:qFormat/>
    <w:rsid w:val="005E0A0B"/>
    <w:rPr>
      <w:b/>
      <w:color w:val="C0504D" w:themeColor="accent2"/>
    </w:rPr>
  </w:style>
  <w:style w:type="character" w:customStyle="1" w:styleId="NoSpacingChar">
    <w:name w:val="No Spacing Char"/>
    <w:basedOn w:val="DefaultParagraphFont"/>
    <w:link w:val="NoSpacing"/>
    <w:uiPriority w:val="1"/>
    <w:rsid w:val="005E0A0B"/>
    <w:rPr>
      <w:rFonts w:asciiTheme="minorHAnsi" w:eastAsiaTheme="minorHAnsi" w:hAnsiTheme="minorHAnsi" w:cstheme="minorBidi"/>
      <w:sz w:val="22"/>
      <w:szCs w:val="22"/>
      <w:lang w:eastAsia="en-US"/>
    </w:rPr>
  </w:style>
  <w:style w:type="paragraph" w:styleId="Quote">
    <w:name w:val="Quote"/>
    <w:basedOn w:val="Normal"/>
    <w:next w:val="Normal"/>
    <w:link w:val="QuoteChar"/>
    <w:uiPriority w:val="29"/>
    <w:qFormat/>
    <w:rsid w:val="005E0A0B"/>
    <w:pPr>
      <w:spacing w:after="320" w:line="276" w:lineRule="auto"/>
    </w:pPr>
    <w:rPr>
      <w:rFonts w:eastAsiaTheme="minorEastAsia" w:cstheme="minorBidi"/>
      <w:i/>
      <w:szCs w:val="20"/>
      <w:lang w:eastAsia="en-US"/>
    </w:rPr>
  </w:style>
  <w:style w:type="character" w:customStyle="1" w:styleId="QuoteChar">
    <w:name w:val="Quote Char"/>
    <w:basedOn w:val="DefaultParagraphFont"/>
    <w:link w:val="Quote"/>
    <w:uiPriority w:val="29"/>
    <w:rsid w:val="005E0A0B"/>
    <w:rPr>
      <w:rFonts w:asciiTheme="minorHAnsi" w:eastAsiaTheme="minorEastAsia" w:hAnsiTheme="minorHAnsi" w:cstheme="minorBidi"/>
      <w:i/>
      <w:sz w:val="22"/>
      <w:lang w:eastAsia="en-US"/>
    </w:rPr>
  </w:style>
  <w:style w:type="paragraph" w:styleId="IntenseQuote">
    <w:name w:val="Intense Quote"/>
    <w:basedOn w:val="Normal"/>
    <w:next w:val="Normal"/>
    <w:link w:val="IntenseQuoteChar"/>
    <w:uiPriority w:val="30"/>
    <w:qFormat/>
    <w:rsid w:val="005E0A0B"/>
    <w:pPr>
      <w:pBdr>
        <w:top w:val="single" w:sz="8" w:space="10" w:color="943634" w:themeColor="accent2" w:themeShade="BF"/>
        <w:left w:val="single" w:sz="8" w:space="10" w:color="943634" w:themeColor="accent2" w:themeShade="BF"/>
        <w:bottom w:val="single" w:sz="8" w:space="10" w:color="943634" w:themeColor="accent2" w:themeShade="BF"/>
        <w:right w:val="single" w:sz="8" w:space="10" w:color="943634" w:themeColor="accent2" w:themeShade="BF"/>
      </w:pBdr>
      <w:shd w:val="clear" w:color="auto" w:fill="C0504D" w:themeFill="accent2"/>
      <w:spacing w:before="140" w:after="140" w:line="276" w:lineRule="auto"/>
      <w:ind w:left="1440" w:right="1440"/>
    </w:pPr>
    <w:rPr>
      <w:rFonts w:eastAsiaTheme="minorEastAsia" w:cstheme="minorBidi"/>
      <w:b/>
      <w:i/>
      <w:color w:val="FFFFFF" w:themeColor="background1"/>
      <w:szCs w:val="20"/>
      <w:lang w:eastAsia="en-US"/>
    </w:rPr>
  </w:style>
  <w:style w:type="character" w:customStyle="1" w:styleId="IntenseQuoteChar">
    <w:name w:val="Intense Quote Char"/>
    <w:basedOn w:val="DefaultParagraphFont"/>
    <w:link w:val="IntenseQuote"/>
    <w:uiPriority w:val="30"/>
    <w:rsid w:val="005E0A0B"/>
    <w:rPr>
      <w:rFonts w:asciiTheme="minorHAnsi" w:eastAsiaTheme="minorEastAsia" w:hAnsiTheme="minorHAnsi" w:cstheme="minorBidi"/>
      <w:b/>
      <w:i/>
      <w:color w:val="FFFFFF" w:themeColor="background1"/>
      <w:sz w:val="22"/>
      <w:shd w:val="clear" w:color="auto" w:fill="C0504D" w:themeFill="accent2"/>
      <w:lang w:eastAsia="en-US"/>
    </w:rPr>
  </w:style>
  <w:style w:type="character" w:styleId="SubtleEmphasis">
    <w:name w:val="Subtle Emphasis"/>
    <w:uiPriority w:val="19"/>
    <w:qFormat/>
    <w:rsid w:val="005E0A0B"/>
    <w:rPr>
      <w:i/>
    </w:rPr>
  </w:style>
  <w:style w:type="character" w:styleId="IntenseEmphasis">
    <w:name w:val="Intense Emphasis"/>
    <w:uiPriority w:val="21"/>
    <w:qFormat/>
    <w:rsid w:val="005E0A0B"/>
    <w:rPr>
      <w:b/>
      <w:i/>
      <w:color w:val="C0504D" w:themeColor="accent2"/>
      <w:spacing w:val="10"/>
    </w:rPr>
  </w:style>
  <w:style w:type="character" w:styleId="SubtleReference">
    <w:name w:val="Subtle Reference"/>
    <w:uiPriority w:val="31"/>
    <w:qFormat/>
    <w:rsid w:val="005E0A0B"/>
    <w:rPr>
      <w:b/>
    </w:rPr>
  </w:style>
  <w:style w:type="character" w:styleId="IntenseReference">
    <w:name w:val="Intense Reference"/>
    <w:uiPriority w:val="32"/>
    <w:qFormat/>
    <w:rsid w:val="005E0A0B"/>
    <w:rPr>
      <w:b/>
      <w:bCs/>
      <w:smallCaps/>
      <w:spacing w:val="5"/>
      <w:sz w:val="22"/>
      <w:szCs w:val="22"/>
      <w:u w:val="single"/>
    </w:rPr>
  </w:style>
  <w:style w:type="character" w:styleId="BookTitle">
    <w:name w:val="Book Title"/>
    <w:uiPriority w:val="33"/>
    <w:qFormat/>
    <w:rsid w:val="00E838DF"/>
    <w:rPr>
      <w:rFonts w:asciiTheme="majorHAnsi" w:eastAsiaTheme="majorEastAsia" w:hAnsiTheme="majorHAnsi" w:cstheme="majorBidi"/>
      <w:i w:val="0"/>
      <w:iCs/>
      <w:sz w:val="20"/>
      <w:szCs w:val="20"/>
    </w:rPr>
  </w:style>
  <w:style w:type="paragraph" w:customStyle="1" w:styleId="Dotindent">
    <w:name w:val="Dot&amp;indent"/>
    <w:basedOn w:val="Normal"/>
    <w:link w:val="DotindentChar"/>
    <w:qFormat/>
    <w:rsid w:val="005E0A0B"/>
    <w:pPr>
      <w:numPr>
        <w:numId w:val="4"/>
      </w:numPr>
      <w:spacing w:before="0" w:after="200" w:line="276" w:lineRule="auto"/>
      <w:jc w:val="left"/>
    </w:pPr>
    <w:rPr>
      <w:rFonts w:eastAsiaTheme="minorHAnsi" w:cstheme="minorBidi"/>
      <w:lang w:eastAsia="en-US"/>
    </w:rPr>
  </w:style>
  <w:style w:type="character" w:customStyle="1" w:styleId="DotindentChar">
    <w:name w:val="Dot&amp;indent Char"/>
    <w:basedOn w:val="DefaultParagraphFont"/>
    <w:link w:val="Dotindent"/>
    <w:rsid w:val="005E0A0B"/>
    <w:rPr>
      <w:rFonts w:asciiTheme="minorHAnsi" w:eastAsiaTheme="minorHAnsi" w:hAnsiTheme="minorHAnsi" w:cstheme="minorBidi"/>
      <w:sz w:val="22"/>
      <w:szCs w:val="22"/>
      <w:lang w:eastAsia="en-US"/>
    </w:rPr>
  </w:style>
  <w:style w:type="paragraph" w:customStyle="1" w:styleId="TableHeading1">
    <w:name w:val="Table Heading 1"/>
    <w:rsid w:val="005E0A0B"/>
    <w:pPr>
      <w:spacing w:before="60" w:after="100"/>
      <w:ind w:left="85" w:right="85"/>
    </w:pPr>
    <w:rPr>
      <w:rFonts w:ascii="Arial" w:hAnsi="Arial"/>
      <w:b/>
    </w:rPr>
  </w:style>
  <w:style w:type="character" w:customStyle="1" w:styleId="SuperScript">
    <w:name w:val="SuperScript"/>
    <w:rsid w:val="005E0A0B"/>
    <w:rPr>
      <w:dstrike w:val="0"/>
      <w:vertAlign w:val="superscript"/>
    </w:rPr>
  </w:style>
  <w:style w:type="paragraph" w:styleId="Revision">
    <w:name w:val="Revision"/>
    <w:hidden/>
    <w:uiPriority w:val="99"/>
    <w:semiHidden/>
    <w:rsid w:val="005E0A0B"/>
    <w:rPr>
      <w:rFonts w:asciiTheme="minorHAnsi" w:eastAsiaTheme="minorEastAsia" w:hAnsiTheme="minorHAnsi" w:cstheme="minorBidi"/>
      <w:sz w:val="22"/>
      <w:lang w:eastAsia="en-US"/>
    </w:rPr>
  </w:style>
  <w:style w:type="paragraph" w:styleId="ListBullet">
    <w:name w:val="List Bullet"/>
    <w:basedOn w:val="Normal"/>
    <w:uiPriority w:val="99"/>
    <w:unhideWhenUsed/>
    <w:rsid w:val="005E0A0B"/>
    <w:pPr>
      <w:numPr>
        <w:numId w:val="5"/>
      </w:numPr>
      <w:spacing w:after="320" w:line="276" w:lineRule="auto"/>
      <w:contextualSpacing/>
    </w:pPr>
    <w:rPr>
      <w:rFonts w:eastAsiaTheme="minorEastAsia" w:cstheme="minorBidi"/>
      <w:szCs w:val="20"/>
      <w:lang w:eastAsia="en-US"/>
    </w:rPr>
  </w:style>
  <w:style w:type="character" w:styleId="FollowedHyperlink">
    <w:name w:val="FollowedHyperlink"/>
    <w:basedOn w:val="DefaultParagraphFont"/>
    <w:uiPriority w:val="99"/>
    <w:semiHidden/>
    <w:unhideWhenUsed/>
    <w:rsid w:val="005E0A0B"/>
    <w:rPr>
      <w:color w:val="800080" w:themeColor="followedHyperlink"/>
      <w:u w:val="single"/>
    </w:rPr>
  </w:style>
  <w:style w:type="character" w:customStyle="1" w:styleId="apple-converted-space">
    <w:name w:val="apple-converted-space"/>
    <w:basedOn w:val="DefaultParagraphFont"/>
    <w:rsid w:val="00BA48A9"/>
  </w:style>
  <w:style w:type="paragraph" w:customStyle="1" w:styleId="EndNoteBibliographyTitle">
    <w:name w:val="EndNote Bibliography Title"/>
    <w:basedOn w:val="Normal"/>
    <w:link w:val="EndNoteBibliographyTitleChar"/>
    <w:rsid w:val="00BA48A9"/>
    <w:pPr>
      <w:spacing w:before="0" w:after="0" w:line="276" w:lineRule="auto"/>
      <w:jc w:val="center"/>
    </w:pPr>
    <w:rPr>
      <w:rFonts w:ascii="Calibri" w:eastAsiaTheme="minorHAnsi" w:hAnsi="Calibri" w:cstheme="minorBidi"/>
      <w:noProof/>
      <w:lang w:val="en-US" w:eastAsia="en-US"/>
    </w:rPr>
  </w:style>
  <w:style w:type="character" w:customStyle="1" w:styleId="EndNoteBibliographyTitleChar">
    <w:name w:val="EndNote Bibliography Title Char"/>
    <w:basedOn w:val="DefaultParagraphFont"/>
    <w:link w:val="EndNoteBibliographyTitle"/>
    <w:rsid w:val="00BA48A9"/>
    <w:rPr>
      <w:rFonts w:ascii="Calibri" w:eastAsiaTheme="minorHAnsi" w:hAnsi="Calibri" w:cstheme="minorBidi"/>
      <w:noProof/>
      <w:sz w:val="22"/>
      <w:szCs w:val="22"/>
      <w:lang w:val="en-US" w:eastAsia="en-US"/>
    </w:rPr>
  </w:style>
  <w:style w:type="paragraph" w:customStyle="1" w:styleId="EndNoteBibliography">
    <w:name w:val="EndNote Bibliography"/>
    <w:basedOn w:val="Normal"/>
    <w:link w:val="EndNoteBibliographyChar"/>
    <w:rsid w:val="00BA48A9"/>
    <w:pPr>
      <w:spacing w:before="0" w:after="200"/>
      <w:jc w:val="left"/>
    </w:pPr>
    <w:rPr>
      <w:rFonts w:ascii="Calibri" w:eastAsiaTheme="minorHAnsi" w:hAnsi="Calibri" w:cstheme="minorBidi"/>
      <w:noProof/>
      <w:lang w:val="en-US" w:eastAsia="en-US"/>
    </w:rPr>
  </w:style>
  <w:style w:type="character" w:customStyle="1" w:styleId="EndNoteBibliographyChar">
    <w:name w:val="EndNote Bibliography Char"/>
    <w:basedOn w:val="DefaultParagraphFont"/>
    <w:link w:val="EndNoteBibliography"/>
    <w:rsid w:val="00BA48A9"/>
    <w:rPr>
      <w:rFonts w:ascii="Calibri" w:eastAsiaTheme="minorHAnsi" w:hAnsi="Calibri" w:cstheme="minorBidi"/>
      <w:noProof/>
      <w:sz w:val="22"/>
      <w:szCs w:val="22"/>
      <w:lang w:val="en-US" w:eastAsia="en-US"/>
    </w:rPr>
  </w:style>
  <w:style w:type="paragraph" w:customStyle="1" w:styleId="Figurecaption">
    <w:name w:val="Figure caption"/>
    <w:basedOn w:val="Normal"/>
    <w:link w:val="FigurecaptionCharChar"/>
    <w:rsid w:val="0057279E"/>
    <w:pPr>
      <w:numPr>
        <w:numId w:val="6"/>
      </w:numPr>
      <w:spacing w:before="240" w:after="120" w:line="80" w:lineRule="atLeast"/>
      <w:ind w:left="0" w:firstLine="0"/>
      <w:jc w:val="center"/>
    </w:pPr>
    <w:rPr>
      <w:rFonts w:ascii="Arial" w:hAnsi="Arial" w:cs="Times New Roman"/>
      <w:color w:val="17365D" w:themeColor="text2" w:themeShade="BF"/>
      <w:szCs w:val="24"/>
      <w:lang w:val="en-GB" w:eastAsia="en-US"/>
    </w:rPr>
  </w:style>
  <w:style w:type="paragraph" w:customStyle="1" w:styleId="Bodystyle">
    <w:name w:val="Body style"/>
    <w:basedOn w:val="Normal"/>
    <w:rsid w:val="0057279E"/>
    <w:pPr>
      <w:spacing w:before="0"/>
      <w:jc w:val="left"/>
    </w:pPr>
    <w:rPr>
      <w:rFonts w:ascii="Arial" w:hAnsi="Arial" w:cs="Times New Roman"/>
      <w:szCs w:val="24"/>
      <w:lang w:eastAsia="en-US"/>
    </w:rPr>
  </w:style>
  <w:style w:type="character" w:customStyle="1" w:styleId="FigurecaptionCharChar">
    <w:name w:val="Figure caption Char Char"/>
    <w:basedOn w:val="CaptionChar"/>
    <w:link w:val="Figurecaption"/>
    <w:rsid w:val="0057279E"/>
    <w:rPr>
      <w:rFonts w:ascii="Arial" w:hAnsi="Arial"/>
      <w:color w:val="17365D" w:themeColor="text2" w:themeShade="BF"/>
      <w:sz w:val="22"/>
      <w:szCs w:val="24"/>
      <w:lang w:val="en-GB" w:eastAsia="en-US"/>
    </w:rPr>
  </w:style>
  <w:style w:type="paragraph" w:styleId="TableofFigures">
    <w:name w:val="table of figures"/>
    <w:basedOn w:val="Normal"/>
    <w:next w:val="Normal"/>
    <w:uiPriority w:val="99"/>
    <w:unhideWhenUsed/>
    <w:rsid w:val="00C762F1"/>
    <w:pPr>
      <w:spacing w:after="0"/>
    </w:pPr>
  </w:style>
  <w:style w:type="paragraph" w:customStyle="1" w:styleId="References">
    <w:name w:val="References"/>
    <w:basedOn w:val="Normal"/>
    <w:next w:val="Normal"/>
    <w:rsid w:val="00DE50E3"/>
    <w:pPr>
      <w:spacing w:before="0" w:after="0" w:line="360" w:lineRule="auto"/>
      <w:ind w:left="567" w:hanging="567"/>
    </w:pPr>
    <w:rPr>
      <w:rFonts w:ascii="Times New Roman" w:hAnsi="Times New Roman" w:cs="Times New Roman"/>
      <w:szCs w:val="20"/>
      <w:lang w:eastAsia="en-US"/>
    </w:rPr>
  </w:style>
  <w:style w:type="character" w:customStyle="1" w:styleId="current-selection">
    <w:name w:val="current-selection"/>
    <w:basedOn w:val="DefaultParagraphFont"/>
    <w:rsid w:val="00173CFC"/>
  </w:style>
  <w:style w:type="character" w:customStyle="1" w:styleId="highlight">
    <w:name w:val="highlight"/>
    <w:basedOn w:val="DefaultParagraphFont"/>
    <w:rsid w:val="00DF610D"/>
  </w:style>
  <w:style w:type="character" w:customStyle="1" w:styleId="ff1">
    <w:name w:val="ff1"/>
    <w:basedOn w:val="DefaultParagraphFont"/>
    <w:rsid w:val="001D2850"/>
  </w:style>
  <w:style w:type="character" w:customStyle="1" w:styleId="st">
    <w:name w:val="st"/>
    <w:basedOn w:val="DefaultParagraphFont"/>
    <w:rsid w:val="00E838DF"/>
  </w:style>
  <w:style w:type="character" w:customStyle="1" w:styleId="ipa1">
    <w:name w:val="ipa1"/>
    <w:rsid w:val="0015270F"/>
    <w:rPr>
      <w:rFonts w:ascii="Arial Unicode MS" w:eastAsia="Arial Unicode MS" w:hAnsi="Arial Unicode MS" w:cs="Arial Unicode MS" w:hint="eastAsia"/>
    </w:rPr>
  </w:style>
  <w:style w:type="character" w:customStyle="1" w:styleId="plainlinks">
    <w:name w:val="plainlinks"/>
    <w:basedOn w:val="DefaultParagraphFont"/>
    <w:rsid w:val="0015270F"/>
  </w:style>
  <w:style w:type="character" w:customStyle="1" w:styleId="geo-dms1">
    <w:name w:val="geo-dms1"/>
    <w:rsid w:val="0015270F"/>
    <w:rPr>
      <w:vanish w:val="0"/>
      <w:webHidden w:val="0"/>
      <w:specVanish/>
    </w:rPr>
  </w:style>
  <w:style w:type="character" w:customStyle="1" w:styleId="latitude1">
    <w:name w:val="latitude1"/>
    <w:basedOn w:val="DefaultParagraphFont"/>
    <w:rsid w:val="0015270F"/>
  </w:style>
  <w:style w:type="character" w:customStyle="1" w:styleId="longitude1">
    <w:name w:val="longitude1"/>
    <w:basedOn w:val="DefaultParagraphFont"/>
    <w:rsid w:val="0015270F"/>
  </w:style>
  <w:style w:type="character" w:customStyle="1" w:styleId="geo-multi-punct1">
    <w:name w:val="geo-multi-punct1"/>
    <w:rsid w:val="0015270F"/>
    <w:rPr>
      <w:vanish/>
      <w:webHidden w:val="0"/>
      <w:specVanish/>
    </w:rPr>
  </w:style>
  <w:style w:type="character" w:customStyle="1" w:styleId="geo-nondefault1">
    <w:name w:val="geo-nondefault1"/>
    <w:rsid w:val="0015270F"/>
    <w:rPr>
      <w:vanish/>
      <w:webHidden w:val="0"/>
      <w:specVanish/>
    </w:rPr>
  </w:style>
  <w:style w:type="character" w:customStyle="1" w:styleId="geo-dec1">
    <w:name w:val="geo-dec1"/>
    <w:rsid w:val="0015270F"/>
    <w:rPr>
      <w:vanish w:val="0"/>
      <w:webHidden w:val="0"/>
      <w:specVanish/>
    </w:rPr>
  </w:style>
  <w:style w:type="character" w:customStyle="1" w:styleId="geo">
    <w:name w:val="geo"/>
    <w:basedOn w:val="DefaultParagraphFont"/>
    <w:rsid w:val="0015270F"/>
  </w:style>
  <w:style w:type="character" w:customStyle="1" w:styleId="apple-style-span">
    <w:name w:val="apple-style-span"/>
    <w:basedOn w:val="DefaultParagraphFont"/>
    <w:rsid w:val="0015270F"/>
  </w:style>
  <w:style w:type="paragraph" w:customStyle="1" w:styleId="ParaFirst8">
    <w:name w:val="ParaFirst/8"/>
    <w:basedOn w:val="Normal"/>
    <w:rsid w:val="0015270F"/>
    <w:pPr>
      <w:spacing w:after="120" w:line="300" w:lineRule="exact"/>
      <w:jc w:val="left"/>
    </w:pPr>
    <w:rPr>
      <w:rFonts w:ascii="Times New Roman" w:hAnsi="Times New Roman" w:cs="Times New Roman"/>
      <w:sz w:val="20"/>
      <w:szCs w:val="20"/>
      <w:lang w:eastAsia="en-US"/>
    </w:rPr>
  </w:style>
  <w:style w:type="paragraph" w:customStyle="1" w:styleId="MediumGrid1-Accent21">
    <w:name w:val="Medium Grid 1 - Accent 21"/>
    <w:basedOn w:val="Normal"/>
    <w:qFormat/>
    <w:rsid w:val="0015270F"/>
    <w:pPr>
      <w:spacing w:before="0" w:after="120" w:line="120" w:lineRule="atLeast"/>
      <w:contextualSpacing/>
      <w:jc w:val="left"/>
    </w:pPr>
    <w:rPr>
      <w:rFonts w:ascii="Calibri" w:hAnsi="Calibri" w:cs="Times New Roman"/>
      <w:sz w:val="20"/>
      <w:lang w:val="en-US" w:eastAsia="en-US" w:bidi="en-US"/>
    </w:rPr>
  </w:style>
  <w:style w:type="character" w:customStyle="1" w:styleId="BodyTextChar">
    <w:name w:val="Body Text Char"/>
    <w:basedOn w:val="DefaultParagraphFont"/>
    <w:link w:val="BodyText"/>
    <w:rsid w:val="0015270F"/>
    <w:rPr>
      <w:rFonts w:asciiTheme="minorHAnsi" w:hAnsiTheme="minorHAnsi" w:cstheme="minorHAnsi"/>
      <w:sz w:val="22"/>
      <w:szCs w:val="22"/>
    </w:rPr>
  </w:style>
  <w:style w:type="paragraph" w:customStyle="1" w:styleId="Table">
    <w:name w:val="Table"/>
    <w:basedOn w:val="Normal"/>
    <w:link w:val="TableChar"/>
    <w:rsid w:val="0015270F"/>
    <w:pPr>
      <w:spacing w:before="0" w:after="120" w:line="360" w:lineRule="auto"/>
      <w:jc w:val="left"/>
    </w:pPr>
    <w:rPr>
      <w:rFonts w:ascii="Arial Narrow" w:hAnsi="Arial Narrow" w:cs="Times New Roman"/>
      <w:sz w:val="20"/>
      <w:szCs w:val="20"/>
      <w:lang w:val="en-GB" w:eastAsia="en-US"/>
    </w:rPr>
  </w:style>
  <w:style w:type="character" w:customStyle="1" w:styleId="TableChar">
    <w:name w:val="Table Char"/>
    <w:link w:val="Table"/>
    <w:rsid w:val="0015270F"/>
    <w:rPr>
      <w:rFonts w:ascii="Arial Narrow" w:hAnsi="Arial Narrow"/>
      <w:lang w:val="en-GB" w:eastAsia="en-US"/>
    </w:rPr>
  </w:style>
  <w:style w:type="paragraph" w:customStyle="1" w:styleId="Reportrefs">
    <w:name w:val="Report refs"/>
    <w:basedOn w:val="Normal"/>
    <w:rsid w:val="0015270F"/>
    <w:pPr>
      <w:spacing w:before="0" w:after="180" w:line="120" w:lineRule="atLeast"/>
      <w:ind w:left="432" w:hanging="432"/>
      <w:jc w:val="left"/>
    </w:pPr>
    <w:rPr>
      <w:rFonts w:ascii="Gill Sans MT" w:hAnsi="Gill Sans MT" w:cs="Times New Roman"/>
      <w:sz w:val="24"/>
      <w:szCs w:val="20"/>
      <w:lang w:val="en-GB" w:eastAsia="en-US"/>
    </w:rPr>
  </w:style>
  <w:style w:type="paragraph" w:customStyle="1" w:styleId="indenthang1">
    <w:name w:val="indenthang1"/>
    <w:basedOn w:val="Normal"/>
    <w:link w:val="indenthang1Char"/>
    <w:rsid w:val="0015270F"/>
    <w:pPr>
      <w:spacing w:before="100" w:after="100" w:line="120" w:lineRule="atLeast"/>
      <w:ind w:left="480" w:hanging="168"/>
      <w:jc w:val="left"/>
    </w:pPr>
    <w:rPr>
      <w:rFonts w:ascii="Arial" w:hAnsi="Arial" w:cs="Times New Roman"/>
      <w:sz w:val="20"/>
      <w:szCs w:val="24"/>
      <w:lang w:val="en-US" w:eastAsia="en-US"/>
    </w:rPr>
  </w:style>
  <w:style w:type="character" w:customStyle="1" w:styleId="indenthang1Char">
    <w:name w:val="indenthang1 Char"/>
    <w:basedOn w:val="DefaultParagraphFont"/>
    <w:link w:val="indenthang1"/>
    <w:rsid w:val="0015270F"/>
    <w:rPr>
      <w:rFonts w:ascii="Arial" w:hAnsi="Arial"/>
      <w:szCs w:val="24"/>
      <w:lang w:val="en-US" w:eastAsia="en-US"/>
    </w:rPr>
  </w:style>
  <w:style w:type="numbering" w:customStyle="1" w:styleId="NoList1">
    <w:name w:val="No List1"/>
    <w:next w:val="NoList"/>
    <w:uiPriority w:val="99"/>
    <w:semiHidden/>
    <w:unhideWhenUsed/>
    <w:rsid w:val="0015270F"/>
  </w:style>
  <w:style w:type="character" w:customStyle="1" w:styleId="HTMLPreformattedChar">
    <w:name w:val="HTML Preformatted Char"/>
    <w:basedOn w:val="DefaultParagraphFont"/>
    <w:link w:val="HTMLPreformatted"/>
    <w:uiPriority w:val="99"/>
    <w:rsid w:val="0015270F"/>
    <w:rPr>
      <w:rFonts w:ascii="Courier New" w:hAnsi="Courier New" w:cs="Courier New"/>
    </w:rPr>
  </w:style>
  <w:style w:type="character" w:customStyle="1" w:styleId="esrielement1">
    <w:name w:val="esrielement1"/>
    <w:basedOn w:val="DefaultParagraphFont"/>
    <w:rsid w:val="0015270F"/>
    <w:rPr>
      <w:b w:val="0"/>
      <w:bCs w:val="0"/>
      <w:smallCaps/>
      <w:color w:val="006400"/>
      <w:sz w:val="22"/>
      <w:szCs w:val="22"/>
    </w:rPr>
  </w:style>
  <w:style w:type="character" w:customStyle="1" w:styleId="code1">
    <w:name w:val="code1"/>
    <w:basedOn w:val="DefaultParagraphFont"/>
    <w:rsid w:val="0015270F"/>
    <w:rPr>
      <w:rFonts w:ascii="Courier New" w:hAnsi="Courier New" w:cs="Courier New" w:hint="default"/>
    </w:rPr>
  </w:style>
  <w:style w:type="paragraph" w:styleId="TOC5">
    <w:name w:val="toc 5"/>
    <w:basedOn w:val="Normal"/>
    <w:next w:val="Normal"/>
    <w:autoRedefine/>
    <w:uiPriority w:val="39"/>
    <w:unhideWhenUsed/>
    <w:rsid w:val="0015270F"/>
    <w:pPr>
      <w:spacing w:before="0" w:after="0"/>
      <w:ind w:left="660"/>
      <w:jc w:val="left"/>
    </w:pPr>
    <w:rPr>
      <w:sz w:val="20"/>
      <w:szCs w:val="20"/>
    </w:rPr>
  </w:style>
  <w:style w:type="paragraph" w:styleId="TOC6">
    <w:name w:val="toc 6"/>
    <w:basedOn w:val="Normal"/>
    <w:next w:val="Normal"/>
    <w:autoRedefine/>
    <w:uiPriority w:val="39"/>
    <w:unhideWhenUsed/>
    <w:rsid w:val="0015270F"/>
    <w:pPr>
      <w:spacing w:before="0" w:after="0"/>
      <w:ind w:left="880"/>
      <w:jc w:val="left"/>
    </w:pPr>
    <w:rPr>
      <w:sz w:val="20"/>
      <w:szCs w:val="20"/>
    </w:rPr>
  </w:style>
  <w:style w:type="paragraph" w:styleId="TOC7">
    <w:name w:val="toc 7"/>
    <w:basedOn w:val="Normal"/>
    <w:next w:val="Normal"/>
    <w:autoRedefine/>
    <w:uiPriority w:val="39"/>
    <w:unhideWhenUsed/>
    <w:rsid w:val="0015270F"/>
    <w:pPr>
      <w:spacing w:before="0" w:after="0"/>
      <w:ind w:left="1100"/>
      <w:jc w:val="left"/>
    </w:pPr>
    <w:rPr>
      <w:sz w:val="20"/>
      <w:szCs w:val="20"/>
    </w:rPr>
  </w:style>
  <w:style w:type="paragraph" w:styleId="TOC8">
    <w:name w:val="toc 8"/>
    <w:basedOn w:val="Normal"/>
    <w:next w:val="Normal"/>
    <w:autoRedefine/>
    <w:uiPriority w:val="39"/>
    <w:unhideWhenUsed/>
    <w:rsid w:val="0015270F"/>
    <w:pPr>
      <w:spacing w:before="0" w:after="0"/>
      <w:ind w:left="1320"/>
      <w:jc w:val="left"/>
    </w:pPr>
    <w:rPr>
      <w:sz w:val="20"/>
      <w:szCs w:val="20"/>
    </w:rPr>
  </w:style>
  <w:style w:type="paragraph" w:styleId="TOC9">
    <w:name w:val="toc 9"/>
    <w:basedOn w:val="Normal"/>
    <w:next w:val="Normal"/>
    <w:autoRedefine/>
    <w:uiPriority w:val="39"/>
    <w:unhideWhenUsed/>
    <w:rsid w:val="0015270F"/>
    <w:pPr>
      <w:spacing w:before="0" w:after="0"/>
      <w:ind w:left="1540"/>
      <w:jc w:val="left"/>
    </w:pPr>
    <w:rPr>
      <w:sz w:val="20"/>
      <w:szCs w:val="20"/>
    </w:rPr>
  </w:style>
  <w:style w:type="paragraph" w:customStyle="1" w:styleId="xl67">
    <w:name w:val="xl67"/>
    <w:basedOn w:val="Normal"/>
    <w:rsid w:val="0015270F"/>
    <w:pPr>
      <w:pBdr>
        <w:top w:val="single" w:sz="8" w:space="0" w:color="auto"/>
      </w:pBdr>
      <w:spacing w:before="100" w:beforeAutospacing="1" w:after="100" w:afterAutospacing="1" w:line="120" w:lineRule="atLeast"/>
      <w:jc w:val="center"/>
      <w:textAlignment w:val="center"/>
    </w:pPr>
    <w:rPr>
      <w:rFonts w:ascii="Arial" w:hAnsi="Arial" w:cs="Arial"/>
      <w:sz w:val="20"/>
      <w:szCs w:val="20"/>
    </w:rPr>
  </w:style>
  <w:style w:type="paragraph" w:customStyle="1" w:styleId="xl68">
    <w:name w:val="xl68"/>
    <w:basedOn w:val="Normal"/>
    <w:rsid w:val="0015270F"/>
    <w:pPr>
      <w:pBdr>
        <w:top w:val="single" w:sz="8" w:space="0" w:color="auto"/>
      </w:pBdr>
      <w:spacing w:before="100" w:beforeAutospacing="1" w:after="100" w:afterAutospacing="1" w:line="120" w:lineRule="atLeast"/>
      <w:jc w:val="center"/>
      <w:textAlignment w:val="center"/>
    </w:pPr>
    <w:rPr>
      <w:rFonts w:ascii="Arial" w:hAnsi="Arial" w:cs="Arial"/>
      <w:sz w:val="20"/>
      <w:szCs w:val="20"/>
    </w:rPr>
  </w:style>
  <w:style w:type="paragraph" w:customStyle="1" w:styleId="xl69">
    <w:name w:val="xl69"/>
    <w:basedOn w:val="Normal"/>
    <w:rsid w:val="0015270F"/>
    <w:pPr>
      <w:pBdr>
        <w:top w:val="single" w:sz="8" w:space="0" w:color="auto"/>
      </w:pBdr>
      <w:spacing w:before="100" w:beforeAutospacing="1" w:after="100" w:afterAutospacing="1" w:line="120" w:lineRule="atLeast"/>
      <w:jc w:val="center"/>
      <w:textAlignment w:val="center"/>
    </w:pPr>
    <w:rPr>
      <w:rFonts w:ascii="Arial" w:hAnsi="Arial" w:cs="Arial"/>
      <w:sz w:val="20"/>
      <w:szCs w:val="20"/>
    </w:rPr>
  </w:style>
  <w:style w:type="paragraph" w:customStyle="1" w:styleId="xl70">
    <w:name w:val="xl70"/>
    <w:basedOn w:val="Normal"/>
    <w:rsid w:val="0015270F"/>
    <w:pPr>
      <w:spacing w:before="100" w:beforeAutospacing="1" w:after="100" w:afterAutospacing="1" w:line="120" w:lineRule="atLeast"/>
      <w:jc w:val="center"/>
      <w:textAlignment w:val="center"/>
    </w:pPr>
    <w:rPr>
      <w:rFonts w:ascii="Arial" w:hAnsi="Arial" w:cs="Arial"/>
      <w:sz w:val="20"/>
      <w:szCs w:val="20"/>
    </w:rPr>
  </w:style>
  <w:style w:type="paragraph" w:customStyle="1" w:styleId="xl71">
    <w:name w:val="xl71"/>
    <w:basedOn w:val="Normal"/>
    <w:rsid w:val="0015270F"/>
    <w:pPr>
      <w:spacing w:before="100" w:beforeAutospacing="1" w:after="100" w:afterAutospacing="1" w:line="120" w:lineRule="atLeast"/>
      <w:jc w:val="center"/>
      <w:textAlignment w:val="center"/>
    </w:pPr>
    <w:rPr>
      <w:rFonts w:ascii="Arial" w:hAnsi="Arial" w:cs="Arial"/>
      <w:sz w:val="20"/>
      <w:szCs w:val="20"/>
    </w:rPr>
  </w:style>
  <w:style w:type="paragraph" w:customStyle="1" w:styleId="xl72">
    <w:name w:val="xl72"/>
    <w:basedOn w:val="Normal"/>
    <w:rsid w:val="0015270F"/>
    <w:pPr>
      <w:spacing w:before="100" w:beforeAutospacing="1" w:after="100" w:afterAutospacing="1" w:line="120" w:lineRule="atLeast"/>
      <w:jc w:val="center"/>
      <w:textAlignment w:val="center"/>
    </w:pPr>
    <w:rPr>
      <w:rFonts w:ascii="Arial" w:hAnsi="Arial" w:cs="Arial"/>
      <w:sz w:val="20"/>
      <w:szCs w:val="20"/>
    </w:rPr>
  </w:style>
  <w:style w:type="paragraph" w:customStyle="1" w:styleId="xl73">
    <w:name w:val="xl73"/>
    <w:basedOn w:val="Normal"/>
    <w:rsid w:val="0015270F"/>
    <w:pPr>
      <w:pBdr>
        <w:bottom w:val="single" w:sz="4" w:space="0" w:color="auto"/>
      </w:pBdr>
      <w:spacing w:before="100" w:beforeAutospacing="1" w:after="100" w:afterAutospacing="1" w:line="120" w:lineRule="atLeast"/>
      <w:jc w:val="center"/>
      <w:textAlignment w:val="center"/>
    </w:pPr>
    <w:rPr>
      <w:rFonts w:ascii="Arial" w:hAnsi="Arial" w:cs="Arial"/>
      <w:sz w:val="20"/>
      <w:szCs w:val="20"/>
    </w:rPr>
  </w:style>
  <w:style w:type="paragraph" w:customStyle="1" w:styleId="xl74">
    <w:name w:val="xl74"/>
    <w:basedOn w:val="Normal"/>
    <w:rsid w:val="0015270F"/>
    <w:pPr>
      <w:pBdr>
        <w:bottom w:val="single" w:sz="4" w:space="0" w:color="auto"/>
      </w:pBdr>
      <w:spacing w:before="100" w:beforeAutospacing="1" w:after="100" w:afterAutospacing="1" w:line="120" w:lineRule="atLeast"/>
      <w:jc w:val="center"/>
      <w:textAlignment w:val="center"/>
    </w:pPr>
    <w:rPr>
      <w:rFonts w:ascii="Arial" w:hAnsi="Arial" w:cs="Arial"/>
      <w:sz w:val="20"/>
      <w:szCs w:val="20"/>
    </w:rPr>
  </w:style>
  <w:style w:type="paragraph" w:customStyle="1" w:styleId="xl75">
    <w:name w:val="xl75"/>
    <w:basedOn w:val="Normal"/>
    <w:rsid w:val="0015270F"/>
    <w:pPr>
      <w:pBdr>
        <w:bottom w:val="single" w:sz="4" w:space="0" w:color="auto"/>
      </w:pBdr>
      <w:spacing w:before="100" w:beforeAutospacing="1" w:after="100" w:afterAutospacing="1" w:line="120" w:lineRule="atLeast"/>
      <w:jc w:val="center"/>
      <w:textAlignment w:val="center"/>
    </w:pPr>
    <w:rPr>
      <w:rFonts w:ascii="Arial" w:hAnsi="Arial" w:cs="Arial"/>
      <w:sz w:val="20"/>
      <w:szCs w:val="20"/>
    </w:rPr>
  </w:style>
  <w:style w:type="paragraph" w:customStyle="1" w:styleId="xl76">
    <w:name w:val="xl76"/>
    <w:basedOn w:val="Normal"/>
    <w:rsid w:val="0015270F"/>
    <w:pPr>
      <w:pBdr>
        <w:bottom w:val="single" w:sz="8" w:space="0" w:color="auto"/>
      </w:pBdr>
      <w:spacing w:before="100" w:beforeAutospacing="1" w:after="100" w:afterAutospacing="1" w:line="120" w:lineRule="atLeast"/>
      <w:jc w:val="center"/>
      <w:textAlignment w:val="center"/>
    </w:pPr>
    <w:rPr>
      <w:rFonts w:ascii="Arial" w:hAnsi="Arial" w:cs="Arial"/>
      <w:sz w:val="20"/>
      <w:szCs w:val="20"/>
    </w:rPr>
  </w:style>
  <w:style w:type="paragraph" w:customStyle="1" w:styleId="xl77">
    <w:name w:val="xl77"/>
    <w:basedOn w:val="Normal"/>
    <w:rsid w:val="0015270F"/>
    <w:pPr>
      <w:pBdr>
        <w:bottom w:val="single" w:sz="8" w:space="0" w:color="auto"/>
      </w:pBdr>
      <w:spacing w:before="100" w:beforeAutospacing="1" w:after="100" w:afterAutospacing="1" w:line="120" w:lineRule="atLeast"/>
      <w:jc w:val="center"/>
      <w:textAlignment w:val="center"/>
    </w:pPr>
    <w:rPr>
      <w:rFonts w:ascii="Arial" w:hAnsi="Arial" w:cs="Arial"/>
      <w:sz w:val="20"/>
      <w:szCs w:val="20"/>
    </w:rPr>
  </w:style>
  <w:style w:type="paragraph" w:customStyle="1" w:styleId="xl78">
    <w:name w:val="xl78"/>
    <w:basedOn w:val="Normal"/>
    <w:rsid w:val="0015270F"/>
    <w:pPr>
      <w:pBdr>
        <w:bottom w:val="single" w:sz="8" w:space="0" w:color="auto"/>
      </w:pBdr>
      <w:spacing w:before="100" w:beforeAutospacing="1" w:after="100" w:afterAutospacing="1" w:line="120" w:lineRule="atLeast"/>
      <w:jc w:val="center"/>
      <w:textAlignment w:val="center"/>
    </w:pPr>
    <w:rPr>
      <w:rFonts w:ascii="Arial" w:hAnsi="Arial" w:cs="Arial"/>
      <w:sz w:val="20"/>
      <w:szCs w:val="20"/>
    </w:rPr>
  </w:style>
  <w:style w:type="paragraph" w:customStyle="1" w:styleId="xl79">
    <w:name w:val="xl79"/>
    <w:basedOn w:val="Normal"/>
    <w:rsid w:val="0015270F"/>
    <w:pP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80">
    <w:name w:val="xl80"/>
    <w:basedOn w:val="Normal"/>
    <w:rsid w:val="0015270F"/>
    <w:pPr>
      <w:pBdr>
        <w:bottom w:val="single" w:sz="4" w:space="0" w:color="auto"/>
      </w:pBdr>
      <w:spacing w:before="100" w:beforeAutospacing="1" w:after="100" w:afterAutospacing="1" w:line="120" w:lineRule="atLeast"/>
      <w:jc w:val="left"/>
    </w:pPr>
    <w:rPr>
      <w:rFonts w:ascii="Times New Roman" w:hAnsi="Times New Roman" w:cs="Times New Roman"/>
      <w:sz w:val="24"/>
      <w:szCs w:val="24"/>
    </w:rPr>
  </w:style>
  <w:style w:type="paragraph" w:customStyle="1" w:styleId="xl63">
    <w:name w:val="xl63"/>
    <w:basedOn w:val="Normal"/>
    <w:rsid w:val="0015270F"/>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120" w:lineRule="atLeast"/>
      <w:jc w:val="center"/>
    </w:pPr>
    <w:rPr>
      <w:rFonts w:ascii="Times New Roman" w:hAnsi="Times New Roman" w:cs="Times New Roman"/>
      <w:color w:val="000000"/>
      <w:sz w:val="20"/>
      <w:szCs w:val="20"/>
      <w:lang w:val="en-GB" w:eastAsia="en-GB"/>
    </w:rPr>
  </w:style>
  <w:style w:type="paragraph" w:customStyle="1" w:styleId="xl64">
    <w:name w:val="xl64"/>
    <w:basedOn w:val="Normal"/>
    <w:rsid w:val="0015270F"/>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120" w:lineRule="atLeast"/>
      <w:jc w:val="center"/>
    </w:pPr>
    <w:rPr>
      <w:rFonts w:ascii="Times New Roman" w:hAnsi="Times New Roman" w:cs="Times New Roman"/>
      <w:color w:val="000000"/>
      <w:sz w:val="20"/>
      <w:szCs w:val="20"/>
      <w:lang w:val="en-GB" w:eastAsia="en-GB"/>
    </w:rPr>
  </w:style>
  <w:style w:type="paragraph" w:customStyle="1" w:styleId="xl65">
    <w:name w:val="xl65"/>
    <w:basedOn w:val="Normal"/>
    <w:rsid w:val="0015270F"/>
    <w:pPr>
      <w:spacing w:before="100" w:beforeAutospacing="1" w:after="100" w:afterAutospacing="1" w:line="120" w:lineRule="atLeast"/>
      <w:jc w:val="left"/>
    </w:pPr>
    <w:rPr>
      <w:rFonts w:ascii="Times New Roman" w:hAnsi="Times New Roman" w:cs="Times New Roman"/>
      <w:sz w:val="20"/>
      <w:szCs w:val="20"/>
      <w:lang w:val="en-GB" w:eastAsia="en-GB"/>
    </w:rPr>
  </w:style>
  <w:style w:type="paragraph" w:customStyle="1" w:styleId="xl66">
    <w:name w:val="xl66"/>
    <w:basedOn w:val="Normal"/>
    <w:rsid w:val="0015270F"/>
    <w:pPr>
      <w:pBdr>
        <w:top w:val="single" w:sz="4" w:space="0" w:color="auto"/>
        <w:left w:val="single" w:sz="4" w:space="0" w:color="auto"/>
        <w:bottom w:val="single" w:sz="4" w:space="0" w:color="auto"/>
        <w:right w:val="single" w:sz="4" w:space="0" w:color="auto"/>
      </w:pBdr>
      <w:spacing w:before="100" w:beforeAutospacing="1" w:after="100" w:afterAutospacing="1" w:line="120" w:lineRule="atLeast"/>
      <w:jc w:val="right"/>
    </w:pPr>
    <w:rPr>
      <w:rFonts w:ascii="Times New Roman" w:hAnsi="Times New Roman" w:cs="Times New Roman"/>
      <w:color w:val="000000"/>
      <w:sz w:val="20"/>
      <w:szCs w:val="20"/>
      <w:lang w:val="en-GB" w:eastAsia="en-GB"/>
    </w:rPr>
  </w:style>
  <w:style w:type="paragraph" w:customStyle="1" w:styleId="Title1">
    <w:name w:val="Title1"/>
    <w:basedOn w:val="Normal"/>
    <w:rsid w:val="0015270F"/>
    <w:pPr>
      <w:spacing w:before="100" w:beforeAutospacing="1" w:after="100" w:afterAutospacing="1" w:line="120" w:lineRule="atLeast"/>
      <w:jc w:val="left"/>
    </w:pPr>
    <w:rPr>
      <w:rFonts w:ascii="Times New Roman" w:eastAsiaTheme="minorEastAsia" w:hAnsi="Times New Roman" w:cs="Times New Roman"/>
      <w:b/>
      <w:bCs/>
      <w:sz w:val="40"/>
      <w:szCs w:val="40"/>
      <w:lang w:val="en-US" w:eastAsia="en-US"/>
    </w:rPr>
  </w:style>
  <w:style w:type="paragraph" w:customStyle="1" w:styleId="font0">
    <w:name w:val="font0"/>
    <w:basedOn w:val="Normal"/>
    <w:rsid w:val="0015270F"/>
    <w:pPr>
      <w:spacing w:before="100" w:beforeAutospacing="1" w:after="100" w:afterAutospacing="1" w:line="120" w:lineRule="atLeast"/>
      <w:jc w:val="left"/>
    </w:pPr>
    <w:rPr>
      <w:rFonts w:ascii="Calibri" w:hAnsi="Calibri" w:cs="Times New Roman"/>
      <w:color w:val="000000"/>
    </w:rPr>
  </w:style>
  <w:style w:type="paragraph" w:customStyle="1" w:styleId="font5">
    <w:name w:val="font5"/>
    <w:basedOn w:val="Normal"/>
    <w:rsid w:val="0015270F"/>
    <w:pPr>
      <w:spacing w:before="100" w:beforeAutospacing="1" w:after="100" w:afterAutospacing="1" w:line="120" w:lineRule="atLeast"/>
      <w:jc w:val="left"/>
    </w:pPr>
    <w:rPr>
      <w:rFonts w:ascii="Calibri" w:hAnsi="Calibri" w:cs="Times New Roman"/>
      <w:color w:val="000000"/>
    </w:rPr>
  </w:style>
  <w:style w:type="paragraph" w:customStyle="1" w:styleId="font6">
    <w:name w:val="font6"/>
    <w:basedOn w:val="Normal"/>
    <w:rsid w:val="0015270F"/>
    <w:pPr>
      <w:spacing w:before="100" w:beforeAutospacing="1" w:after="100" w:afterAutospacing="1" w:line="120" w:lineRule="atLeast"/>
      <w:jc w:val="left"/>
    </w:pPr>
    <w:rPr>
      <w:rFonts w:ascii="Calibri" w:hAnsi="Calibri" w:cs="Times New Roman"/>
      <w:color w:val="000000"/>
    </w:rPr>
  </w:style>
  <w:style w:type="paragraph" w:customStyle="1" w:styleId="xl81">
    <w:name w:val="xl81"/>
    <w:basedOn w:val="Normal"/>
    <w:rsid w:val="0015270F"/>
    <w:pPr>
      <w:pBdr>
        <w:left w:val="single" w:sz="4" w:space="0" w:color="auto"/>
        <w:bottom w:val="single" w:sz="4" w:space="0" w:color="auto"/>
      </w:pBdr>
      <w:spacing w:before="100" w:beforeAutospacing="1" w:after="100" w:afterAutospacing="1" w:line="120" w:lineRule="atLeast"/>
      <w:jc w:val="center"/>
      <w:textAlignment w:val="center"/>
    </w:pPr>
    <w:rPr>
      <w:rFonts w:ascii="Times New Roman" w:hAnsi="Times New Roman" w:cs="Times New Roman"/>
      <w:b/>
      <w:bCs/>
      <w:sz w:val="24"/>
      <w:szCs w:val="24"/>
    </w:rPr>
  </w:style>
  <w:style w:type="paragraph" w:customStyle="1" w:styleId="xl82">
    <w:name w:val="xl82"/>
    <w:basedOn w:val="Normal"/>
    <w:rsid w:val="0015270F"/>
    <w:pPr>
      <w:pBdr>
        <w:top w:val="single" w:sz="4" w:space="0" w:color="auto"/>
      </w:pBdr>
      <w:spacing w:before="100" w:beforeAutospacing="1" w:after="100" w:afterAutospacing="1" w:line="120" w:lineRule="atLeast"/>
      <w:jc w:val="center"/>
      <w:textAlignment w:val="center"/>
    </w:pPr>
    <w:rPr>
      <w:rFonts w:ascii="Times New Roman" w:hAnsi="Times New Roman" w:cs="Times New Roman"/>
      <w:b/>
      <w:bCs/>
      <w:sz w:val="24"/>
      <w:szCs w:val="24"/>
    </w:rPr>
  </w:style>
  <w:style w:type="paragraph" w:customStyle="1" w:styleId="xl83">
    <w:name w:val="xl83"/>
    <w:basedOn w:val="Normal"/>
    <w:rsid w:val="0015270F"/>
    <w:pPr>
      <w:pBdr>
        <w:top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cs="Times New Roman"/>
      <w:b/>
      <w:bCs/>
      <w:sz w:val="24"/>
      <w:szCs w:val="24"/>
    </w:rPr>
  </w:style>
  <w:style w:type="paragraph" w:customStyle="1" w:styleId="font7">
    <w:name w:val="font7"/>
    <w:basedOn w:val="Normal"/>
    <w:rsid w:val="0015270F"/>
    <w:pPr>
      <w:spacing w:before="100" w:beforeAutospacing="1" w:after="100" w:afterAutospacing="1" w:line="120" w:lineRule="atLeast"/>
      <w:jc w:val="left"/>
    </w:pPr>
    <w:rPr>
      <w:rFonts w:ascii="Calibri" w:hAnsi="Calibri" w:cs="Times New Roman"/>
      <w:color w:val="000000"/>
      <w:sz w:val="20"/>
      <w:szCs w:val="20"/>
    </w:rPr>
  </w:style>
  <w:style w:type="character" w:styleId="PlaceholderText">
    <w:name w:val="Placeholder Text"/>
    <w:basedOn w:val="DefaultParagraphFont"/>
    <w:uiPriority w:val="99"/>
    <w:semiHidden/>
    <w:rsid w:val="0015270F"/>
    <w:rPr>
      <w:color w:val="808080"/>
    </w:rPr>
  </w:style>
  <w:style w:type="paragraph" w:customStyle="1" w:styleId="xl84">
    <w:name w:val="xl84"/>
    <w:basedOn w:val="Normal"/>
    <w:rsid w:val="0015270F"/>
    <w:pP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85">
    <w:name w:val="xl85"/>
    <w:basedOn w:val="Normal"/>
    <w:rsid w:val="0015270F"/>
    <w:pPr>
      <w:pBdr>
        <w:top w:val="single" w:sz="4" w:space="0" w:color="auto"/>
        <w:left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86">
    <w:name w:val="xl86"/>
    <w:basedOn w:val="Normal"/>
    <w:rsid w:val="0015270F"/>
    <w:pPr>
      <w:pBdr>
        <w:top w:val="single" w:sz="4" w:space="0" w:color="auto"/>
        <w:left w:val="single" w:sz="4" w:space="0" w:color="auto"/>
      </w:pBdr>
      <w:spacing w:before="100" w:beforeAutospacing="1" w:after="100" w:afterAutospacing="1" w:line="120" w:lineRule="atLeast"/>
      <w:jc w:val="center"/>
      <w:textAlignment w:val="center"/>
    </w:pPr>
    <w:rPr>
      <w:rFonts w:ascii="Times New Roman" w:hAnsi="Times New Roman" w:cs="Times New Roman"/>
      <w:b/>
      <w:bCs/>
      <w:sz w:val="24"/>
      <w:szCs w:val="24"/>
    </w:rPr>
  </w:style>
  <w:style w:type="paragraph" w:customStyle="1" w:styleId="xl87">
    <w:name w:val="xl87"/>
    <w:basedOn w:val="Normal"/>
    <w:rsid w:val="0015270F"/>
    <w:pPr>
      <w:pBdr>
        <w:top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88">
    <w:name w:val="xl88"/>
    <w:basedOn w:val="Normal"/>
    <w:rsid w:val="0015270F"/>
    <w:pPr>
      <w:pBdr>
        <w:top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89">
    <w:name w:val="xl89"/>
    <w:basedOn w:val="Normal"/>
    <w:rsid w:val="0015270F"/>
    <w:pPr>
      <w:pBdr>
        <w:top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90">
    <w:name w:val="xl90"/>
    <w:basedOn w:val="Normal"/>
    <w:rsid w:val="0015270F"/>
    <w:pPr>
      <w:pBdr>
        <w:top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91">
    <w:name w:val="xl91"/>
    <w:basedOn w:val="Normal"/>
    <w:rsid w:val="0015270F"/>
    <w:pPr>
      <w:pBdr>
        <w:top w:val="single" w:sz="4" w:space="0" w:color="auto"/>
        <w:left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92">
    <w:name w:val="xl92"/>
    <w:basedOn w:val="Normal"/>
    <w:rsid w:val="0015270F"/>
    <w:pPr>
      <w:pBdr>
        <w:top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93">
    <w:name w:val="xl93"/>
    <w:basedOn w:val="Normal"/>
    <w:rsid w:val="0015270F"/>
    <w:pPr>
      <w:pBdr>
        <w:top w:val="single" w:sz="4" w:space="0" w:color="auto"/>
        <w:left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numbering" w:customStyle="1" w:styleId="NoList2">
    <w:name w:val="No List2"/>
    <w:next w:val="NoList"/>
    <w:uiPriority w:val="99"/>
    <w:semiHidden/>
    <w:unhideWhenUsed/>
    <w:rsid w:val="0015270F"/>
  </w:style>
  <w:style w:type="table" w:customStyle="1" w:styleId="TableGrid1">
    <w:name w:val="Table Grid1"/>
    <w:basedOn w:val="TableNormal"/>
    <w:next w:val="TableGrid"/>
    <w:uiPriority w:val="59"/>
    <w:rsid w:val="0015270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94">
    <w:name w:val="xl94"/>
    <w:basedOn w:val="Normal"/>
    <w:rsid w:val="0015270F"/>
    <w:pPr>
      <w:pBdr>
        <w:top w:val="single" w:sz="4" w:space="0" w:color="auto"/>
        <w:right w:val="single" w:sz="4" w:space="0" w:color="auto"/>
      </w:pBdr>
      <w:shd w:val="clear" w:color="000000" w:fill="F2F2F2"/>
      <w:spacing w:before="100" w:beforeAutospacing="1" w:after="100" w:afterAutospacing="1" w:line="120" w:lineRule="atLeast"/>
      <w:jc w:val="center"/>
    </w:pPr>
    <w:rPr>
      <w:rFonts w:ascii="Times New Roman" w:hAnsi="Times New Roman" w:cs="Times New Roman"/>
      <w:b/>
      <w:bCs/>
      <w:i/>
      <w:iCs/>
      <w:sz w:val="24"/>
      <w:szCs w:val="24"/>
    </w:rPr>
  </w:style>
  <w:style w:type="paragraph" w:customStyle="1" w:styleId="xl95">
    <w:name w:val="xl95"/>
    <w:basedOn w:val="Normal"/>
    <w:rsid w:val="0015270F"/>
    <w:pPr>
      <w:pBdr>
        <w:top w:val="single" w:sz="4" w:space="0" w:color="auto"/>
        <w:left w:val="single" w:sz="4" w:space="0" w:color="auto"/>
      </w:pBdr>
      <w:shd w:val="clear" w:color="000000" w:fill="0070C0"/>
      <w:spacing w:before="100" w:beforeAutospacing="1" w:after="100" w:afterAutospacing="1" w:line="120" w:lineRule="atLeast"/>
      <w:jc w:val="center"/>
    </w:pPr>
    <w:rPr>
      <w:rFonts w:ascii="Times New Roman" w:hAnsi="Times New Roman" w:cs="Times New Roman"/>
      <w:b/>
      <w:bCs/>
      <w:color w:val="FFFFFF"/>
      <w:sz w:val="24"/>
      <w:szCs w:val="24"/>
    </w:rPr>
  </w:style>
  <w:style w:type="paragraph" w:customStyle="1" w:styleId="xl96">
    <w:name w:val="xl96"/>
    <w:basedOn w:val="Normal"/>
    <w:rsid w:val="0015270F"/>
    <w:pPr>
      <w:pBdr>
        <w:top w:val="single" w:sz="4" w:space="0" w:color="auto"/>
      </w:pBdr>
      <w:shd w:val="clear" w:color="000000" w:fill="00B050"/>
      <w:spacing w:before="100" w:beforeAutospacing="1" w:after="100" w:afterAutospacing="1" w:line="120" w:lineRule="atLeast"/>
      <w:jc w:val="center"/>
    </w:pPr>
    <w:rPr>
      <w:rFonts w:ascii="Times New Roman" w:hAnsi="Times New Roman" w:cs="Times New Roman"/>
      <w:b/>
      <w:bCs/>
      <w:color w:val="FFFFFF"/>
      <w:sz w:val="24"/>
      <w:szCs w:val="24"/>
    </w:rPr>
  </w:style>
  <w:style w:type="paragraph" w:customStyle="1" w:styleId="xl97">
    <w:name w:val="xl97"/>
    <w:basedOn w:val="Normal"/>
    <w:rsid w:val="0015270F"/>
    <w:pPr>
      <w:pBdr>
        <w:top w:val="single" w:sz="4" w:space="0" w:color="auto"/>
      </w:pBdr>
      <w:shd w:val="clear" w:color="000000" w:fill="FF0000"/>
      <w:spacing w:before="100" w:beforeAutospacing="1" w:after="100" w:afterAutospacing="1" w:line="120" w:lineRule="atLeast"/>
      <w:jc w:val="center"/>
    </w:pPr>
    <w:rPr>
      <w:rFonts w:ascii="Times New Roman" w:hAnsi="Times New Roman" w:cs="Times New Roman"/>
      <w:b/>
      <w:bCs/>
      <w:color w:val="FFFFFF"/>
      <w:sz w:val="24"/>
      <w:szCs w:val="24"/>
    </w:rPr>
  </w:style>
  <w:style w:type="paragraph" w:customStyle="1" w:styleId="xl98">
    <w:name w:val="xl98"/>
    <w:basedOn w:val="Normal"/>
    <w:rsid w:val="0015270F"/>
    <w:pPr>
      <w:pBdr>
        <w:top w:val="single" w:sz="4" w:space="0" w:color="auto"/>
      </w:pBdr>
      <w:shd w:val="clear" w:color="000000" w:fill="C00000"/>
      <w:spacing w:before="100" w:beforeAutospacing="1" w:after="100" w:afterAutospacing="1" w:line="120" w:lineRule="atLeast"/>
      <w:jc w:val="center"/>
    </w:pPr>
    <w:rPr>
      <w:rFonts w:ascii="Times New Roman" w:hAnsi="Times New Roman" w:cs="Times New Roman"/>
      <w:b/>
      <w:bCs/>
      <w:color w:val="FFFFFF"/>
      <w:sz w:val="24"/>
      <w:szCs w:val="24"/>
    </w:rPr>
  </w:style>
  <w:style w:type="paragraph" w:customStyle="1" w:styleId="xl99">
    <w:name w:val="xl99"/>
    <w:basedOn w:val="Normal"/>
    <w:rsid w:val="0015270F"/>
    <w:pPr>
      <w:pBdr>
        <w:top w:val="single" w:sz="4" w:space="0" w:color="auto"/>
        <w:left w:val="single" w:sz="4" w:space="0" w:color="auto"/>
      </w:pBdr>
      <w:spacing w:before="100" w:beforeAutospacing="1" w:after="100" w:afterAutospacing="1" w:line="120" w:lineRule="atLeast"/>
      <w:jc w:val="center"/>
      <w:textAlignment w:val="center"/>
    </w:pPr>
    <w:rPr>
      <w:rFonts w:ascii="Times New Roman" w:hAnsi="Times New Roman" w:cs="Times New Roman"/>
      <w:b/>
      <w:bCs/>
      <w:sz w:val="24"/>
      <w:szCs w:val="24"/>
    </w:rPr>
  </w:style>
  <w:style w:type="paragraph" w:customStyle="1" w:styleId="xl100">
    <w:name w:val="xl100"/>
    <w:basedOn w:val="Normal"/>
    <w:rsid w:val="0015270F"/>
    <w:pPr>
      <w:pBdr>
        <w:top w:val="single" w:sz="4" w:space="0" w:color="auto"/>
        <w:left w:val="single" w:sz="4" w:space="0" w:color="auto"/>
        <w:right w:val="single" w:sz="4" w:space="0" w:color="auto"/>
      </w:pBdr>
      <w:spacing w:before="100" w:beforeAutospacing="1" w:after="100" w:afterAutospacing="1" w:line="120" w:lineRule="atLeast"/>
      <w:jc w:val="center"/>
    </w:pPr>
    <w:rPr>
      <w:rFonts w:ascii="Times New Roman" w:hAnsi="Times New Roman" w:cs="Times New Roman"/>
      <w:b/>
      <w:bCs/>
      <w:sz w:val="24"/>
      <w:szCs w:val="24"/>
    </w:rPr>
  </w:style>
  <w:style w:type="paragraph" w:customStyle="1" w:styleId="xl101">
    <w:name w:val="xl101"/>
    <w:basedOn w:val="Normal"/>
    <w:rsid w:val="0015270F"/>
    <w:pPr>
      <w:pBdr>
        <w:top w:val="single" w:sz="4" w:space="0" w:color="auto"/>
        <w:left w:val="single" w:sz="4" w:space="0" w:color="auto"/>
      </w:pBdr>
      <w:spacing w:before="100" w:beforeAutospacing="1" w:after="100" w:afterAutospacing="1" w:line="120" w:lineRule="atLeast"/>
      <w:jc w:val="center"/>
    </w:pPr>
    <w:rPr>
      <w:rFonts w:ascii="Times New Roman" w:hAnsi="Times New Roman" w:cs="Times New Roman"/>
      <w:b/>
      <w:bCs/>
      <w:sz w:val="24"/>
      <w:szCs w:val="24"/>
    </w:rPr>
  </w:style>
  <w:style w:type="paragraph" w:customStyle="1" w:styleId="xl102">
    <w:name w:val="xl102"/>
    <w:basedOn w:val="Normal"/>
    <w:rsid w:val="0015270F"/>
    <w:pPr>
      <w:pBdr>
        <w:top w:val="single" w:sz="4" w:space="0" w:color="auto"/>
      </w:pBdr>
      <w:spacing w:before="100" w:beforeAutospacing="1" w:after="100" w:afterAutospacing="1" w:line="120" w:lineRule="atLeast"/>
      <w:jc w:val="center"/>
    </w:pPr>
    <w:rPr>
      <w:rFonts w:ascii="Times New Roman" w:hAnsi="Times New Roman" w:cs="Times New Roman"/>
      <w:b/>
      <w:bCs/>
      <w:sz w:val="24"/>
      <w:szCs w:val="24"/>
    </w:rPr>
  </w:style>
  <w:style w:type="paragraph" w:customStyle="1" w:styleId="xl103">
    <w:name w:val="xl103"/>
    <w:basedOn w:val="Normal"/>
    <w:rsid w:val="0015270F"/>
    <w:pPr>
      <w:pBdr>
        <w:top w:val="single" w:sz="4" w:space="0" w:color="auto"/>
        <w:right w:val="single" w:sz="4" w:space="0" w:color="auto"/>
      </w:pBdr>
      <w:shd w:val="clear" w:color="000000" w:fill="F2F2F2"/>
      <w:spacing w:before="100" w:beforeAutospacing="1" w:after="100" w:afterAutospacing="1" w:line="120" w:lineRule="atLeast"/>
      <w:jc w:val="center"/>
    </w:pPr>
    <w:rPr>
      <w:rFonts w:ascii="Times New Roman" w:hAnsi="Times New Roman" w:cs="Times New Roman"/>
      <w:b/>
      <w:bCs/>
      <w:sz w:val="24"/>
      <w:szCs w:val="24"/>
    </w:rPr>
  </w:style>
  <w:style w:type="paragraph" w:customStyle="1" w:styleId="xl104">
    <w:name w:val="xl104"/>
    <w:basedOn w:val="Normal"/>
    <w:rsid w:val="0015270F"/>
    <w:pPr>
      <w:pBdr>
        <w:left w:val="single" w:sz="4" w:space="0" w:color="auto"/>
        <w:bottom w:val="double" w:sz="6" w:space="0" w:color="auto"/>
      </w:pBdr>
      <w:spacing w:before="100" w:beforeAutospacing="1" w:after="100" w:afterAutospacing="1" w:line="120" w:lineRule="atLeast"/>
      <w:jc w:val="center"/>
      <w:textAlignment w:val="center"/>
    </w:pPr>
    <w:rPr>
      <w:rFonts w:ascii="Times New Roman" w:hAnsi="Times New Roman" w:cs="Times New Roman"/>
      <w:b/>
      <w:bCs/>
      <w:sz w:val="24"/>
      <w:szCs w:val="24"/>
    </w:rPr>
  </w:style>
  <w:style w:type="paragraph" w:customStyle="1" w:styleId="xl105">
    <w:name w:val="xl105"/>
    <w:basedOn w:val="Normal"/>
    <w:rsid w:val="0015270F"/>
    <w:pPr>
      <w:pBdr>
        <w:left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106">
    <w:name w:val="xl106"/>
    <w:basedOn w:val="Normal"/>
    <w:rsid w:val="0015270F"/>
    <w:pPr>
      <w:pBdr>
        <w:left w:val="single" w:sz="4" w:space="0" w:color="auto"/>
        <w:bottom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107">
    <w:name w:val="xl107"/>
    <w:basedOn w:val="Normal"/>
    <w:rsid w:val="0015270F"/>
    <w:pPr>
      <w:pBdr>
        <w:left w:val="single" w:sz="4" w:space="0" w:color="auto"/>
        <w:bottom w:val="single" w:sz="4" w:space="0" w:color="auto"/>
        <w:right w:val="single" w:sz="4" w:space="0" w:color="auto"/>
      </w:pBdr>
      <w:spacing w:before="100" w:beforeAutospacing="1" w:after="100" w:afterAutospacing="1" w:line="120" w:lineRule="atLeast"/>
      <w:jc w:val="center"/>
    </w:pPr>
    <w:rPr>
      <w:rFonts w:ascii="Times New Roman" w:hAnsi="Times New Roman" w:cs="Times New Roman"/>
      <w:sz w:val="24"/>
      <w:szCs w:val="24"/>
    </w:rPr>
  </w:style>
  <w:style w:type="paragraph" w:customStyle="1" w:styleId="xl108">
    <w:name w:val="xl108"/>
    <w:basedOn w:val="Normal"/>
    <w:rsid w:val="0015270F"/>
    <w:pPr>
      <w:pBdr>
        <w:top w:val="single" w:sz="4" w:space="0" w:color="auto"/>
        <w:right w:val="single" w:sz="4" w:space="0" w:color="auto"/>
      </w:pBdr>
      <w:spacing w:before="100" w:beforeAutospacing="1" w:after="100" w:afterAutospacing="1" w:line="120" w:lineRule="atLeast"/>
      <w:jc w:val="center"/>
    </w:pPr>
    <w:rPr>
      <w:rFonts w:ascii="Times New Roman" w:hAnsi="Times New Roman" w:cs="Times New Roman"/>
      <w:b/>
      <w:bCs/>
      <w:sz w:val="24"/>
      <w:szCs w:val="24"/>
    </w:rPr>
  </w:style>
  <w:style w:type="paragraph" w:customStyle="1" w:styleId="xl109">
    <w:name w:val="xl109"/>
    <w:basedOn w:val="Normal"/>
    <w:rsid w:val="0015270F"/>
    <w:pPr>
      <w:pBdr>
        <w:top w:val="single" w:sz="4" w:space="0" w:color="auto"/>
        <w:left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cs="Times New Roman"/>
      <w:b/>
      <w:bCs/>
      <w:sz w:val="24"/>
      <w:szCs w:val="24"/>
    </w:rPr>
  </w:style>
  <w:style w:type="paragraph" w:customStyle="1" w:styleId="xl110">
    <w:name w:val="xl110"/>
    <w:basedOn w:val="Normal"/>
    <w:rsid w:val="0015270F"/>
    <w:pPr>
      <w:pBdr>
        <w:left w:val="single" w:sz="4" w:space="0" w:color="auto"/>
        <w:bottom w:val="double" w:sz="6" w:space="0" w:color="auto"/>
        <w:right w:val="single" w:sz="4" w:space="0" w:color="auto"/>
      </w:pBdr>
      <w:spacing w:before="100" w:beforeAutospacing="1" w:after="100" w:afterAutospacing="1" w:line="120" w:lineRule="atLeast"/>
      <w:jc w:val="center"/>
      <w:textAlignment w:val="center"/>
    </w:pPr>
    <w:rPr>
      <w:rFonts w:ascii="Times New Roman" w:hAnsi="Times New Roman" w:cs="Times New Roman"/>
      <w:b/>
      <w:bCs/>
      <w:sz w:val="24"/>
      <w:szCs w:val="24"/>
    </w:rPr>
  </w:style>
  <w:style w:type="paragraph" w:customStyle="1" w:styleId="xl111">
    <w:name w:val="xl111"/>
    <w:basedOn w:val="Normal"/>
    <w:rsid w:val="0015270F"/>
    <w:pPr>
      <w:pBdr>
        <w:left w:val="single" w:sz="4" w:space="0" w:color="auto"/>
      </w:pBdr>
      <w:spacing w:before="100" w:beforeAutospacing="1" w:after="100" w:afterAutospacing="1" w:line="120" w:lineRule="atLeast"/>
      <w:jc w:val="center"/>
      <w:textAlignment w:val="center"/>
    </w:pPr>
    <w:rPr>
      <w:rFonts w:ascii="Times New Roman" w:hAnsi="Times New Roman" w:cs="Times New Roman"/>
      <w:b/>
      <w:bCs/>
      <w:sz w:val="24"/>
      <w:szCs w:val="24"/>
    </w:rPr>
  </w:style>
  <w:style w:type="paragraph" w:customStyle="1" w:styleId="xl112">
    <w:name w:val="xl112"/>
    <w:basedOn w:val="Normal"/>
    <w:rsid w:val="0015270F"/>
    <w:pPr>
      <w:pBdr>
        <w:left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113">
    <w:name w:val="xl113"/>
    <w:basedOn w:val="Normal"/>
    <w:rsid w:val="0015270F"/>
    <w:pPr>
      <w:pBdr>
        <w:left w:val="single" w:sz="4" w:space="0" w:color="auto"/>
        <w:bottom w:val="single" w:sz="4" w:space="0" w:color="auto"/>
      </w:pBdr>
      <w:spacing w:before="100" w:beforeAutospacing="1" w:after="100" w:afterAutospacing="1" w:line="120" w:lineRule="atLeast"/>
      <w:jc w:val="center"/>
      <w:textAlignment w:val="center"/>
    </w:pPr>
    <w:rPr>
      <w:rFonts w:ascii="Times New Roman" w:hAnsi="Times New Roman" w:cs="Times New Roman"/>
      <w:b/>
      <w:bCs/>
      <w:sz w:val="24"/>
      <w:szCs w:val="24"/>
    </w:rPr>
  </w:style>
  <w:style w:type="paragraph" w:customStyle="1" w:styleId="xl114">
    <w:name w:val="xl114"/>
    <w:basedOn w:val="Normal"/>
    <w:rsid w:val="0015270F"/>
    <w:pPr>
      <w:pBdr>
        <w:left w:val="single" w:sz="4" w:space="0" w:color="auto"/>
        <w:bottom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115">
    <w:name w:val="xl115"/>
    <w:basedOn w:val="Normal"/>
    <w:rsid w:val="0015270F"/>
    <w:pPr>
      <w:pBdr>
        <w:top w:val="single" w:sz="4" w:space="0" w:color="auto"/>
        <w:left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116">
    <w:name w:val="xl116"/>
    <w:basedOn w:val="Normal"/>
    <w:rsid w:val="0015270F"/>
    <w:pPr>
      <w:pBdr>
        <w:left w:val="single" w:sz="4" w:space="0" w:color="auto"/>
        <w:bottom w:val="double" w:sz="6" w:space="0" w:color="auto"/>
        <w:right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117">
    <w:name w:val="xl117"/>
    <w:basedOn w:val="Normal"/>
    <w:rsid w:val="0015270F"/>
    <w:pPr>
      <w:pBdr>
        <w:top w:val="single" w:sz="4" w:space="0" w:color="auto"/>
        <w:left w:val="single" w:sz="4" w:space="0" w:color="auto"/>
      </w:pBdr>
      <w:spacing w:before="100" w:beforeAutospacing="1" w:after="100" w:afterAutospacing="1" w:line="120" w:lineRule="atLeast"/>
      <w:jc w:val="center"/>
    </w:pPr>
    <w:rPr>
      <w:rFonts w:ascii="Times New Roman" w:hAnsi="Times New Roman" w:cs="Times New Roman"/>
      <w:b/>
      <w:bCs/>
      <w:sz w:val="24"/>
      <w:szCs w:val="24"/>
    </w:rPr>
  </w:style>
  <w:style w:type="numbering" w:customStyle="1" w:styleId="Style5">
    <w:name w:val="Style5"/>
    <w:uiPriority w:val="99"/>
    <w:rsid w:val="0015270F"/>
    <w:pPr>
      <w:numPr>
        <w:numId w:val="8"/>
      </w:numPr>
    </w:pPr>
  </w:style>
  <w:style w:type="paragraph" w:styleId="EndnoteText">
    <w:name w:val="endnote text"/>
    <w:basedOn w:val="Normal"/>
    <w:link w:val="EndnoteTextChar"/>
    <w:uiPriority w:val="99"/>
    <w:semiHidden/>
    <w:unhideWhenUsed/>
    <w:rsid w:val="00C97CC0"/>
    <w:pPr>
      <w:spacing w:before="0" w:after="0"/>
    </w:pPr>
    <w:rPr>
      <w:sz w:val="20"/>
      <w:szCs w:val="20"/>
    </w:rPr>
  </w:style>
  <w:style w:type="character" w:customStyle="1" w:styleId="EndnoteTextChar">
    <w:name w:val="Endnote Text Char"/>
    <w:basedOn w:val="DefaultParagraphFont"/>
    <w:link w:val="EndnoteText"/>
    <w:uiPriority w:val="99"/>
    <w:semiHidden/>
    <w:rsid w:val="00C97CC0"/>
    <w:rPr>
      <w:rFonts w:asciiTheme="minorHAnsi" w:hAnsiTheme="minorHAnsi" w:cstheme="minorHAnsi"/>
    </w:rPr>
  </w:style>
  <w:style w:type="character" w:styleId="EndnoteReference">
    <w:name w:val="endnote reference"/>
    <w:basedOn w:val="DefaultParagraphFont"/>
    <w:uiPriority w:val="99"/>
    <w:semiHidden/>
    <w:unhideWhenUsed/>
    <w:rsid w:val="00C97CC0"/>
    <w:rPr>
      <w:vertAlign w:val="superscript"/>
    </w:rPr>
  </w:style>
  <w:style w:type="character" w:customStyle="1" w:styleId="DocumentMapChar">
    <w:name w:val="Document Map Char"/>
    <w:basedOn w:val="DefaultParagraphFont"/>
    <w:link w:val="DocumentMap"/>
    <w:semiHidden/>
    <w:rsid w:val="004B2104"/>
    <w:rPr>
      <w:rFonts w:ascii="Tahoma" w:hAnsi="Tahoma" w:cs="Tahoma"/>
      <w:shd w:val="clear" w:color="auto" w:fill="000080"/>
    </w:rPr>
  </w:style>
  <w:style w:type="character" w:customStyle="1" w:styleId="A1">
    <w:name w:val="A1"/>
    <w:uiPriority w:val="99"/>
    <w:rsid w:val="008E03E9"/>
    <w:rPr>
      <w:rFonts w:cs="Myriad Pro"/>
      <w:color w:val="211D1E"/>
      <w:sz w:val="18"/>
      <w:szCs w:val="18"/>
    </w:rPr>
  </w:style>
  <w:style w:type="character" w:customStyle="1" w:styleId="A2">
    <w:name w:val="A2"/>
    <w:uiPriority w:val="99"/>
    <w:rsid w:val="008E03E9"/>
    <w:rPr>
      <w:rFonts w:cs="Myriad Pro"/>
      <w:color w:val="211D1E"/>
      <w:sz w:val="11"/>
      <w:szCs w:val="11"/>
    </w:rPr>
  </w:style>
  <w:style w:type="table" w:styleId="LightShading-Accent5">
    <w:name w:val="Light Shading Accent 5"/>
    <w:basedOn w:val="TableNormal"/>
    <w:uiPriority w:val="60"/>
    <w:rsid w:val="00271DA2"/>
    <w:rPr>
      <w:rFonts w:asciiTheme="minorHAnsi" w:eastAsiaTheme="minorHAnsi" w:hAnsiTheme="minorHAnsi" w:cstheme="minorBidi"/>
      <w:color w:val="31849B" w:themeColor="accent5" w:themeShade="BF"/>
      <w:sz w:val="22"/>
      <w:szCs w:val="22"/>
      <w:lang w:eastAsia="en-US"/>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List-Accent5">
    <w:name w:val="Light List Accent 5"/>
    <w:basedOn w:val="TableNormal"/>
    <w:uiPriority w:val="61"/>
    <w:rsid w:val="008B1CCF"/>
    <w:rPr>
      <w:rFonts w:asciiTheme="minorHAnsi" w:eastAsiaTheme="minorHAnsi" w:hAnsiTheme="minorHAnsi" w:cstheme="minorBidi"/>
      <w:sz w:val="22"/>
      <w:szCs w:val="22"/>
      <w:lang w:eastAsia="en-US"/>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Shading">
    <w:name w:val="Light Shading"/>
    <w:basedOn w:val="TableNormal"/>
    <w:uiPriority w:val="60"/>
    <w:rsid w:val="006B5CE6"/>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MediumList1-Accent5">
    <w:name w:val="Medium List 1 Accent 5"/>
    <w:basedOn w:val="TableNormal"/>
    <w:uiPriority w:val="65"/>
    <w:rsid w:val="009B30A6"/>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Shading1-Accent5">
    <w:name w:val="Medium Shading 1 Accent 5"/>
    <w:basedOn w:val="TableNormal"/>
    <w:uiPriority w:val="63"/>
    <w:rsid w:val="00855A5C"/>
    <w:rPr>
      <w:rFonts w:asciiTheme="minorHAnsi" w:eastAsiaTheme="minorHAnsi" w:hAnsiTheme="minorHAnsi" w:cstheme="minorBidi"/>
      <w:sz w:val="22"/>
      <w:szCs w:val="22"/>
      <w:lang w:eastAsia="en-US"/>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character" w:customStyle="1" w:styleId="A16">
    <w:name w:val="A16"/>
    <w:uiPriority w:val="99"/>
    <w:rsid w:val="00CF3853"/>
    <w:rPr>
      <w:rFonts w:ascii="Myriad Pro" w:hAnsi="Myriad Pro" w:cs="Myriad Pro"/>
      <w:color w:val="221E1F"/>
      <w:sz w:val="14"/>
      <w:szCs w:val="14"/>
    </w:rPr>
  </w:style>
  <w:style w:type="character" w:customStyle="1" w:styleId="A17">
    <w:name w:val="A17"/>
    <w:uiPriority w:val="99"/>
    <w:rsid w:val="00CF3853"/>
    <w:rPr>
      <w:rFonts w:ascii="Myriad Pro" w:hAnsi="Myriad Pro" w:cs="Myriad Pro"/>
      <w:color w:val="221E1F"/>
      <w:sz w:val="9"/>
      <w:szCs w:val="9"/>
    </w:rPr>
  </w:style>
  <w:style w:type="paragraph" w:styleId="Bibliography">
    <w:name w:val="Bibliography"/>
    <w:basedOn w:val="Normal"/>
    <w:next w:val="Normal"/>
    <w:uiPriority w:val="37"/>
    <w:unhideWhenUsed/>
    <w:rsid w:val="009919D4"/>
    <w:pPr>
      <w:spacing w:after="0"/>
      <w:ind w:left="720" w:hanging="720"/>
    </w:pPr>
  </w:style>
  <w:style w:type="paragraph" w:customStyle="1" w:styleId="BasicParagraph">
    <w:name w:val="[Basic Paragraph]"/>
    <w:basedOn w:val="Normal"/>
    <w:uiPriority w:val="99"/>
    <w:rsid w:val="006427BE"/>
    <w:pPr>
      <w:autoSpaceDE w:val="0"/>
      <w:autoSpaceDN w:val="0"/>
      <w:adjustRightInd w:val="0"/>
      <w:spacing w:before="0" w:after="120" w:line="288" w:lineRule="auto"/>
      <w:jc w:val="left"/>
    </w:pPr>
    <w:rPr>
      <w:rFonts w:ascii="Times New Roman" w:eastAsiaTheme="minorHAnsi" w:hAnsi="Times New Roman" w:cs="Times New Roman"/>
      <w:color w:val="000000"/>
      <w:sz w:val="24"/>
      <w:szCs w:val="24"/>
      <w:lang w:val="en-GB"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Date" w:uiPriority="0"/>
    <w:lsdException w:name="Body Text 2" w:qFormat="1"/>
    <w:lsdException w:name="Body Text 3" w:uiPriority="0"/>
    <w:lsdException w:name="Block Text" w:uiPriority="0"/>
    <w:lsdException w:name="Strong" w:semiHidden="0" w:uiPriority="22" w:unhideWhenUsed="0" w:qFormat="1"/>
    <w:lsdException w:name="Emphasis" w:semiHidden="0" w:uiPriority="20" w:unhideWhenUsed="0" w:qFormat="1"/>
    <w:lsdException w:name="Document Map" w:uiPriority="0"/>
    <w:lsdException w:name="Table Classic 1"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liases w:val="Body text"/>
    <w:qFormat/>
    <w:rsid w:val="00E079CE"/>
    <w:pPr>
      <w:spacing w:before="120" w:after="240"/>
      <w:jc w:val="both"/>
    </w:pPr>
    <w:rPr>
      <w:rFonts w:asciiTheme="minorHAnsi" w:hAnsiTheme="minorHAnsi" w:cstheme="minorHAnsi"/>
      <w:sz w:val="22"/>
      <w:szCs w:val="22"/>
    </w:rPr>
  </w:style>
  <w:style w:type="paragraph" w:styleId="Heading1">
    <w:name w:val="heading 1"/>
    <w:basedOn w:val="Normal"/>
    <w:next w:val="Normal"/>
    <w:link w:val="Heading1Char"/>
    <w:qFormat/>
    <w:rsid w:val="00C12BFC"/>
    <w:pPr>
      <w:keepNext/>
      <w:pageBreakBefore/>
      <w:spacing w:after="120"/>
      <w:outlineLvl w:val="0"/>
    </w:pPr>
    <w:rPr>
      <w:b/>
      <w:bCs/>
      <w:caps/>
      <w:kern w:val="32"/>
      <w:sz w:val="32"/>
      <w:szCs w:val="32"/>
    </w:rPr>
  </w:style>
  <w:style w:type="paragraph" w:styleId="Heading2">
    <w:name w:val="heading 2"/>
    <w:aliases w:val="2nd Level Heading"/>
    <w:basedOn w:val="Normal"/>
    <w:next w:val="Normal"/>
    <w:link w:val="Heading2Char"/>
    <w:qFormat/>
    <w:rsid w:val="007557A2"/>
    <w:pPr>
      <w:numPr>
        <w:ilvl w:val="2"/>
        <w:numId w:val="3"/>
      </w:numPr>
      <w:spacing w:before="240"/>
      <w:outlineLvl w:val="1"/>
    </w:pPr>
    <w:rPr>
      <w:b/>
      <w:sz w:val="24"/>
    </w:rPr>
  </w:style>
  <w:style w:type="paragraph" w:styleId="Heading3">
    <w:name w:val="heading 3"/>
    <w:aliases w:val="3rd Level Heading"/>
    <w:basedOn w:val="Normal"/>
    <w:next w:val="Normal"/>
    <w:link w:val="Heading3Char"/>
    <w:qFormat/>
    <w:rsid w:val="0015270F"/>
    <w:pPr>
      <w:numPr>
        <w:numId w:val="9"/>
      </w:numPr>
      <w:spacing w:before="240"/>
      <w:outlineLvl w:val="2"/>
    </w:pPr>
    <w:rPr>
      <w:b/>
    </w:rPr>
  </w:style>
  <w:style w:type="paragraph" w:styleId="Heading4">
    <w:name w:val="heading 4"/>
    <w:aliases w:val="4th Level Heading"/>
    <w:basedOn w:val="Normal"/>
    <w:next w:val="Normal"/>
    <w:link w:val="Heading4Char"/>
    <w:uiPriority w:val="9"/>
    <w:qFormat/>
    <w:rsid w:val="00FC280D"/>
    <w:pPr>
      <w:outlineLvl w:val="3"/>
    </w:pPr>
    <w:rPr>
      <w:b/>
      <w:i/>
    </w:rPr>
  </w:style>
  <w:style w:type="paragraph" w:styleId="Heading5">
    <w:name w:val="heading 5"/>
    <w:basedOn w:val="Normal"/>
    <w:next w:val="Normal"/>
    <w:link w:val="Heading5Char"/>
    <w:uiPriority w:val="9"/>
    <w:unhideWhenUsed/>
    <w:qFormat/>
    <w:rsid w:val="008D3A01"/>
    <w:pPr>
      <w:keepNext/>
      <w:keepLines/>
      <w:spacing w:before="200" w:line="276" w:lineRule="auto"/>
      <w:ind w:left="1008" w:hanging="1008"/>
      <w:jc w:val="left"/>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5E0A0B"/>
    <w:pPr>
      <w:spacing w:after="0" w:line="276" w:lineRule="auto"/>
      <w:jc w:val="left"/>
      <w:outlineLvl w:val="5"/>
    </w:pPr>
    <w:rPr>
      <w:rFonts w:eastAsiaTheme="minorEastAsia" w:cstheme="minorBidi"/>
      <w:smallCaps/>
      <w:color w:val="C0504D" w:themeColor="accent2"/>
      <w:spacing w:val="5"/>
      <w:szCs w:val="20"/>
      <w:lang w:eastAsia="en-US"/>
    </w:rPr>
  </w:style>
  <w:style w:type="paragraph" w:styleId="Heading7">
    <w:name w:val="heading 7"/>
    <w:basedOn w:val="Normal"/>
    <w:next w:val="Normal"/>
    <w:link w:val="Heading7Char"/>
    <w:uiPriority w:val="9"/>
    <w:semiHidden/>
    <w:unhideWhenUsed/>
    <w:qFormat/>
    <w:rsid w:val="005E0A0B"/>
    <w:pPr>
      <w:spacing w:after="0" w:line="276" w:lineRule="auto"/>
      <w:jc w:val="left"/>
      <w:outlineLvl w:val="6"/>
    </w:pPr>
    <w:rPr>
      <w:rFonts w:eastAsiaTheme="minorEastAsia" w:cstheme="minorBidi"/>
      <w:b/>
      <w:smallCaps/>
      <w:color w:val="C0504D" w:themeColor="accent2"/>
      <w:spacing w:val="10"/>
      <w:szCs w:val="20"/>
      <w:lang w:eastAsia="en-US"/>
    </w:rPr>
  </w:style>
  <w:style w:type="paragraph" w:styleId="Heading8">
    <w:name w:val="heading 8"/>
    <w:basedOn w:val="Normal"/>
    <w:next w:val="Normal"/>
    <w:link w:val="Heading8Char"/>
    <w:uiPriority w:val="9"/>
    <w:semiHidden/>
    <w:unhideWhenUsed/>
    <w:qFormat/>
    <w:rsid w:val="005E0A0B"/>
    <w:pPr>
      <w:spacing w:after="0" w:line="276" w:lineRule="auto"/>
      <w:jc w:val="left"/>
      <w:outlineLvl w:val="7"/>
    </w:pPr>
    <w:rPr>
      <w:rFonts w:eastAsiaTheme="minorEastAsia" w:cstheme="minorBidi"/>
      <w:b/>
      <w:i/>
      <w:smallCaps/>
      <w:color w:val="943634" w:themeColor="accent2" w:themeShade="BF"/>
      <w:szCs w:val="20"/>
      <w:lang w:eastAsia="en-US"/>
    </w:rPr>
  </w:style>
  <w:style w:type="paragraph" w:styleId="Heading9">
    <w:name w:val="heading 9"/>
    <w:basedOn w:val="Normal"/>
    <w:next w:val="Normal"/>
    <w:link w:val="Heading9Char"/>
    <w:uiPriority w:val="9"/>
    <w:semiHidden/>
    <w:unhideWhenUsed/>
    <w:qFormat/>
    <w:rsid w:val="005E0A0B"/>
    <w:pPr>
      <w:spacing w:after="0" w:line="276" w:lineRule="auto"/>
      <w:jc w:val="left"/>
      <w:outlineLvl w:val="8"/>
    </w:pPr>
    <w:rPr>
      <w:rFonts w:eastAsiaTheme="minorEastAsia" w:cstheme="minorBidi"/>
      <w:b/>
      <w:i/>
      <w:smallCaps/>
      <w:color w:val="622423" w:themeColor="accent2" w:themeShade="7F"/>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1">
    <w:name w:val="Style1"/>
    <w:basedOn w:val="Normal"/>
    <w:semiHidden/>
    <w:rsid w:val="001D6A77"/>
    <w:rPr>
      <w:b/>
      <w:caps/>
    </w:rPr>
  </w:style>
  <w:style w:type="paragraph" w:customStyle="1" w:styleId="Style2">
    <w:name w:val="Style2"/>
    <w:basedOn w:val="Normal"/>
    <w:semiHidden/>
    <w:rsid w:val="00C50003"/>
    <w:pPr>
      <w:spacing w:after="120"/>
    </w:pPr>
    <w:rPr>
      <w:b/>
    </w:rPr>
  </w:style>
  <w:style w:type="paragraph" w:customStyle="1" w:styleId="Style3">
    <w:name w:val="Style3"/>
    <w:basedOn w:val="BodyText"/>
    <w:semiHidden/>
    <w:rsid w:val="00C50003"/>
    <w:rPr>
      <w:szCs w:val="20"/>
      <w:lang w:eastAsia="en-US"/>
    </w:rPr>
  </w:style>
  <w:style w:type="paragraph" w:styleId="BodyText">
    <w:name w:val="Body Text"/>
    <w:basedOn w:val="Normal"/>
    <w:link w:val="BodyTextChar"/>
    <w:rsid w:val="00AA33F4"/>
    <w:pPr>
      <w:spacing w:after="120"/>
    </w:pPr>
  </w:style>
  <w:style w:type="paragraph" w:customStyle="1" w:styleId="Style4">
    <w:name w:val="Style4"/>
    <w:basedOn w:val="BodyText"/>
    <w:semiHidden/>
    <w:rsid w:val="00D656CA"/>
    <w:pPr>
      <w:spacing w:after="0"/>
    </w:pPr>
    <w:rPr>
      <w:i/>
      <w:szCs w:val="20"/>
      <w:lang w:eastAsia="en-US"/>
    </w:rPr>
  </w:style>
  <w:style w:type="paragraph" w:styleId="Header">
    <w:name w:val="header"/>
    <w:basedOn w:val="Normal"/>
    <w:link w:val="HeaderChar"/>
    <w:uiPriority w:val="99"/>
    <w:rsid w:val="0024505B"/>
    <w:pPr>
      <w:tabs>
        <w:tab w:val="center" w:pos="4320"/>
        <w:tab w:val="right" w:pos="8640"/>
      </w:tabs>
    </w:pPr>
  </w:style>
  <w:style w:type="paragraph" w:styleId="Footer">
    <w:name w:val="footer"/>
    <w:basedOn w:val="Normal"/>
    <w:link w:val="FooterChar"/>
    <w:uiPriority w:val="99"/>
    <w:rsid w:val="0024505B"/>
    <w:pPr>
      <w:tabs>
        <w:tab w:val="center" w:pos="4320"/>
        <w:tab w:val="right" w:pos="8640"/>
      </w:tabs>
    </w:pPr>
  </w:style>
  <w:style w:type="character" w:styleId="PageNumber">
    <w:name w:val="page number"/>
    <w:basedOn w:val="DefaultParagraphFont"/>
    <w:rsid w:val="0024505B"/>
  </w:style>
  <w:style w:type="paragraph" w:customStyle="1" w:styleId="Default">
    <w:name w:val="Default"/>
    <w:rsid w:val="00F858FE"/>
    <w:pPr>
      <w:autoSpaceDE w:val="0"/>
      <w:autoSpaceDN w:val="0"/>
      <w:adjustRightInd w:val="0"/>
    </w:pPr>
    <w:rPr>
      <w:color w:val="000000"/>
      <w:sz w:val="24"/>
      <w:szCs w:val="24"/>
      <w:lang w:val="en-US" w:eastAsia="en-US"/>
    </w:rPr>
  </w:style>
  <w:style w:type="paragraph" w:styleId="Title">
    <w:name w:val="Title"/>
    <w:basedOn w:val="Default"/>
    <w:next w:val="Default"/>
    <w:link w:val="TitleChar"/>
    <w:uiPriority w:val="10"/>
    <w:qFormat/>
    <w:rsid w:val="00F858FE"/>
    <w:rPr>
      <w:color w:val="auto"/>
    </w:rPr>
  </w:style>
  <w:style w:type="paragraph" w:styleId="Subtitle">
    <w:name w:val="Subtitle"/>
    <w:basedOn w:val="Default"/>
    <w:next w:val="Default"/>
    <w:link w:val="SubtitleChar"/>
    <w:uiPriority w:val="11"/>
    <w:qFormat/>
    <w:rsid w:val="00F858FE"/>
    <w:rPr>
      <w:color w:val="auto"/>
    </w:rPr>
  </w:style>
  <w:style w:type="character" w:styleId="CommentReference">
    <w:name w:val="annotation reference"/>
    <w:basedOn w:val="DefaultParagraphFont"/>
    <w:uiPriority w:val="99"/>
    <w:rsid w:val="005B0BB8"/>
    <w:rPr>
      <w:sz w:val="16"/>
      <w:szCs w:val="16"/>
    </w:rPr>
  </w:style>
  <w:style w:type="paragraph" w:styleId="CommentText">
    <w:name w:val="annotation text"/>
    <w:basedOn w:val="Normal"/>
    <w:link w:val="CommentTextChar"/>
    <w:uiPriority w:val="99"/>
    <w:rsid w:val="005B0BB8"/>
    <w:rPr>
      <w:sz w:val="20"/>
      <w:szCs w:val="20"/>
    </w:rPr>
  </w:style>
  <w:style w:type="paragraph" w:styleId="CommentSubject">
    <w:name w:val="annotation subject"/>
    <w:basedOn w:val="CommentText"/>
    <w:next w:val="CommentText"/>
    <w:link w:val="CommentSubjectChar"/>
    <w:uiPriority w:val="99"/>
    <w:semiHidden/>
    <w:rsid w:val="005B0BB8"/>
    <w:rPr>
      <w:b/>
      <w:bCs/>
    </w:rPr>
  </w:style>
  <w:style w:type="paragraph" w:styleId="BalloonText">
    <w:name w:val="Balloon Text"/>
    <w:basedOn w:val="Normal"/>
    <w:link w:val="BalloonTextChar"/>
    <w:uiPriority w:val="99"/>
    <w:semiHidden/>
    <w:rsid w:val="005B0BB8"/>
    <w:rPr>
      <w:rFonts w:ascii="Tahoma" w:hAnsi="Tahoma" w:cs="Tahoma"/>
      <w:sz w:val="16"/>
      <w:szCs w:val="16"/>
    </w:rPr>
  </w:style>
  <w:style w:type="paragraph" w:styleId="DocumentMap">
    <w:name w:val="Document Map"/>
    <w:basedOn w:val="Normal"/>
    <w:link w:val="DocumentMapChar"/>
    <w:semiHidden/>
    <w:rsid w:val="00F375E5"/>
    <w:pPr>
      <w:shd w:val="clear" w:color="auto" w:fill="000080"/>
    </w:pPr>
    <w:rPr>
      <w:rFonts w:ascii="Tahoma" w:hAnsi="Tahoma" w:cs="Tahoma"/>
      <w:sz w:val="20"/>
      <w:szCs w:val="20"/>
    </w:rPr>
  </w:style>
  <w:style w:type="paragraph" w:customStyle="1" w:styleId="tableandfigureheader">
    <w:name w:val="table and figure header"/>
    <w:basedOn w:val="Title"/>
    <w:link w:val="tableandfigureheaderChar"/>
    <w:semiHidden/>
    <w:rsid w:val="00AA33F4"/>
    <w:pPr>
      <w:autoSpaceDE/>
      <w:autoSpaceDN/>
      <w:adjustRightInd/>
      <w:jc w:val="both"/>
    </w:pPr>
    <w:rPr>
      <w:bCs/>
      <w:sz w:val="20"/>
      <w:szCs w:val="20"/>
      <w:lang w:val="en-AU"/>
    </w:rPr>
  </w:style>
  <w:style w:type="character" w:customStyle="1" w:styleId="tableandfigureheaderChar">
    <w:name w:val="table and figure header Char"/>
    <w:basedOn w:val="DefaultParagraphFont"/>
    <w:link w:val="tableandfigureheader"/>
    <w:rsid w:val="00AA33F4"/>
    <w:rPr>
      <w:bCs/>
      <w:lang w:val="en-AU" w:eastAsia="en-US" w:bidi="ar-SA"/>
    </w:rPr>
  </w:style>
  <w:style w:type="paragraph" w:styleId="BodyText2">
    <w:name w:val="Body Text 2"/>
    <w:basedOn w:val="Normal"/>
    <w:link w:val="BodyText2Char"/>
    <w:uiPriority w:val="99"/>
    <w:qFormat/>
    <w:rsid w:val="00FD4D1A"/>
    <w:pPr>
      <w:spacing w:after="120" w:line="480" w:lineRule="auto"/>
    </w:pPr>
  </w:style>
  <w:style w:type="character" w:styleId="Hyperlink">
    <w:name w:val="Hyperlink"/>
    <w:basedOn w:val="DefaultParagraphFont"/>
    <w:uiPriority w:val="99"/>
    <w:rsid w:val="00FD4D1A"/>
    <w:rPr>
      <w:color w:val="0000FF"/>
      <w:u w:val="single"/>
    </w:rPr>
  </w:style>
  <w:style w:type="paragraph" w:styleId="TOC1">
    <w:name w:val="toc 1"/>
    <w:basedOn w:val="Normal"/>
    <w:next w:val="Normal"/>
    <w:autoRedefine/>
    <w:uiPriority w:val="39"/>
    <w:qFormat/>
    <w:rsid w:val="00494795"/>
    <w:pPr>
      <w:tabs>
        <w:tab w:val="left" w:pos="440"/>
        <w:tab w:val="right" w:leader="dot" w:pos="9563"/>
      </w:tabs>
      <w:spacing w:before="40" w:after="0"/>
      <w:jc w:val="left"/>
    </w:pPr>
    <w:rPr>
      <w:rFonts w:asciiTheme="majorHAnsi" w:hAnsiTheme="majorHAnsi"/>
      <w:b/>
      <w:bCs/>
      <w:caps/>
      <w:sz w:val="24"/>
      <w:szCs w:val="24"/>
    </w:rPr>
  </w:style>
  <w:style w:type="paragraph" w:styleId="TOC2">
    <w:name w:val="toc 2"/>
    <w:basedOn w:val="Normal"/>
    <w:next w:val="Normal"/>
    <w:autoRedefine/>
    <w:uiPriority w:val="39"/>
    <w:qFormat/>
    <w:rsid w:val="00494795"/>
    <w:pPr>
      <w:tabs>
        <w:tab w:val="left" w:pos="660"/>
        <w:tab w:val="right" w:leader="dot" w:pos="9563"/>
      </w:tabs>
      <w:spacing w:before="0" w:after="0"/>
      <w:jc w:val="left"/>
    </w:pPr>
    <w:rPr>
      <w:b/>
      <w:bCs/>
      <w:sz w:val="20"/>
      <w:szCs w:val="20"/>
    </w:rPr>
  </w:style>
  <w:style w:type="paragraph" w:styleId="TOC3">
    <w:name w:val="toc 3"/>
    <w:basedOn w:val="Normal"/>
    <w:next w:val="Normal"/>
    <w:autoRedefine/>
    <w:uiPriority w:val="39"/>
    <w:qFormat/>
    <w:rsid w:val="001758C6"/>
    <w:pPr>
      <w:spacing w:before="0" w:after="0"/>
      <w:ind w:left="220"/>
      <w:jc w:val="left"/>
    </w:pPr>
    <w:rPr>
      <w:sz w:val="20"/>
      <w:szCs w:val="20"/>
    </w:rPr>
  </w:style>
  <w:style w:type="paragraph" w:styleId="HTMLPreformatted">
    <w:name w:val="HTML Preformatted"/>
    <w:basedOn w:val="Normal"/>
    <w:link w:val="HTMLPreformattedChar"/>
    <w:uiPriority w:val="99"/>
    <w:rsid w:val="005E35E6"/>
    <w:rPr>
      <w:rFonts w:ascii="Courier New" w:hAnsi="Courier New" w:cs="Courier New"/>
      <w:sz w:val="20"/>
      <w:szCs w:val="20"/>
    </w:rPr>
  </w:style>
  <w:style w:type="character" w:customStyle="1" w:styleId="SubtitleChar">
    <w:name w:val="Subtitle Char"/>
    <w:basedOn w:val="DefaultParagraphFont"/>
    <w:link w:val="Subtitle"/>
    <w:uiPriority w:val="11"/>
    <w:rsid w:val="00CA7E84"/>
    <w:rPr>
      <w:sz w:val="24"/>
      <w:szCs w:val="24"/>
      <w:lang w:val="en-US" w:eastAsia="en-US" w:bidi="ar-SA"/>
    </w:rPr>
  </w:style>
  <w:style w:type="paragraph" w:styleId="TOC4">
    <w:name w:val="toc 4"/>
    <w:basedOn w:val="Normal"/>
    <w:next w:val="Normal"/>
    <w:autoRedefine/>
    <w:uiPriority w:val="39"/>
    <w:rsid w:val="00BD14A0"/>
    <w:pPr>
      <w:spacing w:before="0" w:after="0"/>
      <w:ind w:left="440"/>
      <w:jc w:val="left"/>
    </w:pPr>
    <w:rPr>
      <w:sz w:val="20"/>
      <w:szCs w:val="20"/>
    </w:rPr>
  </w:style>
  <w:style w:type="paragraph" w:customStyle="1" w:styleId="Titleheading">
    <w:name w:val="Title heading"/>
    <w:basedOn w:val="Normal"/>
    <w:rsid w:val="00A22ACE"/>
    <w:rPr>
      <w:rFonts w:ascii="Arial" w:hAnsi="Arial"/>
      <w:b/>
      <w:color w:val="47CCFF"/>
      <w:sz w:val="48"/>
      <w:szCs w:val="48"/>
      <w:lang w:eastAsia="en-US"/>
    </w:rPr>
  </w:style>
  <w:style w:type="paragraph" w:customStyle="1" w:styleId="Body">
    <w:name w:val="Body"/>
    <w:basedOn w:val="Normal"/>
    <w:rsid w:val="00D07946"/>
    <w:pPr>
      <w:spacing w:line="260" w:lineRule="exact"/>
    </w:pPr>
    <w:rPr>
      <w:rFonts w:ascii="Arial" w:hAnsi="Arial"/>
      <w:color w:val="000000"/>
      <w:lang w:eastAsia="en-US"/>
    </w:rPr>
  </w:style>
  <w:style w:type="character" w:customStyle="1" w:styleId="TitleChar">
    <w:name w:val="Title Char"/>
    <w:basedOn w:val="DefaultParagraphFont"/>
    <w:link w:val="Title"/>
    <w:uiPriority w:val="10"/>
    <w:rsid w:val="00223AF9"/>
    <w:rPr>
      <w:sz w:val="24"/>
      <w:szCs w:val="24"/>
      <w:lang w:val="en-US" w:eastAsia="en-US"/>
    </w:rPr>
  </w:style>
  <w:style w:type="paragraph" w:styleId="ListParagraph">
    <w:name w:val="List Paragraph"/>
    <w:basedOn w:val="Normal"/>
    <w:uiPriority w:val="34"/>
    <w:qFormat/>
    <w:rsid w:val="006424EB"/>
    <w:pPr>
      <w:ind w:left="720"/>
      <w:contextualSpacing/>
    </w:pPr>
  </w:style>
  <w:style w:type="character" w:customStyle="1" w:styleId="HeaderChar">
    <w:name w:val="Header Char"/>
    <w:link w:val="Header"/>
    <w:uiPriority w:val="99"/>
    <w:rsid w:val="0050554D"/>
    <w:rPr>
      <w:rFonts w:asciiTheme="minorHAnsi" w:hAnsiTheme="minorHAnsi" w:cstheme="minorHAnsi"/>
      <w:sz w:val="22"/>
      <w:szCs w:val="22"/>
    </w:rPr>
  </w:style>
  <w:style w:type="character" w:customStyle="1" w:styleId="Bold-character">
    <w:name w:val="Bold - character"/>
    <w:rsid w:val="0050554D"/>
    <w:rPr>
      <w:b/>
    </w:rPr>
  </w:style>
  <w:style w:type="numbering" w:customStyle="1" w:styleId="Body-bullets">
    <w:name w:val="Body - bullets"/>
    <w:rsid w:val="005E30FE"/>
    <w:pPr>
      <w:numPr>
        <w:numId w:val="1"/>
      </w:numPr>
    </w:pPr>
  </w:style>
  <w:style w:type="paragraph" w:styleId="FootnoteText">
    <w:name w:val="footnote text"/>
    <w:basedOn w:val="Normal"/>
    <w:link w:val="FootnoteTextChar"/>
    <w:uiPriority w:val="99"/>
    <w:rsid w:val="005E30FE"/>
    <w:pPr>
      <w:spacing w:line="260" w:lineRule="exact"/>
      <w:jc w:val="left"/>
    </w:pPr>
    <w:rPr>
      <w:rFonts w:ascii="Arial" w:hAnsi="Arial" w:cs="Times New Roman"/>
      <w:sz w:val="18"/>
      <w:szCs w:val="20"/>
      <w:lang w:eastAsia="en-US"/>
    </w:rPr>
  </w:style>
  <w:style w:type="character" w:customStyle="1" w:styleId="FootnoteTextChar">
    <w:name w:val="Footnote Text Char"/>
    <w:basedOn w:val="DefaultParagraphFont"/>
    <w:link w:val="FootnoteText"/>
    <w:uiPriority w:val="99"/>
    <w:rsid w:val="005E30FE"/>
    <w:rPr>
      <w:rFonts w:ascii="Arial" w:hAnsi="Arial"/>
      <w:sz w:val="18"/>
      <w:lang w:eastAsia="en-US"/>
    </w:rPr>
  </w:style>
  <w:style w:type="character" w:styleId="FootnoteReference">
    <w:name w:val="footnote reference"/>
    <w:aliases w:val="Footnote symbol"/>
    <w:uiPriority w:val="99"/>
    <w:rsid w:val="005E30FE"/>
    <w:rPr>
      <w:vertAlign w:val="superscript"/>
    </w:rPr>
  </w:style>
  <w:style w:type="paragraph" w:styleId="Date">
    <w:name w:val="Date"/>
    <w:basedOn w:val="Normal"/>
    <w:next w:val="Normal"/>
    <w:link w:val="DateChar"/>
    <w:rsid w:val="005E30FE"/>
    <w:pPr>
      <w:jc w:val="left"/>
    </w:pPr>
    <w:rPr>
      <w:rFonts w:ascii="Arial" w:hAnsi="Arial" w:cs="Times New Roman"/>
      <w:szCs w:val="20"/>
      <w:lang w:val="en-US" w:eastAsia="en-US"/>
    </w:rPr>
  </w:style>
  <w:style w:type="character" w:customStyle="1" w:styleId="DateChar">
    <w:name w:val="Date Char"/>
    <w:basedOn w:val="DefaultParagraphFont"/>
    <w:link w:val="Date"/>
    <w:rsid w:val="005E30FE"/>
    <w:rPr>
      <w:rFonts w:ascii="Arial" w:hAnsi="Arial"/>
      <w:sz w:val="22"/>
      <w:lang w:val="en-US" w:eastAsia="en-US"/>
    </w:rPr>
  </w:style>
  <w:style w:type="character" w:customStyle="1" w:styleId="BodyText2Char">
    <w:name w:val="Body Text 2 Char"/>
    <w:link w:val="BodyText2"/>
    <w:uiPriority w:val="99"/>
    <w:rsid w:val="005E30FE"/>
    <w:rPr>
      <w:rFonts w:asciiTheme="minorHAnsi" w:hAnsiTheme="minorHAnsi" w:cstheme="minorHAnsi"/>
      <w:sz w:val="22"/>
      <w:szCs w:val="22"/>
    </w:rPr>
  </w:style>
  <w:style w:type="character" w:customStyle="1" w:styleId="Heading1Char">
    <w:name w:val="Heading 1 Char"/>
    <w:link w:val="Heading1"/>
    <w:rsid w:val="00C12BFC"/>
    <w:rPr>
      <w:rFonts w:asciiTheme="minorHAnsi" w:hAnsiTheme="minorHAnsi" w:cstheme="minorHAnsi"/>
      <w:b/>
      <w:bCs/>
      <w:caps/>
      <w:kern w:val="32"/>
      <w:sz w:val="32"/>
      <w:szCs w:val="32"/>
    </w:rPr>
  </w:style>
  <w:style w:type="paragraph" w:customStyle="1" w:styleId="Caption-standard">
    <w:name w:val="Caption - standard"/>
    <w:basedOn w:val="Body"/>
    <w:rsid w:val="005E30FE"/>
    <w:pPr>
      <w:jc w:val="left"/>
    </w:pPr>
    <w:rPr>
      <w:rFonts w:cs="Times New Roman"/>
      <w:sz w:val="20"/>
      <w:szCs w:val="20"/>
    </w:rPr>
  </w:style>
  <w:style w:type="paragraph" w:customStyle="1" w:styleId="Body-numbered">
    <w:name w:val="Body - numbered"/>
    <w:basedOn w:val="Body"/>
    <w:rsid w:val="005E30FE"/>
    <w:pPr>
      <w:numPr>
        <w:numId w:val="2"/>
      </w:numPr>
      <w:jc w:val="left"/>
    </w:pPr>
    <w:rPr>
      <w:rFonts w:cs="Times New Roman"/>
    </w:rPr>
  </w:style>
  <w:style w:type="character" w:customStyle="1" w:styleId="Italics-character">
    <w:name w:val="Italics - character"/>
    <w:rsid w:val="005E30FE"/>
    <w:rPr>
      <w:i/>
    </w:rPr>
  </w:style>
  <w:style w:type="character" w:customStyle="1" w:styleId="Superscript-character">
    <w:name w:val="Superscript - character"/>
    <w:rsid w:val="005E30FE"/>
    <w:rPr>
      <w:dstrike w:val="0"/>
      <w:vertAlign w:val="superscript"/>
    </w:rPr>
  </w:style>
  <w:style w:type="paragraph" w:customStyle="1" w:styleId="Titlesub-heading">
    <w:name w:val="Title sub-heading"/>
    <w:basedOn w:val="Normal"/>
    <w:rsid w:val="005E30FE"/>
    <w:pPr>
      <w:jc w:val="left"/>
    </w:pPr>
    <w:rPr>
      <w:rFonts w:ascii="Arial" w:hAnsi="Arial" w:cs="Times New Roman"/>
      <w:color w:val="636267"/>
      <w:sz w:val="48"/>
      <w:szCs w:val="48"/>
      <w:lang w:eastAsia="en-US"/>
    </w:rPr>
  </w:style>
  <w:style w:type="paragraph" w:styleId="Caption">
    <w:name w:val="caption"/>
    <w:aliases w:val="Tables,Caption Char Char,Caption Char1,Caption Char4 Char1,Caption Char1 Char5 Char,Caption Char4 Char Char2 Char,Caption Char1 Char2 Char Char4 Char,Caption Char4 Char Char Char1 Char2 Char,Caption Char1 Char Char Char1 Char Char3 Char"/>
    <w:basedOn w:val="Normal"/>
    <w:next w:val="Normal"/>
    <w:link w:val="CaptionChar"/>
    <w:uiPriority w:val="35"/>
    <w:qFormat/>
    <w:rsid w:val="0083263F"/>
    <w:pPr>
      <w:tabs>
        <w:tab w:val="left" w:pos="1134"/>
      </w:tabs>
      <w:spacing w:after="120"/>
      <w:ind w:left="1134" w:hanging="1134"/>
      <w:jc w:val="left"/>
    </w:pPr>
    <w:rPr>
      <w:rFonts w:ascii="Calibri" w:hAnsi="Calibri" w:cs="Times New Roman"/>
      <w:color w:val="17365D" w:themeColor="text2" w:themeShade="BF"/>
      <w:szCs w:val="20"/>
      <w:lang w:val="en-GB" w:eastAsia="en-US"/>
    </w:rPr>
  </w:style>
  <w:style w:type="paragraph" w:customStyle="1" w:styleId="Heading10">
    <w:name w:val="Heading1"/>
    <w:basedOn w:val="Normal"/>
    <w:rsid w:val="005E30FE"/>
    <w:rPr>
      <w:rFonts w:ascii="Arial" w:hAnsi="Arial" w:cs="Times New Roman"/>
      <w:b/>
      <w:bCs/>
      <w:szCs w:val="20"/>
    </w:rPr>
  </w:style>
  <w:style w:type="character" w:customStyle="1" w:styleId="Heading20">
    <w:name w:val="Heading2"/>
    <w:qFormat/>
    <w:rsid w:val="00E11FA7"/>
    <w:rPr>
      <w:rFonts w:ascii="Calibri" w:hAnsi="Calibri"/>
      <w:b/>
      <w:bCs/>
      <w:i w:val="0"/>
      <w:iCs/>
      <w:sz w:val="24"/>
    </w:rPr>
  </w:style>
  <w:style w:type="table" w:styleId="TableGrid">
    <w:name w:val="Table Grid"/>
    <w:basedOn w:val="TableNormal"/>
    <w:uiPriority w:val="59"/>
    <w:rsid w:val="005E30F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3">
    <w:name w:val="Body Text 3"/>
    <w:basedOn w:val="Normal"/>
    <w:link w:val="BodyText3Char"/>
    <w:rsid w:val="005E30FE"/>
    <w:pPr>
      <w:spacing w:after="120"/>
      <w:jc w:val="left"/>
    </w:pPr>
    <w:rPr>
      <w:rFonts w:ascii="Arial" w:hAnsi="Arial" w:cs="Times New Roman"/>
      <w:sz w:val="16"/>
      <w:szCs w:val="16"/>
      <w:lang w:eastAsia="en-US"/>
    </w:rPr>
  </w:style>
  <w:style w:type="character" w:customStyle="1" w:styleId="BodyText3Char">
    <w:name w:val="Body Text 3 Char"/>
    <w:basedOn w:val="DefaultParagraphFont"/>
    <w:link w:val="BodyText3"/>
    <w:rsid w:val="005E30FE"/>
    <w:rPr>
      <w:rFonts w:ascii="Arial" w:hAnsi="Arial"/>
      <w:sz w:val="16"/>
      <w:szCs w:val="16"/>
      <w:lang w:eastAsia="en-US"/>
    </w:rPr>
  </w:style>
  <w:style w:type="paragraph" w:styleId="BlockText">
    <w:name w:val="Block Text"/>
    <w:basedOn w:val="Normal"/>
    <w:rsid w:val="005E30FE"/>
    <w:pPr>
      <w:spacing w:after="120"/>
    </w:pPr>
    <w:rPr>
      <w:rFonts w:ascii="Times New Roman" w:hAnsi="Times New Roman" w:cs="Times New Roman"/>
      <w:szCs w:val="20"/>
      <w:lang w:eastAsia="en-US"/>
    </w:rPr>
  </w:style>
  <w:style w:type="paragraph" w:customStyle="1" w:styleId="Heading30">
    <w:name w:val="Heading3"/>
    <w:basedOn w:val="Normal"/>
    <w:rsid w:val="00B837D4"/>
    <w:rPr>
      <w:rFonts w:ascii="Calibri" w:hAnsi="Calibri" w:cs="Times New Roman"/>
      <w:b/>
      <w:bCs/>
      <w:szCs w:val="20"/>
    </w:rPr>
  </w:style>
  <w:style w:type="paragraph" w:styleId="NormalWeb">
    <w:name w:val="Normal (Web)"/>
    <w:basedOn w:val="Normal"/>
    <w:uiPriority w:val="99"/>
    <w:rsid w:val="008D3A01"/>
    <w:pPr>
      <w:spacing w:before="100" w:beforeAutospacing="1" w:after="120" w:line="360" w:lineRule="auto"/>
    </w:pPr>
    <w:rPr>
      <w:rFonts w:ascii="Calibri" w:hAnsi="Calibri" w:cs="Times New Roman"/>
      <w:color w:val="333333"/>
      <w:szCs w:val="24"/>
    </w:rPr>
  </w:style>
  <w:style w:type="character" w:customStyle="1" w:styleId="style10">
    <w:name w:val="style10"/>
    <w:basedOn w:val="DefaultParagraphFont"/>
    <w:rsid w:val="005E30FE"/>
  </w:style>
  <w:style w:type="character" w:styleId="Emphasis">
    <w:name w:val="Emphasis"/>
    <w:uiPriority w:val="20"/>
    <w:qFormat/>
    <w:rsid w:val="005E30FE"/>
    <w:rPr>
      <w:i/>
      <w:iCs/>
    </w:rPr>
  </w:style>
  <w:style w:type="character" w:customStyle="1" w:styleId="normaltextbold1">
    <w:name w:val="normaltextbold1"/>
    <w:rsid w:val="005E30FE"/>
    <w:rPr>
      <w:rFonts w:ascii="Verdana" w:hAnsi="Verdana" w:hint="default"/>
      <w:b/>
      <w:bCs/>
      <w:color w:val="000000"/>
      <w:sz w:val="19"/>
      <w:szCs w:val="19"/>
      <w:shd w:val="clear" w:color="auto" w:fill="auto"/>
    </w:rPr>
  </w:style>
  <w:style w:type="character" w:customStyle="1" w:styleId="Heading2Char">
    <w:name w:val="Heading 2 Char"/>
    <w:aliases w:val="2nd Level Heading Char"/>
    <w:link w:val="Heading2"/>
    <w:rsid w:val="007557A2"/>
    <w:rPr>
      <w:rFonts w:asciiTheme="minorHAnsi" w:hAnsiTheme="minorHAnsi" w:cstheme="minorHAnsi"/>
      <w:b/>
      <w:sz w:val="24"/>
      <w:szCs w:val="22"/>
    </w:rPr>
  </w:style>
  <w:style w:type="character" w:customStyle="1" w:styleId="Heading3Char">
    <w:name w:val="Heading 3 Char"/>
    <w:aliases w:val="3rd Level Heading Char"/>
    <w:link w:val="Heading3"/>
    <w:rsid w:val="0015270F"/>
    <w:rPr>
      <w:rFonts w:asciiTheme="minorHAnsi" w:hAnsiTheme="minorHAnsi" w:cstheme="minorHAnsi"/>
      <w:b/>
      <w:sz w:val="22"/>
      <w:szCs w:val="22"/>
    </w:rPr>
  </w:style>
  <w:style w:type="character" w:customStyle="1" w:styleId="Heading4Char">
    <w:name w:val="Heading 4 Char"/>
    <w:aliases w:val="4th Level Heading Char"/>
    <w:link w:val="Heading4"/>
    <w:uiPriority w:val="9"/>
    <w:rsid w:val="005E30FE"/>
    <w:rPr>
      <w:rFonts w:asciiTheme="minorHAnsi" w:hAnsiTheme="minorHAnsi" w:cstheme="minorHAnsi"/>
      <w:b/>
      <w:i/>
      <w:sz w:val="22"/>
      <w:szCs w:val="22"/>
    </w:rPr>
  </w:style>
  <w:style w:type="character" w:customStyle="1" w:styleId="CommentTextChar">
    <w:name w:val="Comment Text Char"/>
    <w:basedOn w:val="DefaultParagraphFont"/>
    <w:link w:val="CommentText"/>
    <w:uiPriority w:val="99"/>
    <w:rsid w:val="000438ED"/>
    <w:rPr>
      <w:rFonts w:asciiTheme="minorHAnsi" w:hAnsiTheme="minorHAnsi" w:cstheme="minorHAnsi"/>
    </w:rPr>
  </w:style>
  <w:style w:type="character" w:customStyle="1" w:styleId="FooterChar">
    <w:name w:val="Footer Char"/>
    <w:basedOn w:val="DefaultParagraphFont"/>
    <w:link w:val="Footer"/>
    <w:uiPriority w:val="99"/>
    <w:rsid w:val="008D3A01"/>
    <w:rPr>
      <w:rFonts w:asciiTheme="minorHAnsi" w:hAnsiTheme="minorHAnsi" w:cstheme="minorHAnsi"/>
      <w:sz w:val="22"/>
      <w:szCs w:val="22"/>
    </w:rPr>
  </w:style>
  <w:style w:type="table" w:styleId="TableClassic1">
    <w:name w:val="Table Classic 1"/>
    <w:basedOn w:val="TableNormal"/>
    <w:rsid w:val="008D3A01"/>
    <w:pPr>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CaptionChar">
    <w:name w:val="Caption Char"/>
    <w:aliases w:val="Tables Char,Caption Char Char Char,Caption Char1 Char,Caption Char4 Char1 Char,Caption Char1 Char5 Char Char,Caption Char4 Char Char2 Char Char,Caption Char1 Char2 Char Char4 Char Char,Caption Char4 Char Char Char1 Char2 Char Char"/>
    <w:link w:val="Caption"/>
    <w:uiPriority w:val="35"/>
    <w:locked/>
    <w:rsid w:val="0083263F"/>
    <w:rPr>
      <w:rFonts w:ascii="Calibri" w:hAnsi="Calibri"/>
      <w:color w:val="17365D" w:themeColor="text2" w:themeShade="BF"/>
      <w:sz w:val="22"/>
      <w:lang w:val="en-GB" w:eastAsia="en-US"/>
    </w:rPr>
  </w:style>
  <w:style w:type="paragraph" w:styleId="NoSpacing">
    <w:name w:val="No Spacing"/>
    <w:link w:val="NoSpacingChar"/>
    <w:uiPriority w:val="1"/>
    <w:qFormat/>
    <w:rsid w:val="008D3A01"/>
    <w:rPr>
      <w:rFonts w:asciiTheme="minorHAnsi" w:eastAsiaTheme="minorHAnsi" w:hAnsiTheme="minorHAnsi" w:cstheme="minorBidi"/>
      <w:sz w:val="22"/>
      <w:szCs w:val="22"/>
      <w:lang w:eastAsia="en-US"/>
    </w:rPr>
  </w:style>
  <w:style w:type="character" w:customStyle="1" w:styleId="Heading5Char">
    <w:name w:val="Heading 5 Char"/>
    <w:basedOn w:val="DefaultParagraphFont"/>
    <w:link w:val="Heading5"/>
    <w:uiPriority w:val="9"/>
    <w:rsid w:val="008D3A01"/>
    <w:rPr>
      <w:rFonts w:asciiTheme="majorHAnsi" w:eastAsiaTheme="majorEastAsia" w:hAnsiTheme="majorHAnsi" w:cstheme="majorBidi"/>
      <w:color w:val="243F60" w:themeColor="accent1" w:themeShade="7F"/>
      <w:sz w:val="22"/>
      <w:szCs w:val="22"/>
    </w:rPr>
  </w:style>
  <w:style w:type="character" w:customStyle="1" w:styleId="BalloonTextChar">
    <w:name w:val="Balloon Text Char"/>
    <w:basedOn w:val="DefaultParagraphFont"/>
    <w:link w:val="BalloonText"/>
    <w:uiPriority w:val="99"/>
    <w:semiHidden/>
    <w:rsid w:val="008D3A01"/>
    <w:rPr>
      <w:rFonts w:ascii="Tahoma" w:hAnsi="Tahoma" w:cs="Tahoma"/>
      <w:sz w:val="16"/>
      <w:szCs w:val="16"/>
    </w:rPr>
  </w:style>
  <w:style w:type="character" w:customStyle="1" w:styleId="maincenter">
    <w:name w:val="main_center"/>
    <w:basedOn w:val="DefaultParagraphFont"/>
    <w:rsid w:val="008D3A01"/>
  </w:style>
  <w:style w:type="paragraph" w:styleId="PlainText">
    <w:name w:val="Plain Text"/>
    <w:basedOn w:val="Normal"/>
    <w:link w:val="PlainTextChar"/>
    <w:uiPriority w:val="99"/>
    <w:rsid w:val="008D3A01"/>
    <w:pPr>
      <w:jc w:val="left"/>
    </w:pPr>
    <w:rPr>
      <w:rFonts w:ascii="Courier New" w:hAnsi="Courier New" w:cs="Courier New"/>
      <w:sz w:val="20"/>
      <w:szCs w:val="20"/>
      <w:lang w:val="en-US" w:eastAsia="en-US"/>
    </w:rPr>
  </w:style>
  <w:style w:type="character" w:customStyle="1" w:styleId="PlainTextChar">
    <w:name w:val="Plain Text Char"/>
    <w:basedOn w:val="DefaultParagraphFont"/>
    <w:link w:val="PlainText"/>
    <w:uiPriority w:val="99"/>
    <w:rsid w:val="008D3A01"/>
    <w:rPr>
      <w:rFonts w:ascii="Courier New" w:hAnsi="Courier New" w:cs="Courier New"/>
      <w:lang w:val="en-US" w:eastAsia="en-US"/>
    </w:rPr>
  </w:style>
  <w:style w:type="character" w:customStyle="1" w:styleId="CommentSubjectChar">
    <w:name w:val="Comment Subject Char"/>
    <w:basedOn w:val="CommentTextChar"/>
    <w:link w:val="CommentSubject"/>
    <w:uiPriority w:val="99"/>
    <w:semiHidden/>
    <w:rsid w:val="008D3A01"/>
    <w:rPr>
      <w:rFonts w:asciiTheme="minorHAnsi" w:hAnsiTheme="minorHAnsi" w:cstheme="minorHAnsi"/>
      <w:b/>
      <w:bCs/>
    </w:rPr>
  </w:style>
  <w:style w:type="paragraph" w:styleId="BodyTextIndent">
    <w:name w:val="Body Text Indent"/>
    <w:basedOn w:val="Normal"/>
    <w:link w:val="BodyTextIndentChar"/>
    <w:uiPriority w:val="99"/>
    <w:unhideWhenUsed/>
    <w:rsid w:val="008D3A01"/>
    <w:pPr>
      <w:spacing w:after="120"/>
      <w:ind w:left="567" w:hanging="567"/>
      <w:jc w:val="left"/>
    </w:pPr>
    <w:rPr>
      <w:rFonts w:ascii="Times New Roman" w:eastAsiaTheme="minorEastAsia" w:hAnsi="Times New Roman" w:cs="Times New Roman"/>
      <w:sz w:val="20"/>
      <w:szCs w:val="20"/>
      <w:lang w:eastAsia="ja-JP"/>
    </w:rPr>
  </w:style>
  <w:style w:type="character" w:customStyle="1" w:styleId="BodyTextIndentChar">
    <w:name w:val="Body Text Indent Char"/>
    <w:basedOn w:val="DefaultParagraphFont"/>
    <w:link w:val="BodyTextIndent"/>
    <w:uiPriority w:val="99"/>
    <w:rsid w:val="008D3A01"/>
    <w:rPr>
      <w:rFonts w:eastAsiaTheme="minorEastAsia"/>
      <w:lang w:eastAsia="ja-JP"/>
    </w:rPr>
  </w:style>
  <w:style w:type="paragraph" w:styleId="TOCHeading">
    <w:name w:val="TOC Heading"/>
    <w:basedOn w:val="Heading1"/>
    <w:next w:val="Normal"/>
    <w:uiPriority w:val="39"/>
    <w:unhideWhenUsed/>
    <w:qFormat/>
    <w:rsid w:val="005E0A0B"/>
    <w:pPr>
      <w:keepLines/>
      <w:spacing w:before="480" w:after="0"/>
      <w:outlineLvl w:val="9"/>
    </w:pPr>
    <w:rPr>
      <w:rFonts w:asciiTheme="majorHAnsi" w:eastAsiaTheme="majorEastAsia" w:hAnsiTheme="majorHAnsi" w:cstheme="majorBidi"/>
      <w:caps w:val="0"/>
      <w:color w:val="365F91" w:themeColor="accent1" w:themeShade="BF"/>
      <w:kern w:val="0"/>
      <w:sz w:val="28"/>
      <w:szCs w:val="28"/>
    </w:rPr>
  </w:style>
  <w:style w:type="character" w:customStyle="1" w:styleId="Heading6Char">
    <w:name w:val="Heading 6 Char"/>
    <w:basedOn w:val="DefaultParagraphFont"/>
    <w:link w:val="Heading6"/>
    <w:uiPriority w:val="9"/>
    <w:rsid w:val="005E0A0B"/>
    <w:rPr>
      <w:rFonts w:asciiTheme="minorHAnsi" w:eastAsiaTheme="minorEastAsia" w:hAnsiTheme="minorHAnsi" w:cstheme="minorBidi"/>
      <w:smallCaps/>
      <w:color w:val="C0504D" w:themeColor="accent2"/>
      <w:spacing w:val="5"/>
      <w:sz w:val="22"/>
      <w:lang w:eastAsia="en-US"/>
    </w:rPr>
  </w:style>
  <w:style w:type="character" w:customStyle="1" w:styleId="Heading7Char">
    <w:name w:val="Heading 7 Char"/>
    <w:basedOn w:val="DefaultParagraphFont"/>
    <w:link w:val="Heading7"/>
    <w:uiPriority w:val="9"/>
    <w:semiHidden/>
    <w:rsid w:val="005E0A0B"/>
    <w:rPr>
      <w:rFonts w:asciiTheme="minorHAnsi" w:eastAsiaTheme="minorEastAsia" w:hAnsiTheme="minorHAnsi" w:cstheme="minorBidi"/>
      <w:b/>
      <w:smallCaps/>
      <w:color w:val="C0504D" w:themeColor="accent2"/>
      <w:spacing w:val="10"/>
      <w:sz w:val="22"/>
      <w:lang w:eastAsia="en-US"/>
    </w:rPr>
  </w:style>
  <w:style w:type="character" w:customStyle="1" w:styleId="Heading8Char">
    <w:name w:val="Heading 8 Char"/>
    <w:basedOn w:val="DefaultParagraphFont"/>
    <w:link w:val="Heading8"/>
    <w:uiPriority w:val="9"/>
    <w:semiHidden/>
    <w:rsid w:val="005E0A0B"/>
    <w:rPr>
      <w:rFonts w:asciiTheme="minorHAnsi" w:eastAsiaTheme="minorEastAsia" w:hAnsiTheme="minorHAnsi" w:cstheme="minorBidi"/>
      <w:b/>
      <w:i/>
      <w:smallCaps/>
      <w:color w:val="943634" w:themeColor="accent2" w:themeShade="BF"/>
      <w:sz w:val="22"/>
      <w:lang w:eastAsia="en-US"/>
    </w:rPr>
  </w:style>
  <w:style w:type="character" w:customStyle="1" w:styleId="Heading9Char">
    <w:name w:val="Heading 9 Char"/>
    <w:basedOn w:val="DefaultParagraphFont"/>
    <w:link w:val="Heading9"/>
    <w:uiPriority w:val="9"/>
    <w:semiHidden/>
    <w:rsid w:val="005E0A0B"/>
    <w:rPr>
      <w:rFonts w:asciiTheme="minorHAnsi" w:eastAsiaTheme="minorEastAsia" w:hAnsiTheme="minorHAnsi" w:cstheme="minorBidi"/>
      <w:b/>
      <w:i/>
      <w:smallCaps/>
      <w:color w:val="622423" w:themeColor="accent2" w:themeShade="7F"/>
      <w:sz w:val="22"/>
      <w:lang w:eastAsia="en-US"/>
    </w:rPr>
  </w:style>
  <w:style w:type="character" w:styleId="Strong">
    <w:name w:val="Strong"/>
    <w:uiPriority w:val="22"/>
    <w:qFormat/>
    <w:rsid w:val="005E0A0B"/>
    <w:rPr>
      <w:b/>
      <w:color w:val="C0504D" w:themeColor="accent2"/>
    </w:rPr>
  </w:style>
  <w:style w:type="character" w:customStyle="1" w:styleId="NoSpacingChar">
    <w:name w:val="No Spacing Char"/>
    <w:basedOn w:val="DefaultParagraphFont"/>
    <w:link w:val="NoSpacing"/>
    <w:uiPriority w:val="1"/>
    <w:rsid w:val="005E0A0B"/>
    <w:rPr>
      <w:rFonts w:asciiTheme="minorHAnsi" w:eastAsiaTheme="minorHAnsi" w:hAnsiTheme="minorHAnsi" w:cstheme="minorBidi"/>
      <w:sz w:val="22"/>
      <w:szCs w:val="22"/>
      <w:lang w:eastAsia="en-US"/>
    </w:rPr>
  </w:style>
  <w:style w:type="paragraph" w:styleId="Quote">
    <w:name w:val="Quote"/>
    <w:basedOn w:val="Normal"/>
    <w:next w:val="Normal"/>
    <w:link w:val="QuoteChar"/>
    <w:uiPriority w:val="29"/>
    <w:qFormat/>
    <w:rsid w:val="005E0A0B"/>
    <w:pPr>
      <w:spacing w:after="320" w:line="276" w:lineRule="auto"/>
    </w:pPr>
    <w:rPr>
      <w:rFonts w:eastAsiaTheme="minorEastAsia" w:cstheme="minorBidi"/>
      <w:i/>
      <w:szCs w:val="20"/>
      <w:lang w:eastAsia="en-US"/>
    </w:rPr>
  </w:style>
  <w:style w:type="character" w:customStyle="1" w:styleId="QuoteChar">
    <w:name w:val="Quote Char"/>
    <w:basedOn w:val="DefaultParagraphFont"/>
    <w:link w:val="Quote"/>
    <w:uiPriority w:val="29"/>
    <w:rsid w:val="005E0A0B"/>
    <w:rPr>
      <w:rFonts w:asciiTheme="minorHAnsi" w:eastAsiaTheme="minorEastAsia" w:hAnsiTheme="minorHAnsi" w:cstheme="minorBidi"/>
      <w:i/>
      <w:sz w:val="22"/>
      <w:lang w:eastAsia="en-US"/>
    </w:rPr>
  </w:style>
  <w:style w:type="paragraph" w:styleId="IntenseQuote">
    <w:name w:val="Intense Quote"/>
    <w:basedOn w:val="Normal"/>
    <w:next w:val="Normal"/>
    <w:link w:val="IntenseQuoteChar"/>
    <w:uiPriority w:val="30"/>
    <w:qFormat/>
    <w:rsid w:val="005E0A0B"/>
    <w:pPr>
      <w:pBdr>
        <w:top w:val="single" w:sz="8" w:space="10" w:color="943634" w:themeColor="accent2" w:themeShade="BF"/>
        <w:left w:val="single" w:sz="8" w:space="10" w:color="943634" w:themeColor="accent2" w:themeShade="BF"/>
        <w:bottom w:val="single" w:sz="8" w:space="10" w:color="943634" w:themeColor="accent2" w:themeShade="BF"/>
        <w:right w:val="single" w:sz="8" w:space="10" w:color="943634" w:themeColor="accent2" w:themeShade="BF"/>
      </w:pBdr>
      <w:shd w:val="clear" w:color="auto" w:fill="C0504D" w:themeFill="accent2"/>
      <w:spacing w:before="140" w:after="140" w:line="276" w:lineRule="auto"/>
      <w:ind w:left="1440" w:right="1440"/>
    </w:pPr>
    <w:rPr>
      <w:rFonts w:eastAsiaTheme="minorEastAsia" w:cstheme="minorBidi"/>
      <w:b/>
      <w:i/>
      <w:color w:val="FFFFFF" w:themeColor="background1"/>
      <w:szCs w:val="20"/>
      <w:lang w:eastAsia="en-US"/>
    </w:rPr>
  </w:style>
  <w:style w:type="character" w:customStyle="1" w:styleId="IntenseQuoteChar">
    <w:name w:val="Intense Quote Char"/>
    <w:basedOn w:val="DefaultParagraphFont"/>
    <w:link w:val="IntenseQuote"/>
    <w:uiPriority w:val="30"/>
    <w:rsid w:val="005E0A0B"/>
    <w:rPr>
      <w:rFonts w:asciiTheme="minorHAnsi" w:eastAsiaTheme="minorEastAsia" w:hAnsiTheme="minorHAnsi" w:cstheme="minorBidi"/>
      <w:b/>
      <w:i/>
      <w:color w:val="FFFFFF" w:themeColor="background1"/>
      <w:sz w:val="22"/>
      <w:shd w:val="clear" w:color="auto" w:fill="C0504D" w:themeFill="accent2"/>
      <w:lang w:eastAsia="en-US"/>
    </w:rPr>
  </w:style>
  <w:style w:type="character" w:styleId="SubtleEmphasis">
    <w:name w:val="Subtle Emphasis"/>
    <w:uiPriority w:val="19"/>
    <w:qFormat/>
    <w:rsid w:val="005E0A0B"/>
    <w:rPr>
      <w:i/>
    </w:rPr>
  </w:style>
  <w:style w:type="character" w:styleId="IntenseEmphasis">
    <w:name w:val="Intense Emphasis"/>
    <w:uiPriority w:val="21"/>
    <w:qFormat/>
    <w:rsid w:val="005E0A0B"/>
    <w:rPr>
      <w:b/>
      <w:i/>
      <w:color w:val="C0504D" w:themeColor="accent2"/>
      <w:spacing w:val="10"/>
    </w:rPr>
  </w:style>
  <w:style w:type="character" w:styleId="SubtleReference">
    <w:name w:val="Subtle Reference"/>
    <w:uiPriority w:val="31"/>
    <w:qFormat/>
    <w:rsid w:val="005E0A0B"/>
    <w:rPr>
      <w:b/>
    </w:rPr>
  </w:style>
  <w:style w:type="character" w:styleId="IntenseReference">
    <w:name w:val="Intense Reference"/>
    <w:uiPriority w:val="32"/>
    <w:qFormat/>
    <w:rsid w:val="005E0A0B"/>
    <w:rPr>
      <w:b/>
      <w:bCs/>
      <w:smallCaps/>
      <w:spacing w:val="5"/>
      <w:sz w:val="22"/>
      <w:szCs w:val="22"/>
      <w:u w:val="single"/>
    </w:rPr>
  </w:style>
  <w:style w:type="character" w:styleId="BookTitle">
    <w:name w:val="Book Title"/>
    <w:uiPriority w:val="33"/>
    <w:qFormat/>
    <w:rsid w:val="00E838DF"/>
    <w:rPr>
      <w:rFonts w:asciiTheme="majorHAnsi" w:eastAsiaTheme="majorEastAsia" w:hAnsiTheme="majorHAnsi" w:cstheme="majorBidi"/>
      <w:i w:val="0"/>
      <w:iCs/>
      <w:sz w:val="20"/>
      <w:szCs w:val="20"/>
    </w:rPr>
  </w:style>
  <w:style w:type="paragraph" w:customStyle="1" w:styleId="Dotindent">
    <w:name w:val="Dot&amp;indent"/>
    <w:basedOn w:val="Normal"/>
    <w:link w:val="DotindentChar"/>
    <w:qFormat/>
    <w:rsid w:val="005E0A0B"/>
    <w:pPr>
      <w:numPr>
        <w:numId w:val="4"/>
      </w:numPr>
      <w:spacing w:before="0" w:after="200" w:line="276" w:lineRule="auto"/>
      <w:jc w:val="left"/>
    </w:pPr>
    <w:rPr>
      <w:rFonts w:eastAsiaTheme="minorHAnsi" w:cstheme="minorBidi"/>
      <w:lang w:eastAsia="en-US"/>
    </w:rPr>
  </w:style>
  <w:style w:type="character" w:customStyle="1" w:styleId="DotindentChar">
    <w:name w:val="Dot&amp;indent Char"/>
    <w:basedOn w:val="DefaultParagraphFont"/>
    <w:link w:val="Dotindent"/>
    <w:rsid w:val="005E0A0B"/>
    <w:rPr>
      <w:rFonts w:asciiTheme="minorHAnsi" w:eastAsiaTheme="minorHAnsi" w:hAnsiTheme="minorHAnsi" w:cstheme="minorBidi"/>
      <w:sz w:val="22"/>
      <w:szCs w:val="22"/>
      <w:lang w:eastAsia="en-US"/>
    </w:rPr>
  </w:style>
  <w:style w:type="paragraph" w:customStyle="1" w:styleId="TableHeading1">
    <w:name w:val="Table Heading 1"/>
    <w:rsid w:val="005E0A0B"/>
    <w:pPr>
      <w:spacing w:before="60" w:after="100"/>
      <w:ind w:left="85" w:right="85"/>
    </w:pPr>
    <w:rPr>
      <w:rFonts w:ascii="Arial" w:hAnsi="Arial"/>
      <w:b/>
    </w:rPr>
  </w:style>
  <w:style w:type="character" w:customStyle="1" w:styleId="SuperScript">
    <w:name w:val="SuperScript"/>
    <w:rsid w:val="005E0A0B"/>
    <w:rPr>
      <w:dstrike w:val="0"/>
      <w:vertAlign w:val="superscript"/>
    </w:rPr>
  </w:style>
  <w:style w:type="paragraph" w:styleId="Revision">
    <w:name w:val="Revision"/>
    <w:hidden/>
    <w:uiPriority w:val="99"/>
    <w:semiHidden/>
    <w:rsid w:val="005E0A0B"/>
    <w:rPr>
      <w:rFonts w:asciiTheme="minorHAnsi" w:eastAsiaTheme="minorEastAsia" w:hAnsiTheme="minorHAnsi" w:cstheme="minorBidi"/>
      <w:sz w:val="22"/>
      <w:lang w:eastAsia="en-US"/>
    </w:rPr>
  </w:style>
  <w:style w:type="paragraph" w:styleId="ListBullet">
    <w:name w:val="List Bullet"/>
    <w:basedOn w:val="Normal"/>
    <w:uiPriority w:val="99"/>
    <w:unhideWhenUsed/>
    <w:rsid w:val="005E0A0B"/>
    <w:pPr>
      <w:numPr>
        <w:numId w:val="5"/>
      </w:numPr>
      <w:spacing w:after="320" w:line="276" w:lineRule="auto"/>
      <w:contextualSpacing/>
    </w:pPr>
    <w:rPr>
      <w:rFonts w:eastAsiaTheme="minorEastAsia" w:cstheme="minorBidi"/>
      <w:szCs w:val="20"/>
      <w:lang w:eastAsia="en-US"/>
    </w:rPr>
  </w:style>
  <w:style w:type="character" w:styleId="FollowedHyperlink">
    <w:name w:val="FollowedHyperlink"/>
    <w:basedOn w:val="DefaultParagraphFont"/>
    <w:uiPriority w:val="99"/>
    <w:semiHidden/>
    <w:unhideWhenUsed/>
    <w:rsid w:val="005E0A0B"/>
    <w:rPr>
      <w:color w:val="800080" w:themeColor="followedHyperlink"/>
      <w:u w:val="single"/>
    </w:rPr>
  </w:style>
  <w:style w:type="character" w:customStyle="1" w:styleId="apple-converted-space">
    <w:name w:val="apple-converted-space"/>
    <w:basedOn w:val="DefaultParagraphFont"/>
    <w:rsid w:val="00BA48A9"/>
  </w:style>
  <w:style w:type="paragraph" w:customStyle="1" w:styleId="EndNoteBibliographyTitle">
    <w:name w:val="EndNote Bibliography Title"/>
    <w:basedOn w:val="Normal"/>
    <w:link w:val="EndNoteBibliographyTitleChar"/>
    <w:rsid w:val="00BA48A9"/>
    <w:pPr>
      <w:spacing w:before="0" w:after="0" w:line="276" w:lineRule="auto"/>
      <w:jc w:val="center"/>
    </w:pPr>
    <w:rPr>
      <w:rFonts w:ascii="Calibri" w:eastAsiaTheme="minorHAnsi" w:hAnsi="Calibri" w:cstheme="minorBidi"/>
      <w:noProof/>
      <w:lang w:val="en-US" w:eastAsia="en-US"/>
    </w:rPr>
  </w:style>
  <w:style w:type="character" w:customStyle="1" w:styleId="EndNoteBibliographyTitleChar">
    <w:name w:val="EndNote Bibliography Title Char"/>
    <w:basedOn w:val="DefaultParagraphFont"/>
    <w:link w:val="EndNoteBibliographyTitle"/>
    <w:rsid w:val="00BA48A9"/>
    <w:rPr>
      <w:rFonts w:ascii="Calibri" w:eastAsiaTheme="minorHAnsi" w:hAnsi="Calibri" w:cstheme="minorBidi"/>
      <w:noProof/>
      <w:sz w:val="22"/>
      <w:szCs w:val="22"/>
      <w:lang w:val="en-US" w:eastAsia="en-US"/>
    </w:rPr>
  </w:style>
  <w:style w:type="paragraph" w:customStyle="1" w:styleId="EndNoteBibliography">
    <w:name w:val="EndNote Bibliography"/>
    <w:basedOn w:val="Normal"/>
    <w:link w:val="EndNoteBibliographyChar"/>
    <w:rsid w:val="00BA48A9"/>
    <w:pPr>
      <w:spacing w:before="0" w:after="200"/>
      <w:jc w:val="left"/>
    </w:pPr>
    <w:rPr>
      <w:rFonts w:ascii="Calibri" w:eastAsiaTheme="minorHAnsi" w:hAnsi="Calibri" w:cstheme="minorBidi"/>
      <w:noProof/>
      <w:lang w:val="en-US" w:eastAsia="en-US"/>
    </w:rPr>
  </w:style>
  <w:style w:type="character" w:customStyle="1" w:styleId="EndNoteBibliographyChar">
    <w:name w:val="EndNote Bibliography Char"/>
    <w:basedOn w:val="DefaultParagraphFont"/>
    <w:link w:val="EndNoteBibliography"/>
    <w:rsid w:val="00BA48A9"/>
    <w:rPr>
      <w:rFonts w:ascii="Calibri" w:eastAsiaTheme="minorHAnsi" w:hAnsi="Calibri" w:cstheme="minorBidi"/>
      <w:noProof/>
      <w:sz w:val="22"/>
      <w:szCs w:val="22"/>
      <w:lang w:val="en-US" w:eastAsia="en-US"/>
    </w:rPr>
  </w:style>
  <w:style w:type="paragraph" w:customStyle="1" w:styleId="Figurecaption">
    <w:name w:val="Figure caption"/>
    <w:basedOn w:val="Normal"/>
    <w:link w:val="FigurecaptionCharChar"/>
    <w:rsid w:val="0057279E"/>
    <w:pPr>
      <w:numPr>
        <w:numId w:val="6"/>
      </w:numPr>
      <w:spacing w:before="240" w:after="120" w:line="80" w:lineRule="atLeast"/>
      <w:ind w:left="0" w:firstLine="0"/>
      <w:jc w:val="center"/>
    </w:pPr>
    <w:rPr>
      <w:rFonts w:ascii="Arial" w:hAnsi="Arial" w:cs="Times New Roman"/>
      <w:color w:val="17365D" w:themeColor="text2" w:themeShade="BF"/>
      <w:szCs w:val="24"/>
      <w:lang w:val="en-GB" w:eastAsia="en-US"/>
    </w:rPr>
  </w:style>
  <w:style w:type="paragraph" w:customStyle="1" w:styleId="Bodystyle">
    <w:name w:val="Body style"/>
    <w:basedOn w:val="Normal"/>
    <w:rsid w:val="0057279E"/>
    <w:pPr>
      <w:spacing w:before="0"/>
      <w:jc w:val="left"/>
    </w:pPr>
    <w:rPr>
      <w:rFonts w:ascii="Arial" w:hAnsi="Arial" w:cs="Times New Roman"/>
      <w:szCs w:val="24"/>
      <w:lang w:eastAsia="en-US"/>
    </w:rPr>
  </w:style>
  <w:style w:type="character" w:customStyle="1" w:styleId="FigurecaptionCharChar">
    <w:name w:val="Figure caption Char Char"/>
    <w:basedOn w:val="CaptionChar"/>
    <w:link w:val="Figurecaption"/>
    <w:rsid w:val="0057279E"/>
    <w:rPr>
      <w:rFonts w:ascii="Arial" w:hAnsi="Arial"/>
      <w:color w:val="17365D" w:themeColor="text2" w:themeShade="BF"/>
      <w:sz w:val="22"/>
      <w:szCs w:val="24"/>
      <w:lang w:val="en-GB" w:eastAsia="en-US"/>
    </w:rPr>
  </w:style>
  <w:style w:type="paragraph" w:styleId="TableofFigures">
    <w:name w:val="table of figures"/>
    <w:basedOn w:val="Normal"/>
    <w:next w:val="Normal"/>
    <w:uiPriority w:val="99"/>
    <w:unhideWhenUsed/>
    <w:rsid w:val="00C762F1"/>
    <w:pPr>
      <w:spacing w:after="0"/>
    </w:pPr>
  </w:style>
  <w:style w:type="paragraph" w:customStyle="1" w:styleId="References">
    <w:name w:val="References"/>
    <w:basedOn w:val="Normal"/>
    <w:next w:val="Normal"/>
    <w:rsid w:val="00DE50E3"/>
    <w:pPr>
      <w:spacing w:before="0" w:after="0" w:line="360" w:lineRule="auto"/>
      <w:ind w:left="567" w:hanging="567"/>
    </w:pPr>
    <w:rPr>
      <w:rFonts w:ascii="Times New Roman" w:hAnsi="Times New Roman" w:cs="Times New Roman"/>
      <w:szCs w:val="20"/>
      <w:lang w:eastAsia="en-US"/>
    </w:rPr>
  </w:style>
  <w:style w:type="character" w:customStyle="1" w:styleId="current-selection">
    <w:name w:val="current-selection"/>
    <w:basedOn w:val="DefaultParagraphFont"/>
    <w:rsid w:val="00173CFC"/>
  </w:style>
  <w:style w:type="character" w:customStyle="1" w:styleId="highlight">
    <w:name w:val="highlight"/>
    <w:basedOn w:val="DefaultParagraphFont"/>
    <w:rsid w:val="00DF610D"/>
  </w:style>
  <w:style w:type="character" w:customStyle="1" w:styleId="ff1">
    <w:name w:val="ff1"/>
    <w:basedOn w:val="DefaultParagraphFont"/>
    <w:rsid w:val="001D2850"/>
  </w:style>
  <w:style w:type="character" w:customStyle="1" w:styleId="st">
    <w:name w:val="st"/>
    <w:basedOn w:val="DefaultParagraphFont"/>
    <w:rsid w:val="00E838DF"/>
  </w:style>
  <w:style w:type="character" w:customStyle="1" w:styleId="ipa1">
    <w:name w:val="ipa1"/>
    <w:rsid w:val="0015270F"/>
    <w:rPr>
      <w:rFonts w:ascii="Arial Unicode MS" w:eastAsia="Arial Unicode MS" w:hAnsi="Arial Unicode MS" w:cs="Arial Unicode MS" w:hint="eastAsia"/>
    </w:rPr>
  </w:style>
  <w:style w:type="character" w:customStyle="1" w:styleId="plainlinks">
    <w:name w:val="plainlinks"/>
    <w:basedOn w:val="DefaultParagraphFont"/>
    <w:rsid w:val="0015270F"/>
  </w:style>
  <w:style w:type="character" w:customStyle="1" w:styleId="geo-dms1">
    <w:name w:val="geo-dms1"/>
    <w:rsid w:val="0015270F"/>
    <w:rPr>
      <w:vanish w:val="0"/>
      <w:webHidden w:val="0"/>
      <w:specVanish/>
    </w:rPr>
  </w:style>
  <w:style w:type="character" w:customStyle="1" w:styleId="latitude1">
    <w:name w:val="latitude1"/>
    <w:basedOn w:val="DefaultParagraphFont"/>
    <w:rsid w:val="0015270F"/>
  </w:style>
  <w:style w:type="character" w:customStyle="1" w:styleId="longitude1">
    <w:name w:val="longitude1"/>
    <w:basedOn w:val="DefaultParagraphFont"/>
    <w:rsid w:val="0015270F"/>
  </w:style>
  <w:style w:type="character" w:customStyle="1" w:styleId="geo-multi-punct1">
    <w:name w:val="geo-multi-punct1"/>
    <w:rsid w:val="0015270F"/>
    <w:rPr>
      <w:vanish/>
      <w:webHidden w:val="0"/>
      <w:specVanish/>
    </w:rPr>
  </w:style>
  <w:style w:type="character" w:customStyle="1" w:styleId="geo-nondefault1">
    <w:name w:val="geo-nondefault1"/>
    <w:rsid w:val="0015270F"/>
    <w:rPr>
      <w:vanish/>
      <w:webHidden w:val="0"/>
      <w:specVanish/>
    </w:rPr>
  </w:style>
  <w:style w:type="character" w:customStyle="1" w:styleId="geo-dec1">
    <w:name w:val="geo-dec1"/>
    <w:rsid w:val="0015270F"/>
    <w:rPr>
      <w:vanish w:val="0"/>
      <w:webHidden w:val="0"/>
      <w:specVanish/>
    </w:rPr>
  </w:style>
  <w:style w:type="character" w:customStyle="1" w:styleId="geo">
    <w:name w:val="geo"/>
    <w:basedOn w:val="DefaultParagraphFont"/>
    <w:rsid w:val="0015270F"/>
  </w:style>
  <w:style w:type="character" w:customStyle="1" w:styleId="apple-style-span">
    <w:name w:val="apple-style-span"/>
    <w:basedOn w:val="DefaultParagraphFont"/>
    <w:rsid w:val="0015270F"/>
  </w:style>
  <w:style w:type="paragraph" w:customStyle="1" w:styleId="ParaFirst8">
    <w:name w:val="ParaFirst/8"/>
    <w:basedOn w:val="Normal"/>
    <w:rsid w:val="0015270F"/>
    <w:pPr>
      <w:spacing w:after="120" w:line="300" w:lineRule="exact"/>
      <w:jc w:val="left"/>
    </w:pPr>
    <w:rPr>
      <w:rFonts w:ascii="Times New Roman" w:hAnsi="Times New Roman" w:cs="Times New Roman"/>
      <w:sz w:val="20"/>
      <w:szCs w:val="20"/>
      <w:lang w:eastAsia="en-US"/>
    </w:rPr>
  </w:style>
  <w:style w:type="paragraph" w:customStyle="1" w:styleId="MediumGrid1-Accent21">
    <w:name w:val="Medium Grid 1 - Accent 21"/>
    <w:basedOn w:val="Normal"/>
    <w:qFormat/>
    <w:rsid w:val="0015270F"/>
    <w:pPr>
      <w:spacing w:before="0" w:after="120" w:line="120" w:lineRule="atLeast"/>
      <w:contextualSpacing/>
      <w:jc w:val="left"/>
    </w:pPr>
    <w:rPr>
      <w:rFonts w:ascii="Calibri" w:hAnsi="Calibri" w:cs="Times New Roman"/>
      <w:sz w:val="20"/>
      <w:lang w:val="en-US" w:eastAsia="en-US" w:bidi="en-US"/>
    </w:rPr>
  </w:style>
  <w:style w:type="character" w:customStyle="1" w:styleId="BodyTextChar">
    <w:name w:val="Body Text Char"/>
    <w:basedOn w:val="DefaultParagraphFont"/>
    <w:link w:val="BodyText"/>
    <w:rsid w:val="0015270F"/>
    <w:rPr>
      <w:rFonts w:asciiTheme="minorHAnsi" w:hAnsiTheme="minorHAnsi" w:cstheme="minorHAnsi"/>
      <w:sz w:val="22"/>
      <w:szCs w:val="22"/>
    </w:rPr>
  </w:style>
  <w:style w:type="paragraph" w:customStyle="1" w:styleId="Table">
    <w:name w:val="Table"/>
    <w:basedOn w:val="Normal"/>
    <w:link w:val="TableChar"/>
    <w:rsid w:val="0015270F"/>
    <w:pPr>
      <w:spacing w:before="0" w:after="120" w:line="360" w:lineRule="auto"/>
      <w:jc w:val="left"/>
    </w:pPr>
    <w:rPr>
      <w:rFonts w:ascii="Arial Narrow" w:hAnsi="Arial Narrow" w:cs="Times New Roman"/>
      <w:sz w:val="20"/>
      <w:szCs w:val="20"/>
      <w:lang w:val="en-GB" w:eastAsia="en-US"/>
    </w:rPr>
  </w:style>
  <w:style w:type="character" w:customStyle="1" w:styleId="TableChar">
    <w:name w:val="Table Char"/>
    <w:link w:val="Table"/>
    <w:rsid w:val="0015270F"/>
    <w:rPr>
      <w:rFonts w:ascii="Arial Narrow" w:hAnsi="Arial Narrow"/>
      <w:lang w:val="en-GB" w:eastAsia="en-US"/>
    </w:rPr>
  </w:style>
  <w:style w:type="paragraph" w:customStyle="1" w:styleId="Reportrefs">
    <w:name w:val="Report refs"/>
    <w:basedOn w:val="Normal"/>
    <w:rsid w:val="0015270F"/>
    <w:pPr>
      <w:spacing w:before="0" w:after="180" w:line="120" w:lineRule="atLeast"/>
      <w:ind w:left="432" w:hanging="432"/>
      <w:jc w:val="left"/>
    </w:pPr>
    <w:rPr>
      <w:rFonts w:ascii="Gill Sans MT" w:hAnsi="Gill Sans MT" w:cs="Times New Roman"/>
      <w:sz w:val="24"/>
      <w:szCs w:val="20"/>
      <w:lang w:val="en-GB" w:eastAsia="en-US"/>
    </w:rPr>
  </w:style>
  <w:style w:type="paragraph" w:customStyle="1" w:styleId="indenthang1">
    <w:name w:val="indenthang1"/>
    <w:basedOn w:val="Normal"/>
    <w:link w:val="indenthang1Char"/>
    <w:rsid w:val="0015270F"/>
    <w:pPr>
      <w:spacing w:before="100" w:after="100" w:line="120" w:lineRule="atLeast"/>
      <w:ind w:left="480" w:hanging="168"/>
      <w:jc w:val="left"/>
    </w:pPr>
    <w:rPr>
      <w:rFonts w:ascii="Arial" w:hAnsi="Arial" w:cs="Times New Roman"/>
      <w:sz w:val="20"/>
      <w:szCs w:val="24"/>
      <w:lang w:val="en-US" w:eastAsia="en-US"/>
    </w:rPr>
  </w:style>
  <w:style w:type="character" w:customStyle="1" w:styleId="indenthang1Char">
    <w:name w:val="indenthang1 Char"/>
    <w:basedOn w:val="DefaultParagraphFont"/>
    <w:link w:val="indenthang1"/>
    <w:rsid w:val="0015270F"/>
    <w:rPr>
      <w:rFonts w:ascii="Arial" w:hAnsi="Arial"/>
      <w:szCs w:val="24"/>
      <w:lang w:val="en-US" w:eastAsia="en-US"/>
    </w:rPr>
  </w:style>
  <w:style w:type="numbering" w:customStyle="1" w:styleId="NoList1">
    <w:name w:val="No List1"/>
    <w:next w:val="NoList"/>
    <w:uiPriority w:val="99"/>
    <w:semiHidden/>
    <w:unhideWhenUsed/>
    <w:rsid w:val="0015270F"/>
  </w:style>
  <w:style w:type="character" w:customStyle="1" w:styleId="HTMLPreformattedChar">
    <w:name w:val="HTML Preformatted Char"/>
    <w:basedOn w:val="DefaultParagraphFont"/>
    <w:link w:val="HTMLPreformatted"/>
    <w:uiPriority w:val="99"/>
    <w:rsid w:val="0015270F"/>
    <w:rPr>
      <w:rFonts w:ascii="Courier New" w:hAnsi="Courier New" w:cs="Courier New"/>
    </w:rPr>
  </w:style>
  <w:style w:type="character" w:customStyle="1" w:styleId="esrielement1">
    <w:name w:val="esrielement1"/>
    <w:basedOn w:val="DefaultParagraphFont"/>
    <w:rsid w:val="0015270F"/>
    <w:rPr>
      <w:b w:val="0"/>
      <w:bCs w:val="0"/>
      <w:smallCaps/>
      <w:color w:val="006400"/>
      <w:sz w:val="22"/>
      <w:szCs w:val="22"/>
    </w:rPr>
  </w:style>
  <w:style w:type="character" w:customStyle="1" w:styleId="code1">
    <w:name w:val="code1"/>
    <w:basedOn w:val="DefaultParagraphFont"/>
    <w:rsid w:val="0015270F"/>
    <w:rPr>
      <w:rFonts w:ascii="Courier New" w:hAnsi="Courier New" w:cs="Courier New" w:hint="default"/>
    </w:rPr>
  </w:style>
  <w:style w:type="paragraph" w:styleId="TOC5">
    <w:name w:val="toc 5"/>
    <w:basedOn w:val="Normal"/>
    <w:next w:val="Normal"/>
    <w:autoRedefine/>
    <w:uiPriority w:val="39"/>
    <w:unhideWhenUsed/>
    <w:rsid w:val="0015270F"/>
    <w:pPr>
      <w:spacing w:before="0" w:after="0"/>
      <w:ind w:left="660"/>
      <w:jc w:val="left"/>
    </w:pPr>
    <w:rPr>
      <w:sz w:val="20"/>
      <w:szCs w:val="20"/>
    </w:rPr>
  </w:style>
  <w:style w:type="paragraph" w:styleId="TOC6">
    <w:name w:val="toc 6"/>
    <w:basedOn w:val="Normal"/>
    <w:next w:val="Normal"/>
    <w:autoRedefine/>
    <w:uiPriority w:val="39"/>
    <w:unhideWhenUsed/>
    <w:rsid w:val="0015270F"/>
    <w:pPr>
      <w:spacing w:before="0" w:after="0"/>
      <w:ind w:left="880"/>
      <w:jc w:val="left"/>
    </w:pPr>
    <w:rPr>
      <w:sz w:val="20"/>
      <w:szCs w:val="20"/>
    </w:rPr>
  </w:style>
  <w:style w:type="paragraph" w:styleId="TOC7">
    <w:name w:val="toc 7"/>
    <w:basedOn w:val="Normal"/>
    <w:next w:val="Normal"/>
    <w:autoRedefine/>
    <w:uiPriority w:val="39"/>
    <w:unhideWhenUsed/>
    <w:rsid w:val="0015270F"/>
    <w:pPr>
      <w:spacing w:before="0" w:after="0"/>
      <w:ind w:left="1100"/>
      <w:jc w:val="left"/>
    </w:pPr>
    <w:rPr>
      <w:sz w:val="20"/>
      <w:szCs w:val="20"/>
    </w:rPr>
  </w:style>
  <w:style w:type="paragraph" w:styleId="TOC8">
    <w:name w:val="toc 8"/>
    <w:basedOn w:val="Normal"/>
    <w:next w:val="Normal"/>
    <w:autoRedefine/>
    <w:uiPriority w:val="39"/>
    <w:unhideWhenUsed/>
    <w:rsid w:val="0015270F"/>
    <w:pPr>
      <w:spacing w:before="0" w:after="0"/>
      <w:ind w:left="1320"/>
      <w:jc w:val="left"/>
    </w:pPr>
    <w:rPr>
      <w:sz w:val="20"/>
      <w:szCs w:val="20"/>
    </w:rPr>
  </w:style>
  <w:style w:type="paragraph" w:styleId="TOC9">
    <w:name w:val="toc 9"/>
    <w:basedOn w:val="Normal"/>
    <w:next w:val="Normal"/>
    <w:autoRedefine/>
    <w:uiPriority w:val="39"/>
    <w:unhideWhenUsed/>
    <w:rsid w:val="0015270F"/>
    <w:pPr>
      <w:spacing w:before="0" w:after="0"/>
      <w:ind w:left="1540"/>
      <w:jc w:val="left"/>
    </w:pPr>
    <w:rPr>
      <w:sz w:val="20"/>
      <w:szCs w:val="20"/>
    </w:rPr>
  </w:style>
  <w:style w:type="paragraph" w:customStyle="1" w:styleId="xl67">
    <w:name w:val="xl67"/>
    <w:basedOn w:val="Normal"/>
    <w:rsid w:val="0015270F"/>
    <w:pPr>
      <w:pBdr>
        <w:top w:val="single" w:sz="8" w:space="0" w:color="auto"/>
      </w:pBdr>
      <w:spacing w:before="100" w:beforeAutospacing="1" w:after="100" w:afterAutospacing="1" w:line="120" w:lineRule="atLeast"/>
      <w:jc w:val="center"/>
      <w:textAlignment w:val="center"/>
    </w:pPr>
    <w:rPr>
      <w:rFonts w:ascii="Arial" w:hAnsi="Arial" w:cs="Arial"/>
      <w:sz w:val="20"/>
      <w:szCs w:val="20"/>
    </w:rPr>
  </w:style>
  <w:style w:type="paragraph" w:customStyle="1" w:styleId="xl68">
    <w:name w:val="xl68"/>
    <w:basedOn w:val="Normal"/>
    <w:rsid w:val="0015270F"/>
    <w:pPr>
      <w:pBdr>
        <w:top w:val="single" w:sz="8" w:space="0" w:color="auto"/>
      </w:pBdr>
      <w:spacing w:before="100" w:beforeAutospacing="1" w:after="100" w:afterAutospacing="1" w:line="120" w:lineRule="atLeast"/>
      <w:jc w:val="center"/>
      <w:textAlignment w:val="center"/>
    </w:pPr>
    <w:rPr>
      <w:rFonts w:ascii="Arial" w:hAnsi="Arial" w:cs="Arial"/>
      <w:sz w:val="20"/>
      <w:szCs w:val="20"/>
    </w:rPr>
  </w:style>
  <w:style w:type="paragraph" w:customStyle="1" w:styleId="xl69">
    <w:name w:val="xl69"/>
    <w:basedOn w:val="Normal"/>
    <w:rsid w:val="0015270F"/>
    <w:pPr>
      <w:pBdr>
        <w:top w:val="single" w:sz="8" w:space="0" w:color="auto"/>
      </w:pBdr>
      <w:spacing w:before="100" w:beforeAutospacing="1" w:after="100" w:afterAutospacing="1" w:line="120" w:lineRule="atLeast"/>
      <w:jc w:val="center"/>
      <w:textAlignment w:val="center"/>
    </w:pPr>
    <w:rPr>
      <w:rFonts w:ascii="Arial" w:hAnsi="Arial" w:cs="Arial"/>
      <w:sz w:val="20"/>
      <w:szCs w:val="20"/>
    </w:rPr>
  </w:style>
  <w:style w:type="paragraph" w:customStyle="1" w:styleId="xl70">
    <w:name w:val="xl70"/>
    <w:basedOn w:val="Normal"/>
    <w:rsid w:val="0015270F"/>
    <w:pPr>
      <w:spacing w:before="100" w:beforeAutospacing="1" w:after="100" w:afterAutospacing="1" w:line="120" w:lineRule="atLeast"/>
      <w:jc w:val="center"/>
      <w:textAlignment w:val="center"/>
    </w:pPr>
    <w:rPr>
      <w:rFonts w:ascii="Arial" w:hAnsi="Arial" w:cs="Arial"/>
      <w:sz w:val="20"/>
      <w:szCs w:val="20"/>
    </w:rPr>
  </w:style>
  <w:style w:type="paragraph" w:customStyle="1" w:styleId="xl71">
    <w:name w:val="xl71"/>
    <w:basedOn w:val="Normal"/>
    <w:rsid w:val="0015270F"/>
    <w:pPr>
      <w:spacing w:before="100" w:beforeAutospacing="1" w:after="100" w:afterAutospacing="1" w:line="120" w:lineRule="atLeast"/>
      <w:jc w:val="center"/>
      <w:textAlignment w:val="center"/>
    </w:pPr>
    <w:rPr>
      <w:rFonts w:ascii="Arial" w:hAnsi="Arial" w:cs="Arial"/>
      <w:sz w:val="20"/>
      <w:szCs w:val="20"/>
    </w:rPr>
  </w:style>
  <w:style w:type="paragraph" w:customStyle="1" w:styleId="xl72">
    <w:name w:val="xl72"/>
    <w:basedOn w:val="Normal"/>
    <w:rsid w:val="0015270F"/>
    <w:pPr>
      <w:spacing w:before="100" w:beforeAutospacing="1" w:after="100" w:afterAutospacing="1" w:line="120" w:lineRule="atLeast"/>
      <w:jc w:val="center"/>
      <w:textAlignment w:val="center"/>
    </w:pPr>
    <w:rPr>
      <w:rFonts w:ascii="Arial" w:hAnsi="Arial" w:cs="Arial"/>
      <w:sz w:val="20"/>
      <w:szCs w:val="20"/>
    </w:rPr>
  </w:style>
  <w:style w:type="paragraph" w:customStyle="1" w:styleId="xl73">
    <w:name w:val="xl73"/>
    <w:basedOn w:val="Normal"/>
    <w:rsid w:val="0015270F"/>
    <w:pPr>
      <w:pBdr>
        <w:bottom w:val="single" w:sz="4" w:space="0" w:color="auto"/>
      </w:pBdr>
      <w:spacing w:before="100" w:beforeAutospacing="1" w:after="100" w:afterAutospacing="1" w:line="120" w:lineRule="atLeast"/>
      <w:jc w:val="center"/>
      <w:textAlignment w:val="center"/>
    </w:pPr>
    <w:rPr>
      <w:rFonts w:ascii="Arial" w:hAnsi="Arial" w:cs="Arial"/>
      <w:sz w:val="20"/>
      <w:szCs w:val="20"/>
    </w:rPr>
  </w:style>
  <w:style w:type="paragraph" w:customStyle="1" w:styleId="xl74">
    <w:name w:val="xl74"/>
    <w:basedOn w:val="Normal"/>
    <w:rsid w:val="0015270F"/>
    <w:pPr>
      <w:pBdr>
        <w:bottom w:val="single" w:sz="4" w:space="0" w:color="auto"/>
      </w:pBdr>
      <w:spacing w:before="100" w:beforeAutospacing="1" w:after="100" w:afterAutospacing="1" w:line="120" w:lineRule="atLeast"/>
      <w:jc w:val="center"/>
      <w:textAlignment w:val="center"/>
    </w:pPr>
    <w:rPr>
      <w:rFonts w:ascii="Arial" w:hAnsi="Arial" w:cs="Arial"/>
      <w:sz w:val="20"/>
      <w:szCs w:val="20"/>
    </w:rPr>
  </w:style>
  <w:style w:type="paragraph" w:customStyle="1" w:styleId="xl75">
    <w:name w:val="xl75"/>
    <w:basedOn w:val="Normal"/>
    <w:rsid w:val="0015270F"/>
    <w:pPr>
      <w:pBdr>
        <w:bottom w:val="single" w:sz="4" w:space="0" w:color="auto"/>
      </w:pBdr>
      <w:spacing w:before="100" w:beforeAutospacing="1" w:after="100" w:afterAutospacing="1" w:line="120" w:lineRule="atLeast"/>
      <w:jc w:val="center"/>
      <w:textAlignment w:val="center"/>
    </w:pPr>
    <w:rPr>
      <w:rFonts w:ascii="Arial" w:hAnsi="Arial" w:cs="Arial"/>
      <w:sz w:val="20"/>
      <w:szCs w:val="20"/>
    </w:rPr>
  </w:style>
  <w:style w:type="paragraph" w:customStyle="1" w:styleId="xl76">
    <w:name w:val="xl76"/>
    <w:basedOn w:val="Normal"/>
    <w:rsid w:val="0015270F"/>
    <w:pPr>
      <w:pBdr>
        <w:bottom w:val="single" w:sz="8" w:space="0" w:color="auto"/>
      </w:pBdr>
      <w:spacing w:before="100" w:beforeAutospacing="1" w:after="100" w:afterAutospacing="1" w:line="120" w:lineRule="atLeast"/>
      <w:jc w:val="center"/>
      <w:textAlignment w:val="center"/>
    </w:pPr>
    <w:rPr>
      <w:rFonts w:ascii="Arial" w:hAnsi="Arial" w:cs="Arial"/>
      <w:sz w:val="20"/>
      <w:szCs w:val="20"/>
    </w:rPr>
  </w:style>
  <w:style w:type="paragraph" w:customStyle="1" w:styleId="xl77">
    <w:name w:val="xl77"/>
    <w:basedOn w:val="Normal"/>
    <w:rsid w:val="0015270F"/>
    <w:pPr>
      <w:pBdr>
        <w:bottom w:val="single" w:sz="8" w:space="0" w:color="auto"/>
      </w:pBdr>
      <w:spacing w:before="100" w:beforeAutospacing="1" w:after="100" w:afterAutospacing="1" w:line="120" w:lineRule="atLeast"/>
      <w:jc w:val="center"/>
      <w:textAlignment w:val="center"/>
    </w:pPr>
    <w:rPr>
      <w:rFonts w:ascii="Arial" w:hAnsi="Arial" w:cs="Arial"/>
      <w:sz w:val="20"/>
      <w:szCs w:val="20"/>
    </w:rPr>
  </w:style>
  <w:style w:type="paragraph" w:customStyle="1" w:styleId="xl78">
    <w:name w:val="xl78"/>
    <w:basedOn w:val="Normal"/>
    <w:rsid w:val="0015270F"/>
    <w:pPr>
      <w:pBdr>
        <w:bottom w:val="single" w:sz="8" w:space="0" w:color="auto"/>
      </w:pBdr>
      <w:spacing w:before="100" w:beforeAutospacing="1" w:after="100" w:afterAutospacing="1" w:line="120" w:lineRule="atLeast"/>
      <w:jc w:val="center"/>
      <w:textAlignment w:val="center"/>
    </w:pPr>
    <w:rPr>
      <w:rFonts w:ascii="Arial" w:hAnsi="Arial" w:cs="Arial"/>
      <w:sz w:val="20"/>
      <w:szCs w:val="20"/>
    </w:rPr>
  </w:style>
  <w:style w:type="paragraph" w:customStyle="1" w:styleId="xl79">
    <w:name w:val="xl79"/>
    <w:basedOn w:val="Normal"/>
    <w:rsid w:val="0015270F"/>
    <w:pP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80">
    <w:name w:val="xl80"/>
    <w:basedOn w:val="Normal"/>
    <w:rsid w:val="0015270F"/>
    <w:pPr>
      <w:pBdr>
        <w:bottom w:val="single" w:sz="4" w:space="0" w:color="auto"/>
      </w:pBdr>
      <w:spacing w:before="100" w:beforeAutospacing="1" w:after="100" w:afterAutospacing="1" w:line="120" w:lineRule="atLeast"/>
      <w:jc w:val="left"/>
    </w:pPr>
    <w:rPr>
      <w:rFonts w:ascii="Times New Roman" w:hAnsi="Times New Roman" w:cs="Times New Roman"/>
      <w:sz w:val="24"/>
      <w:szCs w:val="24"/>
    </w:rPr>
  </w:style>
  <w:style w:type="paragraph" w:customStyle="1" w:styleId="xl63">
    <w:name w:val="xl63"/>
    <w:basedOn w:val="Normal"/>
    <w:rsid w:val="0015270F"/>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120" w:lineRule="atLeast"/>
      <w:jc w:val="center"/>
    </w:pPr>
    <w:rPr>
      <w:rFonts w:ascii="Times New Roman" w:hAnsi="Times New Roman" w:cs="Times New Roman"/>
      <w:color w:val="000000"/>
      <w:sz w:val="20"/>
      <w:szCs w:val="20"/>
      <w:lang w:val="en-GB" w:eastAsia="en-GB"/>
    </w:rPr>
  </w:style>
  <w:style w:type="paragraph" w:customStyle="1" w:styleId="xl64">
    <w:name w:val="xl64"/>
    <w:basedOn w:val="Normal"/>
    <w:rsid w:val="0015270F"/>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120" w:lineRule="atLeast"/>
      <w:jc w:val="center"/>
    </w:pPr>
    <w:rPr>
      <w:rFonts w:ascii="Times New Roman" w:hAnsi="Times New Roman" w:cs="Times New Roman"/>
      <w:color w:val="000000"/>
      <w:sz w:val="20"/>
      <w:szCs w:val="20"/>
      <w:lang w:val="en-GB" w:eastAsia="en-GB"/>
    </w:rPr>
  </w:style>
  <w:style w:type="paragraph" w:customStyle="1" w:styleId="xl65">
    <w:name w:val="xl65"/>
    <w:basedOn w:val="Normal"/>
    <w:rsid w:val="0015270F"/>
    <w:pPr>
      <w:spacing w:before="100" w:beforeAutospacing="1" w:after="100" w:afterAutospacing="1" w:line="120" w:lineRule="atLeast"/>
      <w:jc w:val="left"/>
    </w:pPr>
    <w:rPr>
      <w:rFonts w:ascii="Times New Roman" w:hAnsi="Times New Roman" w:cs="Times New Roman"/>
      <w:sz w:val="20"/>
      <w:szCs w:val="20"/>
      <w:lang w:val="en-GB" w:eastAsia="en-GB"/>
    </w:rPr>
  </w:style>
  <w:style w:type="paragraph" w:customStyle="1" w:styleId="xl66">
    <w:name w:val="xl66"/>
    <w:basedOn w:val="Normal"/>
    <w:rsid w:val="0015270F"/>
    <w:pPr>
      <w:pBdr>
        <w:top w:val="single" w:sz="4" w:space="0" w:color="auto"/>
        <w:left w:val="single" w:sz="4" w:space="0" w:color="auto"/>
        <w:bottom w:val="single" w:sz="4" w:space="0" w:color="auto"/>
        <w:right w:val="single" w:sz="4" w:space="0" w:color="auto"/>
      </w:pBdr>
      <w:spacing w:before="100" w:beforeAutospacing="1" w:after="100" w:afterAutospacing="1" w:line="120" w:lineRule="atLeast"/>
      <w:jc w:val="right"/>
    </w:pPr>
    <w:rPr>
      <w:rFonts w:ascii="Times New Roman" w:hAnsi="Times New Roman" w:cs="Times New Roman"/>
      <w:color w:val="000000"/>
      <w:sz w:val="20"/>
      <w:szCs w:val="20"/>
      <w:lang w:val="en-GB" w:eastAsia="en-GB"/>
    </w:rPr>
  </w:style>
  <w:style w:type="paragraph" w:customStyle="1" w:styleId="Title1">
    <w:name w:val="Title1"/>
    <w:basedOn w:val="Normal"/>
    <w:rsid w:val="0015270F"/>
    <w:pPr>
      <w:spacing w:before="100" w:beforeAutospacing="1" w:after="100" w:afterAutospacing="1" w:line="120" w:lineRule="atLeast"/>
      <w:jc w:val="left"/>
    </w:pPr>
    <w:rPr>
      <w:rFonts w:ascii="Times New Roman" w:eastAsiaTheme="minorEastAsia" w:hAnsi="Times New Roman" w:cs="Times New Roman"/>
      <w:b/>
      <w:bCs/>
      <w:sz w:val="40"/>
      <w:szCs w:val="40"/>
      <w:lang w:val="en-US" w:eastAsia="en-US"/>
    </w:rPr>
  </w:style>
  <w:style w:type="paragraph" w:customStyle="1" w:styleId="font0">
    <w:name w:val="font0"/>
    <w:basedOn w:val="Normal"/>
    <w:rsid w:val="0015270F"/>
    <w:pPr>
      <w:spacing w:before="100" w:beforeAutospacing="1" w:after="100" w:afterAutospacing="1" w:line="120" w:lineRule="atLeast"/>
      <w:jc w:val="left"/>
    </w:pPr>
    <w:rPr>
      <w:rFonts w:ascii="Calibri" w:hAnsi="Calibri" w:cs="Times New Roman"/>
      <w:color w:val="000000"/>
    </w:rPr>
  </w:style>
  <w:style w:type="paragraph" w:customStyle="1" w:styleId="font5">
    <w:name w:val="font5"/>
    <w:basedOn w:val="Normal"/>
    <w:rsid w:val="0015270F"/>
    <w:pPr>
      <w:spacing w:before="100" w:beforeAutospacing="1" w:after="100" w:afterAutospacing="1" w:line="120" w:lineRule="atLeast"/>
      <w:jc w:val="left"/>
    </w:pPr>
    <w:rPr>
      <w:rFonts w:ascii="Calibri" w:hAnsi="Calibri" w:cs="Times New Roman"/>
      <w:color w:val="000000"/>
    </w:rPr>
  </w:style>
  <w:style w:type="paragraph" w:customStyle="1" w:styleId="font6">
    <w:name w:val="font6"/>
    <w:basedOn w:val="Normal"/>
    <w:rsid w:val="0015270F"/>
    <w:pPr>
      <w:spacing w:before="100" w:beforeAutospacing="1" w:after="100" w:afterAutospacing="1" w:line="120" w:lineRule="atLeast"/>
      <w:jc w:val="left"/>
    </w:pPr>
    <w:rPr>
      <w:rFonts w:ascii="Calibri" w:hAnsi="Calibri" w:cs="Times New Roman"/>
      <w:color w:val="000000"/>
    </w:rPr>
  </w:style>
  <w:style w:type="paragraph" w:customStyle="1" w:styleId="xl81">
    <w:name w:val="xl81"/>
    <w:basedOn w:val="Normal"/>
    <w:rsid w:val="0015270F"/>
    <w:pPr>
      <w:pBdr>
        <w:left w:val="single" w:sz="4" w:space="0" w:color="auto"/>
        <w:bottom w:val="single" w:sz="4" w:space="0" w:color="auto"/>
      </w:pBdr>
      <w:spacing w:before="100" w:beforeAutospacing="1" w:after="100" w:afterAutospacing="1" w:line="120" w:lineRule="atLeast"/>
      <w:jc w:val="center"/>
      <w:textAlignment w:val="center"/>
    </w:pPr>
    <w:rPr>
      <w:rFonts w:ascii="Times New Roman" w:hAnsi="Times New Roman" w:cs="Times New Roman"/>
      <w:b/>
      <w:bCs/>
      <w:sz w:val="24"/>
      <w:szCs w:val="24"/>
    </w:rPr>
  </w:style>
  <w:style w:type="paragraph" w:customStyle="1" w:styleId="xl82">
    <w:name w:val="xl82"/>
    <w:basedOn w:val="Normal"/>
    <w:rsid w:val="0015270F"/>
    <w:pPr>
      <w:pBdr>
        <w:top w:val="single" w:sz="4" w:space="0" w:color="auto"/>
      </w:pBdr>
      <w:spacing w:before="100" w:beforeAutospacing="1" w:after="100" w:afterAutospacing="1" w:line="120" w:lineRule="atLeast"/>
      <w:jc w:val="center"/>
      <w:textAlignment w:val="center"/>
    </w:pPr>
    <w:rPr>
      <w:rFonts w:ascii="Times New Roman" w:hAnsi="Times New Roman" w:cs="Times New Roman"/>
      <w:b/>
      <w:bCs/>
      <w:sz w:val="24"/>
      <w:szCs w:val="24"/>
    </w:rPr>
  </w:style>
  <w:style w:type="paragraph" w:customStyle="1" w:styleId="xl83">
    <w:name w:val="xl83"/>
    <w:basedOn w:val="Normal"/>
    <w:rsid w:val="0015270F"/>
    <w:pPr>
      <w:pBdr>
        <w:top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cs="Times New Roman"/>
      <w:b/>
      <w:bCs/>
      <w:sz w:val="24"/>
      <w:szCs w:val="24"/>
    </w:rPr>
  </w:style>
  <w:style w:type="paragraph" w:customStyle="1" w:styleId="font7">
    <w:name w:val="font7"/>
    <w:basedOn w:val="Normal"/>
    <w:rsid w:val="0015270F"/>
    <w:pPr>
      <w:spacing w:before="100" w:beforeAutospacing="1" w:after="100" w:afterAutospacing="1" w:line="120" w:lineRule="atLeast"/>
      <w:jc w:val="left"/>
    </w:pPr>
    <w:rPr>
      <w:rFonts w:ascii="Calibri" w:hAnsi="Calibri" w:cs="Times New Roman"/>
      <w:color w:val="000000"/>
      <w:sz w:val="20"/>
      <w:szCs w:val="20"/>
    </w:rPr>
  </w:style>
  <w:style w:type="character" w:styleId="PlaceholderText">
    <w:name w:val="Placeholder Text"/>
    <w:basedOn w:val="DefaultParagraphFont"/>
    <w:uiPriority w:val="99"/>
    <w:semiHidden/>
    <w:rsid w:val="0015270F"/>
    <w:rPr>
      <w:color w:val="808080"/>
    </w:rPr>
  </w:style>
  <w:style w:type="paragraph" w:customStyle="1" w:styleId="xl84">
    <w:name w:val="xl84"/>
    <w:basedOn w:val="Normal"/>
    <w:rsid w:val="0015270F"/>
    <w:pP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85">
    <w:name w:val="xl85"/>
    <w:basedOn w:val="Normal"/>
    <w:rsid w:val="0015270F"/>
    <w:pPr>
      <w:pBdr>
        <w:top w:val="single" w:sz="4" w:space="0" w:color="auto"/>
        <w:left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86">
    <w:name w:val="xl86"/>
    <w:basedOn w:val="Normal"/>
    <w:rsid w:val="0015270F"/>
    <w:pPr>
      <w:pBdr>
        <w:top w:val="single" w:sz="4" w:space="0" w:color="auto"/>
        <w:left w:val="single" w:sz="4" w:space="0" w:color="auto"/>
      </w:pBdr>
      <w:spacing w:before="100" w:beforeAutospacing="1" w:after="100" w:afterAutospacing="1" w:line="120" w:lineRule="atLeast"/>
      <w:jc w:val="center"/>
      <w:textAlignment w:val="center"/>
    </w:pPr>
    <w:rPr>
      <w:rFonts w:ascii="Times New Roman" w:hAnsi="Times New Roman" w:cs="Times New Roman"/>
      <w:b/>
      <w:bCs/>
      <w:sz w:val="24"/>
      <w:szCs w:val="24"/>
    </w:rPr>
  </w:style>
  <w:style w:type="paragraph" w:customStyle="1" w:styleId="xl87">
    <w:name w:val="xl87"/>
    <w:basedOn w:val="Normal"/>
    <w:rsid w:val="0015270F"/>
    <w:pPr>
      <w:pBdr>
        <w:top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88">
    <w:name w:val="xl88"/>
    <w:basedOn w:val="Normal"/>
    <w:rsid w:val="0015270F"/>
    <w:pPr>
      <w:pBdr>
        <w:top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89">
    <w:name w:val="xl89"/>
    <w:basedOn w:val="Normal"/>
    <w:rsid w:val="0015270F"/>
    <w:pPr>
      <w:pBdr>
        <w:top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90">
    <w:name w:val="xl90"/>
    <w:basedOn w:val="Normal"/>
    <w:rsid w:val="0015270F"/>
    <w:pPr>
      <w:pBdr>
        <w:top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91">
    <w:name w:val="xl91"/>
    <w:basedOn w:val="Normal"/>
    <w:rsid w:val="0015270F"/>
    <w:pPr>
      <w:pBdr>
        <w:top w:val="single" w:sz="4" w:space="0" w:color="auto"/>
        <w:left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92">
    <w:name w:val="xl92"/>
    <w:basedOn w:val="Normal"/>
    <w:rsid w:val="0015270F"/>
    <w:pPr>
      <w:pBdr>
        <w:top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93">
    <w:name w:val="xl93"/>
    <w:basedOn w:val="Normal"/>
    <w:rsid w:val="0015270F"/>
    <w:pPr>
      <w:pBdr>
        <w:top w:val="single" w:sz="4" w:space="0" w:color="auto"/>
        <w:left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numbering" w:customStyle="1" w:styleId="NoList2">
    <w:name w:val="No List2"/>
    <w:next w:val="NoList"/>
    <w:uiPriority w:val="99"/>
    <w:semiHidden/>
    <w:unhideWhenUsed/>
    <w:rsid w:val="0015270F"/>
  </w:style>
  <w:style w:type="table" w:customStyle="1" w:styleId="TableGrid1">
    <w:name w:val="Table Grid1"/>
    <w:basedOn w:val="TableNormal"/>
    <w:next w:val="TableGrid"/>
    <w:uiPriority w:val="59"/>
    <w:rsid w:val="0015270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94">
    <w:name w:val="xl94"/>
    <w:basedOn w:val="Normal"/>
    <w:rsid w:val="0015270F"/>
    <w:pPr>
      <w:pBdr>
        <w:top w:val="single" w:sz="4" w:space="0" w:color="auto"/>
        <w:right w:val="single" w:sz="4" w:space="0" w:color="auto"/>
      </w:pBdr>
      <w:shd w:val="clear" w:color="000000" w:fill="F2F2F2"/>
      <w:spacing w:before="100" w:beforeAutospacing="1" w:after="100" w:afterAutospacing="1" w:line="120" w:lineRule="atLeast"/>
      <w:jc w:val="center"/>
    </w:pPr>
    <w:rPr>
      <w:rFonts w:ascii="Times New Roman" w:hAnsi="Times New Roman" w:cs="Times New Roman"/>
      <w:b/>
      <w:bCs/>
      <w:i/>
      <w:iCs/>
      <w:sz w:val="24"/>
      <w:szCs w:val="24"/>
    </w:rPr>
  </w:style>
  <w:style w:type="paragraph" w:customStyle="1" w:styleId="xl95">
    <w:name w:val="xl95"/>
    <w:basedOn w:val="Normal"/>
    <w:rsid w:val="0015270F"/>
    <w:pPr>
      <w:pBdr>
        <w:top w:val="single" w:sz="4" w:space="0" w:color="auto"/>
        <w:left w:val="single" w:sz="4" w:space="0" w:color="auto"/>
      </w:pBdr>
      <w:shd w:val="clear" w:color="000000" w:fill="0070C0"/>
      <w:spacing w:before="100" w:beforeAutospacing="1" w:after="100" w:afterAutospacing="1" w:line="120" w:lineRule="atLeast"/>
      <w:jc w:val="center"/>
    </w:pPr>
    <w:rPr>
      <w:rFonts w:ascii="Times New Roman" w:hAnsi="Times New Roman" w:cs="Times New Roman"/>
      <w:b/>
      <w:bCs/>
      <w:color w:val="FFFFFF"/>
      <w:sz w:val="24"/>
      <w:szCs w:val="24"/>
    </w:rPr>
  </w:style>
  <w:style w:type="paragraph" w:customStyle="1" w:styleId="xl96">
    <w:name w:val="xl96"/>
    <w:basedOn w:val="Normal"/>
    <w:rsid w:val="0015270F"/>
    <w:pPr>
      <w:pBdr>
        <w:top w:val="single" w:sz="4" w:space="0" w:color="auto"/>
      </w:pBdr>
      <w:shd w:val="clear" w:color="000000" w:fill="00B050"/>
      <w:spacing w:before="100" w:beforeAutospacing="1" w:after="100" w:afterAutospacing="1" w:line="120" w:lineRule="atLeast"/>
      <w:jc w:val="center"/>
    </w:pPr>
    <w:rPr>
      <w:rFonts w:ascii="Times New Roman" w:hAnsi="Times New Roman" w:cs="Times New Roman"/>
      <w:b/>
      <w:bCs/>
      <w:color w:val="FFFFFF"/>
      <w:sz w:val="24"/>
      <w:szCs w:val="24"/>
    </w:rPr>
  </w:style>
  <w:style w:type="paragraph" w:customStyle="1" w:styleId="xl97">
    <w:name w:val="xl97"/>
    <w:basedOn w:val="Normal"/>
    <w:rsid w:val="0015270F"/>
    <w:pPr>
      <w:pBdr>
        <w:top w:val="single" w:sz="4" w:space="0" w:color="auto"/>
      </w:pBdr>
      <w:shd w:val="clear" w:color="000000" w:fill="FF0000"/>
      <w:spacing w:before="100" w:beforeAutospacing="1" w:after="100" w:afterAutospacing="1" w:line="120" w:lineRule="atLeast"/>
      <w:jc w:val="center"/>
    </w:pPr>
    <w:rPr>
      <w:rFonts w:ascii="Times New Roman" w:hAnsi="Times New Roman" w:cs="Times New Roman"/>
      <w:b/>
      <w:bCs/>
      <w:color w:val="FFFFFF"/>
      <w:sz w:val="24"/>
      <w:szCs w:val="24"/>
    </w:rPr>
  </w:style>
  <w:style w:type="paragraph" w:customStyle="1" w:styleId="xl98">
    <w:name w:val="xl98"/>
    <w:basedOn w:val="Normal"/>
    <w:rsid w:val="0015270F"/>
    <w:pPr>
      <w:pBdr>
        <w:top w:val="single" w:sz="4" w:space="0" w:color="auto"/>
      </w:pBdr>
      <w:shd w:val="clear" w:color="000000" w:fill="C00000"/>
      <w:spacing w:before="100" w:beforeAutospacing="1" w:after="100" w:afterAutospacing="1" w:line="120" w:lineRule="atLeast"/>
      <w:jc w:val="center"/>
    </w:pPr>
    <w:rPr>
      <w:rFonts w:ascii="Times New Roman" w:hAnsi="Times New Roman" w:cs="Times New Roman"/>
      <w:b/>
      <w:bCs/>
      <w:color w:val="FFFFFF"/>
      <w:sz w:val="24"/>
      <w:szCs w:val="24"/>
    </w:rPr>
  </w:style>
  <w:style w:type="paragraph" w:customStyle="1" w:styleId="xl99">
    <w:name w:val="xl99"/>
    <w:basedOn w:val="Normal"/>
    <w:rsid w:val="0015270F"/>
    <w:pPr>
      <w:pBdr>
        <w:top w:val="single" w:sz="4" w:space="0" w:color="auto"/>
        <w:left w:val="single" w:sz="4" w:space="0" w:color="auto"/>
      </w:pBdr>
      <w:spacing w:before="100" w:beforeAutospacing="1" w:after="100" w:afterAutospacing="1" w:line="120" w:lineRule="atLeast"/>
      <w:jc w:val="center"/>
      <w:textAlignment w:val="center"/>
    </w:pPr>
    <w:rPr>
      <w:rFonts w:ascii="Times New Roman" w:hAnsi="Times New Roman" w:cs="Times New Roman"/>
      <w:b/>
      <w:bCs/>
      <w:sz w:val="24"/>
      <w:szCs w:val="24"/>
    </w:rPr>
  </w:style>
  <w:style w:type="paragraph" w:customStyle="1" w:styleId="xl100">
    <w:name w:val="xl100"/>
    <w:basedOn w:val="Normal"/>
    <w:rsid w:val="0015270F"/>
    <w:pPr>
      <w:pBdr>
        <w:top w:val="single" w:sz="4" w:space="0" w:color="auto"/>
        <w:left w:val="single" w:sz="4" w:space="0" w:color="auto"/>
        <w:right w:val="single" w:sz="4" w:space="0" w:color="auto"/>
      </w:pBdr>
      <w:spacing w:before="100" w:beforeAutospacing="1" w:after="100" w:afterAutospacing="1" w:line="120" w:lineRule="atLeast"/>
      <w:jc w:val="center"/>
    </w:pPr>
    <w:rPr>
      <w:rFonts w:ascii="Times New Roman" w:hAnsi="Times New Roman" w:cs="Times New Roman"/>
      <w:b/>
      <w:bCs/>
      <w:sz w:val="24"/>
      <w:szCs w:val="24"/>
    </w:rPr>
  </w:style>
  <w:style w:type="paragraph" w:customStyle="1" w:styleId="xl101">
    <w:name w:val="xl101"/>
    <w:basedOn w:val="Normal"/>
    <w:rsid w:val="0015270F"/>
    <w:pPr>
      <w:pBdr>
        <w:top w:val="single" w:sz="4" w:space="0" w:color="auto"/>
        <w:left w:val="single" w:sz="4" w:space="0" w:color="auto"/>
      </w:pBdr>
      <w:spacing w:before="100" w:beforeAutospacing="1" w:after="100" w:afterAutospacing="1" w:line="120" w:lineRule="atLeast"/>
      <w:jc w:val="center"/>
    </w:pPr>
    <w:rPr>
      <w:rFonts w:ascii="Times New Roman" w:hAnsi="Times New Roman" w:cs="Times New Roman"/>
      <w:b/>
      <w:bCs/>
      <w:sz w:val="24"/>
      <w:szCs w:val="24"/>
    </w:rPr>
  </w:style>
  <w:style w:type="paragraph" w:customStyle="1" w:styleId="xl102">
    <w:name w:val="xl102"/>
    <w:basedOn w:val="Normal"/>
    <w:rsid w:val="0015270F"/>
    <w:pPr>
      <w:pBdr>
        <w:top w:val="single" w:sz="4" w:space="0" w:color="auto"/>
      </w:pBdr>
      <w:spacing w:before="100" w:beforeAutospacing="1" w:after="100" w:afterAutospacing="1" w:line="120" w:lineRule="atLeast"/>
      <w:jc w:val="center"/>
    </w:pPr>
    <w:rPr>
      <w:rFonts w:ascii="Times New Roman" w:hAnsi="Times New Roman" w:cs="Times New Roman"/>
      <w:b/>
      <w:bCs/>
      <w:sz w:val="24"/>
      <w:szCs w:val="24"/>
    </w:rPr>
  </w:style>
  <w:style w:type="paragraph" w:customStyle="1" w:styleId="xl103">
    <w:name w:val="xl103"/>
    <w:basedOn w:val="Normal"/>
    <w:rsid w:val="0015270F"/>
    <w:pPr>
      <w:pBdr>
        <w:top w:val="single" w:sz="4" w:space="0" w:color="auto"/>
        <w:right w:val="single" w:sz="4" w:space="0" w:color="auto"/>
      </w:pBdr>
      <w:shd w:val="clear" w:color="000000" w:fill="F2F2F2"/>
      <w:spacing w:before="100" w:beforeAutospacing="1" w:after="100" w:afterAutospacing="1" w:line="120" w:lineRule="atLeast"/>
      <w:jc w:val="center"/>
    </w:pPr>
    <w:rPr>
      <w:rFonts w:ascii="Times New Roman" w:hAnsi="Times New Roman" w:cs="Times New Roman"/>
      <w:b/>
      <w:bCs/>
      <w:sz w:val="24"/>
      <w:szCs w:val="24"/>
    </w:rPr>
  </w:style>
  <w:style w:type="paragraph" w:customStyle="1" w:styleId="xl104">
    <w:name w:val="xl104"/>
    <w:basedOn w:val="Normal"/>
    <w:rsid w:val="0015270F"/>
    <w:pPr>
      <w:pBdr>
        <w:left w:val="single" w:sz="4" w:space="0" w:color="auto"/>
        <w:bottom w:val="double" w:sz="6" w:space="0" w:color="auto"/>
      </w:pBdr>
      <w:spacing w:before="100" w:beforeAutospacing="1" w:after="100" w:afterAutospacing="1" w:line="120" w:lineRule="atLeast"/>
      <w:jc w:val="center"/>
      <w:textAlignment w:val="center"/>
    </w:pPr>
    <w:rPr>
      <w:rFonts w:ascii="Times New Roman" w:hAnsi="Times New Roman" w:cs="Times New Roman"/>
      <w:b/>
      <w:bCs/>
      <w:sz w:val="24"/>
      <w:szCs w:val="24"/>
    </w:rPr>
  </w:style>
  <w:style w:type="paragraph" w:customStyle="1" w:styleId="xl105">
    <w:name w:val="xl105"/>
    <w:basedOn w:val="Normal"/>
    <w:rsid w:val="0015270F"/>
    <w:pPr>
      <w:pBdr>
        <w:left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106">
    <w:name w:val="xl106"/>
    <w:basedOn w:val="Normal"/>
    <w:rsid w:val="0015270F"/>
    <w:pPr>
      <w:pBdr>
        <w:left w:val="single" w:sz="4" w:space="0" w:color="auto"/>
        <w:bottom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107">
    <w:name w:val="xl107"/>
    <w:basedOn w:val="Normal"/>
    <w:rsid w:val="0015270F"/>
    <w:pPr>
      <w:pBdr>
        <w:left w:val="single" w:sz="4" w:space="0" w:color="auto"/>
        <w:bottom w:val="single" w:sz="4" w:space="0" w:color="auto"/>
        <w:right w:val="single" w:sz="4" w:space="0" w:color="auto"/>
      </w:pBdr>
      <w:spacing w:before="100" w:beforeAutospacing="1" w:after="100" w:afterAutospacing="1" w:line="120" w:lineRule="atLeast"/>
      <w:jc w:val="center"/>
    </w:pPr>
    <w:rPr>
      <w:rFonts w:ascii="Times New Roman" w:hAnsi="Times New Roman" w:cs="Times New Roman"/>
      <w:sz w:val="24"/>
      <w:szCs w:val="24"/>
    </w:rPr>
  </w:style>
  <w:style w:type="paragraph" w:customStyle="1" w:styleId="xl108">
    <w:name w:val="xl108"/>
    <w:basedOn w:val="Normal"/>
    <w:rsid w:val="0015270F"/>
    <w:pPr>
      <w:pBdr>
        <w:top w:val="single" w:sz="4" w:space="0" w:color="auto"/>
        <w:right w:val="single" w:sz="4" w:space="0" w:color="auto"/>
      </w:pBdr>
      <w:spacing w:before="100" w:beforeAutospacing="1" w:after="100" w:afterAutospacing="1" w:line="120" w:lineRule="atLeast"/>
      <w:jc w:val="center"/>
    </w:pPr>
    <w:rPr>
      <w:rFonts w:ascii="Times New Roman" w:hAnsi="Times New Roman" w:cs="Times New Roman"/>
      <w:b/>
      <w:bCs/>
      <w:sz w:val="24"/>
      <w:szCs w:val="24"/>
    </w:rPr>
  </w:style>
  <w:style w:type="paragraph" w:customStyle="1" w:styleId="xl109">
    <w:name w:val="xl109"/>
    <w:basedOn w:val="Normal"/>
    <w:rsid w:val="0015270F"/>
    <w:pPr>
      <w:pBdr>
        <w:top w:val="single" w:sz="4" w:space="0" w:color="auto"/>
        <w:left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cs="Times New Roman"/>
      <w:b/>
      <w:bCs/>
      <w:sz w:val="24"/>
      <w:szCs w:val="24"/>
    </w:rPr>
  </w:style>
  <w:style w:type="paragraph" w:customStyle="1" w:styleId="xl110">
    <w:name w:val="xl110"/>
    <w:basedOn w:val="Normal"/>
    <w:rsid w:val="0015270F"/>
    <w:pPr>
      <w:pBdr>
        <w:left w:val="single" w:sz="4" w:space="0" w:color="auto"/>
        <w:bottom w:val="double" w:sz="6" w:space="0" w:color="auto"/>
        <w:right w:val="single" w:sz="4" w:space="0" w:color="auto"/>
      </w:pBdr>
      <w:spacing w:before="100" w:beforeAutospacing="1" w:after="100" w:afterAutospacing="1" w:line="120" w:lineRule="atLeast"/>
      <w:jc w:val="center"/>
      <w:textAlignment w:val="center"/>
    </w:pPr>
    <w:rPr>
      <w:rFonts w:ascii="Times New Roman" w:hAnsi="Times New Roman" w:cs="Times New Roman"/>
      <w:b/>
      <w:bCs/>
      <w:sz w:val="24"/>
      <w:szCs w:val="24"/>
    </w:rPr>
  </w:style>
  <w:style w:type="paragraph" w:customStyle="1" w:styleId="xl111">
    <w:name w:val="xl111"/>
    <w:basedOn w:val="Normal"/>
    <w:rsid w:val="0015270F"/>
    <w:pPr>
      <w:pBdr>
        <w:left w:val="single" w:sz="4" w:space="0" w:color="auto"/>
      </w:pBdr>
      <w:spacing w:before="100" w:beforeAutospacing="1" w:after="100" w:afterAutospacing="1" w:line="120" w:lineRule="atLeast"/>
      <w:jc w:val="center"/>
      <w:textAlignment w:val="center"/>
    </w:pPr>
    <w:rPr>
      <w:rFonts w:ascii="Times New Roman" w:hAnsi="Times New Roman" w:cs="Times New Roman"/>
      <w:b/>
      <w:bCs/>
      <w:sz w:val="24"/>
      <w:szCs w:val="24"/>
    </w:rPr>
  </w:style>
  <w:style w:type="paragraph" w:customStyle="1" w:styleId="xl112">
    <w:name w:val="xl112"/>
    <w:basedOn w:val="Normal"/>
    <w:rsid w:val="0015270F"/>
    <w:pPr>
      <w:pBdr>
        <w:left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113">
    <w:name w:val="xl113"/>
    <w:basedOn w:val="Normal"/>
    <w:rsid w:val="0015270F"/>
    <w:pPr>
      <w:pBdr>
        <w:left w:val="single" w:sz="4" w:space="0" w:color="auto"/>
        <w:bottom w:val="single" w:sz="4" w:space="0" w:color="auto"/>
      </w:pBdr>
      <w:spacing w:before="100" w:beforeAutospacing="1" w:after="100" w:afterAutospacing="1" w:line="120" w:lineRule="atLeast"/>
      <w:jc w:val="center"/>
      <w:textAlignment w:val="center"/>
    </w:pPr>
    <w:rPr>
      <w:rFonts w:ascii="Times New Roman" w:hAnsi="Times New Roman" w:cs="Times New Roman"/>
      <w:b/>
      <w:bCs/>
      <w:sz w:val="24"/>
      <w:szCs w:val="24"/>
    </w:rPr>
  </w:style>
  <w:style w:type="paragraph" w:customStyle="1" w:styleId="xl114">
    <w:name w:val="xl114"/>
    <w:basedOn w:val="Normal"/>
    <w:rsid w:val="0015270F"/>
    <w:pPr>
      <w:pBdr>
        <w:left w:val="single" w:sz="4" w:space="0" w:color="auto"/>
        <w:bottom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115">
    <w:name w:val="xl115"/>
    <w:basedOn w:val="Normal"/>
    <w:rsid w:val="0015270F"/>
    <w:pPr>
      <w:pBdr>
        <w:top w:val="single" w:sz="4" w:space="0" w:color="auto"/>
        <w:left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116">
    <w:name w:val="xl116"/>
    <w:basedOn w:val="Normal"/>
    <w:rsid w:val="0015270F"/>
    <w:pPr>
      <w:pBdr>
        <w:left w:val="single" w:sz="4" w:space="0" w:color="auto"/>
        <w:bottom w:val="double" w:sz="6" w:space="0" w:color="auto"/>
        <w:right w:val="single" w:sz="4" w:space="0" w:color="auto"/>
      </w:pBdr>
      <w:spacing w:before="100" w:beforeAutospacing="1" w:after="100" w:afterAutospacing="1" w:line="120" w:lineRule="atLeast"/>
      <w:jc w:val="center"/>
      <w:textAlignment w:val="center"/>
    </w:pPr>
    <w:rPr>
      <w:rFonts w:ascii="Times New Roman" w:hAnsi="Times New Roman" w:cs="Times New Roman"/>
      <w:sz w:val="24"/>
      <w:szCs w:val="24"/>
    </w:rPr>
  </w:style>
  <w:style w:type="paragraph" w:customStyle="1" w:styleId="xl117">
    <w:name w:val="xl117"/>
    <w:basedOn w:val="Normal"/>
    <w:rsid w:val="0015270F"/>
    <w:pPr>
      <w:pBdr>
        <w:top w:val="single" w:sz="4" w:space="0" w:color="auto"/>
        <w:left w:val="single" w:sz="4" w:space="0" w:color="auto"/>
      </w:pBdr>
      <w:spacing w:before="100" w:beforeAutospacing="1" w:after="100" w:afterAutospacing="1" w:line="120" w:lineRule="atLeast"/>
      <w:jc w:val="center"/>
    </w:pPr>
    <w:rPr>
      <w:rFonts w:ascii="Times New Roman" w:hAnsi="Times New Roman" w:cs="Times New Roman"/>
      <w:b/>
      <w:bCs/>
      <w:sz w:val="24"/>
      <w:szCs w:val="24"/>
    </w:rPr>
  </w:style>
  <w:style w:type="numbering" w:customStyle="1" w:styleId="Style5">
    <w:name w:val="Style5"/>
    <w:uiPriority w:val="99"/>
    <w:rsid w:val="0015270F"/>
    <w:pPr>
      <w:numPr>
        <w:numId w:val="8"/>
      </w:numPr>
    </w:pPr>
  </w:style>
  <w:style w:type="paragraph" w:styleId="EndnoteText">
    <w:name w:val="endnote text"/>
    <w:basedOn w:val="Normal"/>
    <w:link w:val="EndnoteTextChar"/>
    <w:uiPriority w:val="99"/>
    <w:semiHidden/>
    <w:unhideWhenUsed/>
    <w:rsid w:val="00C97CC0"/>
    <w:pPr>
      <w:spacing w:before="0" w:after="0"/>
    </w:pPr>
    <w:rPr>
      <w:sz w:val="20"/>
      <w:szCs w:val="20"/>
    </w:rPr>
  </w:style>
  <w:style w:type="character" w:customStyle="1" w:styleId="EndnoteTextChar">
    <w:name w:val="Endnote Text Char"/>
    <w:basedOn w:val="DefaultParagraphFont"/>
    <w:link w:val="EndnoteText"/>
    <w:uiPriority w:val="99"/>
    <w:semiHidden/>
    <w:rsid w:val="00C97CC0"/>
    <w:rPr>
      <w:rFonts w:asciiTheme="minorHAnsi" w:hAnsiTheme="minorHAnsi" w:cstheme="minorHAnsi"/>
    </w:rPr>
  </w:style>
  <w:style w:type="character" w:styleId="EndnoteReference">
    <w:name w:val="endnote reference"/>
    <w:basedOn w:val="DefaultParagraphFont"/>
    <w:uiPriority w:val="99"/>
    <w:semiHidden/>
    <w:unhideWhenUsed/>
    <w:rsid w:val="00C97CC0"/>
    <w:rPr>
      <w:vertAlign w:val="superscript"/>
    </w:rPr>
  </w:style>
  <w:style w:type="character" w:customStyle="1" w:styleId="DocumentMapChar">
    <w:name w:val="Document Map Char"/>
    <w:basedOn w:val="DefaultParagraphFont"/>
    <w:link w:val="DocumentMap"/>
    <w:semiHidden/>
    <w:rsid w:val="004B2104"/>
    <w:rPr>
      <w:rFonts w:ascii="Tahoma" w:hAnsi="Tahoma" w:cs="Tahoma"/>
      <w:shd w:val="clear" w:color="auto" w:fill="000080"/>
    </w:rPr>
  </w:style>
  <w:style w:type="character" w:customStyle="1" w:styleId="A1">
    <w:name w:val="A1"/>
    <w:uiPriority w:val="99"/>
    <w:rsid w:val="008E03E9"/>
    <w:rPr>
      <w:rFonts w:cs="Myriad Pro"/>
      <w:color w:val="211D1E"/>
      <w:sz w:val="18"/>
      <w:szCs w:val="18"/>
    </w:rPr>
  </w:style>
  <w:style w:type="character" w:customStyle="1" w:styleId="A2">
    <w:name w:val="A2"/>
    <w:uiPriority w:val="99"/>
    <w:rsid w:val="008E03E9"/>
    <w:rPr>
      <w:rFonts w:cs="Myriad Pro"/>
      <w:color w:val="211D1E"/>
      <w:sz w:val="11"/>
      <w:szCs w:val="11"/>
    </w:rPr>
  </w:style>
  <w:style w:type="table" w:styleId="LightShading-Accent5">
    <w:name w:val="Light Shading Accent 5"/>
    <w:basedOn w:val="TableNormal"/>
    <w:uiPriority w:val="60"/>
    <w:rsid w:val="00271DA2"/>
    <w:rPr>
      <w:rFonts w:asciiTheme="minorHAnsi" w:eastAsiaTheme="minorHAnsi" w:hAnsiTheme="minorHAnsi" w:cstheme="minorBidi"/>
      <w:color w:val="31849B" w:themeColor="accent5" w:themeShade="BF"/>
      <w:sz w:val="22"/>
      <w:szCs w:val="22"/>
      <w:lang w:eastAsia="en-US"/>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List-Accent5">
    <w:name w:val="Light List Accent 5"/>
    <w:basedOn w:val="TableNormal"/>
    <w:uiPriority w:val="61"/>
    <w:rsid w:val="008B1CCF"/>
    <w:rPr>
      <w:rFonts w:asciiTheme="minorHAnsi" w:eastAsiaTheme="minorHAnsi" w:hAnsiTheme="minorHAnsi" w:cstheme="minorBidi"/>
      <w:sz w:val="22"/>
      <w:szCs w:val="22"/>
      <w:lang w:eastAsia="en-US"/>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Shading">
    <w:name w:val="Light Shading"/>
    <w:basedOn w:val="TableNormal"/>
    <w:uiPriority w:val="60"/>
    <w:rsid w:val="006B5CE6"/>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MediumList1-Accent5">
    <w:name w:val="Medium List 1 Accent 5"/>
    <w:basedOn w:val="TableNormal"/>
    <w:uiPriority w:val="65"/>
    <w:rsid w:val="009B30A6"/>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Shading1-Accent5">
    <w:name w:val="Medium Shading 1 Accent 5"/>
    <w:basedOn w:val="TableNormal"/>
    <w:uiPriority w:val="63"/>
    <w:rsid w:val="00855A5C"/>
    <w:rPr>
      <w:rFonts w:asciiTheme="minorHAnsi" w:eastAsiaTheme="minorHAnsi" w:hAnsiTheme="minorHAnsi" w:cstheme="minorBidi"/>
      <w:sz w:val="22"/>
      <w:szCs w:val="22"/>
      <w:lang w:eastAsia="en-US"/>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character" w:customStyle="1" w:styleId="A16">
    <w:name w:val="A16"/>
    <w:uiPriority w:val="99"/>
    <w:rsid w:val="00CF3853"/>
    <w:rPr>
      <w:rFonts w:ascii="Myriad Pro" w:hAnsi="Myriad Pro" w:cs="Myriad Pro"/>
      <w:color w:val="221E1F"/>
      <w:sz w:val="14"/>
      <w:szCs w:val="14"/>
    </w:rPr>
  </w:style>
  <w:style w:type="character" w:customStyle="1" w:styleId="A17">
    <w:name w:val="A17"/>
    <w:uiPriority w:val="99"/>
    <w:rsid w:val="00CF3853"/>
    <w:rPr>
      <w:rFonts w:ascii="Myriad Pro" w:hAnsi="Myriad Pro" w:cs="Myriad Pro"/>
      <w:color w:val="221E1F"/>
      <w:sz w:val="9"/>
      <w:szCs w:val="9"/>
    </w:rPr>
  </w:style>
  <w:style w:type="paragraph" w:styleId="Bibliography">
    <w:name w:val="Bibliography"/>
    <w:basedOn w:val="Normal"/>
    <w:next w:val="Normal"/>
    <w:uiPriority w:val="37"/>
    <w:unhideWhenUsed/>
    <w:rsid w:val="009919D4"/>
    <w:pPr>
      <w:spacing w:after="0"/>
      <w:ind w:left="720" w:hanging="720"/>
    </w:pPr>
  </w:style>
  <w:style w:type="paragraph" w:customStyle="1" w:styleId="BasicParagraph">
    <w:name w:val="[Basic Paragraph]"/>
    <w:basedOn w:val="Normal"/>
    <w:uiPriority w:val="99"/>
    <w:rsid w:val="006427BE"/>
    <w:pPr>
      <w:autoSpaceDE w:val="0"/>
      <w:autoSpaceDN w:val="0"/>
      <w:adjustRightInd w:val="0"/>
      <w:spacing w:before="0" w:after="120" w:line="288" w:lineRule="auto"/>
      <w:jc w:val="left"/>
    </w:pPr>
    <w:rPr>
      <w:rFonts w:ascii="Times New Roman" w:eastAsiaTheme="minorHAnsi" w:hAnsi="Times New Roman" w:cs="Times New Roman"/>
      <w:color w:val="000000"/>
      <w:sz w:val="24"/>
      <w:szCs w:val="24"/>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670678">
      <w:bodyDiv w:val="1"/>
      <w:marLeft w:val="0"/>
      <w:marRight w:val="0"/>
      <w:marTop w:val="0"/>
      <w:marBottom w:val="0"/>
      <w:divBdr>
        <w:top w:val="none" w:sz="0" w:space="0" w:color="auto"/>
        <w:left w:val="none" w:sz="0" w:space="0" w:color="auto"/>
        <w:bottom w:val="none" w:sz="0" w:space="0" w:color="auto"/>
        <w:right w:val="none" w:sz="0" w:space="0" w:color="auto"/>
      </w:divBdr>
    </w:div>
    <w:div w:id="45837071">
      <w:bodyDiv w:val="1"/>
      <w:marLeft w:val="0"/>
      <w:marRight w:val="0"/>
      <w:marTop w:val="0"/>
      <w:marBottom w:val="0"/>
      <w:divBdr>
        <w:top w:val="none" w:sz="0" w:space="0" w:color="auto"/>
        <w:left w:val="none" w:sz="0" w:space="0" w:color="auto"/>
        <w:bottom w:val="none" w:sz="0" w:space="0" w:color="auto"/>
        <w:right w:val="none" w:sz="0" w:space="0" w:color="auto"/>
      </w:divBdr>
    </w:div>
    <w:div w:id="117527206">
      <w:bodyDiv w:val="1"/>
      <w:marLeft w:val="0"/>
      <w:marRight w:val="0"/>
      <w:marTop w:val="0"/>
      <w:marBottom w:val="0"/>
      <w:divBdr>
        <w:top w:val="none" w:sz="0" w:space="0" w:color="auto"/>
        <w:left w:val="none" w:sz="0" w:space="0" w:color="auto"/>
        <w:bottom w:val="none" w:sz="0" w:space="0" w:color="auto"/>
        <w:right w:val="none" w:sz="0" w:space="0" w:color="auto"/>
      </w:divBdr>
    </w:div>
    <w:div w:id="124543699">
      <w:bodyDiv w:val="1"/>
      <w:marLeft w:val="0"/>
      <w:marRight w:val="0"/>
      <w:marTop w:val="0"/>
      <w:marBottom w:val="0"/>
      <w:divBdr>
        <w:top w:val="none" w:sz="0" w:space="0" w:color="auto"/>
        <w:left w:val="none" w:sz="0" w:space="0" w:color="auto"/>
        <w:bottom w:val="none" w:sz="0" w:space="0" w:color="auto"/>
        <w:right w:val="none" w:sz="0" w:space="0" w:color="auto"/>
      </w:divBdr>
    </w:div>
    <w:div w:id="166403338">
      <w:bodyDiv w:val="1"/>
      <w:marLeft w:val="0"/>
      <w:marRight w:val="0"/>
      <w:marTop w:val="0"/>
      <w:marBottom w:val="0"/>
      <w:divBdr>
        <w:top w:val="none" w:sz="0" w:space="0" w:color="auto"/>
        <w:left w:val="none" w:sz="0" w:space="0" w:color="auto"/>
        <w:bottom w:val="none" w:sz="0" w:space="0" w:color="auto"/>
        <w:right w:val="none" w:sz="0" w:space="0" w:color="auto"/>
      </w:divBdr>
      <w:divsChild>
        <w:div w:id="24183839">
          <w:marLeft w:val="0"/>
          <w:marRight w:val="0"/>
          <w:marTop w:val="0"/>
          <w:marBottom w:val="0"/>
          <w:divBdr>
            <w:top w:val="none" w:sz="0" w:space="0" w:color="auto"/>
            <w:left w:val="none" w:sz="0" w:space="0" w:color="auto"/>
            <w:bottom w:val="none" w:sz="0" w:space="0" w:color="auto"/>
            <w:right w:val="none" w:sz="0" w:space="0" w:color="auto"/>
          </w:divBdr>
        </w:div>
        <w:div w:id="46993107">
          <w:marLeft w:val="0"/>
          <w:marRight w:val="0"/>
          <w:marTop w:val="0"/>
          <w:marBottom w:val="0"/>
          <w:divBdr>
            <w:top w:val="none" w:sz="0" w:space="0" w:color="auto"/>
            <w:left w:val="none" w:sz="0" w:space="0" w:color="auto"/>
            <w:bottom w:val="none" w:sz="0" w:space="0" w:color="auto"/>
            <w:right w:val="none" w:sz="0" w:space="0" w:color="auto"/>
          </w:divBdr>
        </w:div>
        <w:div w:id="115803826">
          <w:marLeft w:val="0"/>
          <w:marRight w:val="0"/>
          <w:marTop w:val="0"/>
          <w:marBottom w:val="0"/>
          <w:divBdr>
            <w:top w:val="none" w:sz="0" w:space="0" w:color="auto"/>
            <w:left w:val="none" w:sz="0" w:space="0" w:color="auto"/>
            <w:bottom w:val="none" w:sz="0" w:space="0" w:color="auto"/>
            <w:right w:val="none" w:sz="0" w:space="0" w:color="auto"/>
          </w:divBdr>
        </w:div>
        <w:div w:id="116602599">
          <w:marLeft w:val="0"/>
          <w:marRight w:val="0"/>
          <w:marTop w:val="0"/>
          <w:marBottom w:val="0"/>
          <w:divBdr>
            <w:top w:val="none" w:sz="0" w:space="0" w:color="auto"/>
            <w:left w:val="none" w:sz="0" w:space="0" w:color="auto"/>
            <w:bottom w:val="none" w:sz="0" w:space="0" w:color="auto"/>
            <w:right w:val="none" w:sz="0" w:space="0" w:color="auto"/>
          </w:divBdr>
        </w:div>
        <w:div w:id="187642918">
          <w:marLeft w:val="0"/>
          <w:marRight w:val="0"/>
          <w:marTop w:val="0"/>
          <w:marBottom w:val="0"/>
          <w:divBdr>
            <w:top w:val="none" w:sz="0" w:space="0" w:color="auto"/>
            <w:left w:val="none" w:sz="0" w:space="0" w:color="auto"/>
            <w:bottom w:val="none" w:sz="0" w:space="0" w:color="auto"/>
            <w:right w:val="none" w:sz="0" w:space="0" w:color="auto"/>
          </w:divBdr>
        </w:div>
        <w:div w:id="219829008">
          <w:marLeft w:val="0"/>
          <w:marRight w:val="0"/>
          <w:marTop w:val="0"/>
          <w:marBottom w:val="0"/>
          <w:divBdr>
            <w:top w:val="none" w:sz="0" w:space="0" w:color="auto"/>
            <w:left w:val="none" w:sz="0" w:space="0" w:color="auto"/>
            <w:bottom w:val="none" w:sz="0" w:space="0" w:color="auto"/>
            <w:right w:val="none" w:sz="0" w:space="0" w:color="auto"/>
          </w:divBdr>
        </w:div>
        <w:div w:id="261036980">
          <w:marLeft w:val="0"/>
          <w:marRight w:val="0"/>
          <w:marTop w:val="0"/>
          <w:marBottom w:val="0"/>
          <w:divBdr>
            <w:top w:val="none" w:sz="0" w:space="0" w:color="auto"/>
            <w:left w:val="none" w:sz="0" w:space="0" w:color="auto"/>
            <w:bottom w:val="none" w:sz="0" w:space="0" w:color="auto"/>
            <w:right w:val="none" w:sz="0" w:space="0" w:color="auto"/>
          </w:divBdr>
        </w:div>
        <w:div w:id="268054045">
          <w:marLeft w:val="0"/>
          <w:marRight w:val="0"/>
          <w:marTop w:val="0"/>
          <w:marBottom w:val="0"/>
          <w:divBdr>
            <w:top w:val="none" w:sz="0" w:space="0" w:color="auto"/>
            <w:left w:val="none" w:sz="0" w:space="0" w:color="auto"/>
            <w:bottom w:val="none" w:sz="0" w:space="0" w:color="auto"/>
            <w:right w:val="none" w:sz="0" w:space="0" w:color="auto"/>
          </w:divBdr>
        </w:div>
        <w:div w:id="269122552">
          <w:marLeft w:val="0"/>
          <w:marRight w:val="0"/>
          <w:marTop w:val="0"/>
          <w:marBottom w:val="0"/>
          <w:divBdr>
            <w:top w:val="none" w:sz="0" w:space="0" w:color="auto"/>
            <w:left w:val="none" w:sz="0" w:space="0" w:color="auto"/>
            <w:bottom w:val="none" w:sz="0" w:space="0" w:color="auto"/>
            <w:right w:val="none" w:sz="0" w:space="0" w:color="auto"/>
          </w:divBdr>
        </w:div>
        <w:div w:id="281107968">
          <w:marLeft w:val="0"/>
          <w:marRight w:val="0"/>
          <w:marTop w:val="0"/>
          <w:marBottom w:val="0"/>
          <w:divBdr>
            <w:top w:val="none" w:sz="0" w:space="0" w:color="auto"/>
            <w:left w:val="none" w:sz="0" w:space="0" w:color="auto"/>
            <w:bottom w:val="none" w:sz="0" w:space="0" w:color="auto"/>
            <w:right w:val="none" w:sz="0" w:space="0" w:color="auto"/>
          </w:divBdr>
        </w:div>
        <w:div w:id="285744378">
          <w:marLeft w:val="0"/>
          <w:marRight w:val="0"/>
          <w:marTop w:val="0"/>
          <w:marBottom w:val="0"/>
          <w:divBdr>
            <w:top w:val="none" w:sz="0" w:space="0" w:color="auto"/>
            <w:left w:val="none" w:sz="0" w:space="0" w:color="auto"/>
            <w:bottom w:val="none" w:sz="0" w:space="0" w:color="auto"/>
            <w:right w:val="none" w:sz="0" w:space="0" w:color="auto"/>
          </w:divBdr>
        </w:div>
        <w:div w:id="351809360">
          <w:marLeft w:val="0"/>
          <w:marRight w:val="0"/>
          <w:marTop w:val="0"/>
          <w:marBottom w:val="0"/>
          <w:divBdr>
            <w:top w:val="none" w:sz="0" w:space="0" w:color="auto"/>
            <w:left w:val="none" w:sz="0" w:space="0" w:color="auto"/>
            <w:bottom w:val="none" w:sz="0" w:space="0" w:color="auto"/>
            <w:right w:val="none" w:sz="0" w:space="0" w:color="auto"/>
          </w:divBdr>
        </w:div>
        <w:div w:id="397553266">
          <w:marLeft w:val="0"/>
          <w:marRight w:val="0"/>
          <w:marTop w:val="0"/>
          <w:marBottom w:val="0"/>
          <w:divBdr>
            <w:top w:val="none" w:sz="0" w:space="0" w:color="auto"/>
            <w:left w:val="none" w:sz="0" w:space="0" w:color="auto"/>
            <w:bottom w:val="none" w:sz="0" w:space="0" w:color="auto"/>
            <w:right w:val="none" w:sz="0" w:space="0" w:color="auto"/>
          </w:divBdr>
        </w:div>
        <w:div w:id="401177070">
          <w:marLeft w:val="0"/>
          <w:marRight w:val="0"/>
          <w:marTop w:val="0"/>
          <w:marBottom w:val="0"/>
          <w:divBdr>
            <w:top w:val="none" w:sz="0" w:space="0" w:color="auto"/>
            <w:left w:val="none" w:sz="0" w:space="0" w:color="auto"/>
            <w:bottom w:val="none" w:sz="0" w:space="0" w:color="auto"/>
            <w:right w:val="none" w:sz="0" w:space="0" w:color="auto"/>
          </w:divBdr>
        </w:div>
        <w:div w:id="422193236">
          <w:marLeft w:val="0"/>
          <w:marRight w:val="0"/>
          <w:marTop w:val="0"/>
          <w:marBottom w:val="0"/>
          <w:divBdr>
            <w:top w:val="none" w:sz="0" w:space="0" w:color="auto"/>
            <w:left w:val="none" w:sz="0" w:space="0" w:color="auto"/>
            <w:bottom w:val="none" w:sz="0" w:space="0" w:color="auto"/>
            <w:right w:val="none" w:sz="0" w:space="0" w:color="auto"/>
          </w:divBdr>
        </w:div>
        <w:div w:id="454640495">
          <w:marLeft w:val="0"/>
          <w:marRight w:val="0"/>
          <w:marTop w:val="0"/>
          <w:marBottom w:val="0"/>
          <w:divBdr>
            <w:top w:val="none" w:sz="0" w:space="0" w:color="auto"/>
            <w:left w:val="none" w:sz="0" w:space="0" w:color="auto"/>
            <w:bottom w:val="none" w:sz="0" w:space="0" w:color="auto"/>
            <w:right w:val="none" w:sz="0" w:space="0" w:color="auto"/>
          </w:divBdr>
        </w:div>
        <w:div w:id="515537580">
          <w:marLeft w:val="0"/>
          <w:marRight w:val="0"/>
          <w:marTop w:val="0"/>
          <w:marBottom w:val="0"/>
          <w:divBdr>
            <w:top w:val="none" w:sz="0" w:space="0" w:color="auto"/>
            <w:left w:val="none" w:sz="0" w:space="0" w:color="auto"/>
            <w:bottom w:val="none" w:sz="0" w:space="0" w:color="auto"/>
            <w:right w:val="none" w:sz="0" w:space="0" w:color="auto"/>
          </w:divBdr>
        </w:div>
        <w:div w:id="541286663">
          <w:marLeft w:val="0"/>
          <w:marRight w:val="0"/>
          <w:marTop w:val="0"/>
          <w:marBottom w:val="0"/>
          <w:divBdr>
            <w:top w:val="none" w:sz="0" w:space="0" w:color="auto"/>
            <w:left w:val="none" w:sz="0" w:space="0" w:color="auto"/>
            <w:bottom w:val="none" w:sz="0" w:space="0" w:color="auto"/>
            <w:right w:val="none" w:sz="0" w:space="0" w:color="auto"/>
          </w:divBdr>
        </w:div>
        <w:div w:id="547569374">
          <w:marLeft w:val="0"/>
          <w:marRight w:val="0"/>
          <w:marTop w:val="0"/>
          <w:marBottom w:val="0"/>
          <w:divBdr>
            <w:top w:val="none" w:sz="0" w:space="0" w:color="auto"/>
            <w:left w:val="none" w:sz="0" w:space="0" w:color="auto"/>
            <w:bottom w:val="none" w:sz="0" w:space="0" w:color="auto"/>
            <w:right w:val="none" w:sz="0" w:space="0" w:color="auto"/>
          </w:divBdr>
        </w:div>
        <w:div w:id="549344597">
          <w:marLeft w:val="0"/>
          <w:marRight w:val="0"/>
          <w:marTop w:val="0"/>
          <w:marBottom w:val="0"/>
          <w:divBdr>
            <w:top w:val="none" w:sz="0" w:space="0" w:color="auto"/>
            <w:left w:val="none" w:sz="0" w:space="0" w:color="auto"/>
            <w:bottom w:val="none" w:sz="0" w:space="0" w:color="auto"/>
            <w:right w:val="none" w:sz="0" w:space="0" w:color="auto"/>
          </w:divBdr>
        </w:div>
        <w:div w:id="584342195">
          <w:marLeft w:val="0"/>
          <w:marRight w:val="0"/>
          <w:marTop w:val="0"/>
          <w:marBottom w:val="0"/>
          <w:divBdr>
            <w:top w:val="none" w:sz="0" w:space="0" w:color="auto"/>
            <w:left w:val="none" w:sz="0" w:space="0" w:color="auto"/>
            <w:bottom w:val="none" w:sz="0" w:space="0" w:color="auto"/>
            <w:right w:val="none" w:sz="0" w:space="0" w:color="auto"/>
          </w:divBdr>
        </w:div>
        <w:div w:id="603727680">
          <w:marLeft w:val="0"/>
          <w:marRight w:val="0"/>
          <w:marTop w:val="0"/>
          <w:marBottom w:val="0"/>
          <w:divBdr>
            <w:top w:val="none" w:sz="0" w:space="0" w:color="auto"/>
            <w:left w:val="none" w:sz="0" w:space="0" w:color="auto"/>
            <w:bottom w:val="none" w:sz="0" w:space="0" w:color="auto"/>
            <w:right w:val="none" w:sz="0" w:space="0" w:color="auto"/>
          </w:divBdr>
        </w:div>
        <w:div w:id="657850802">
          <w:marLeft w:val="0"/>
          <w:marRight w:val="0"/>
          <w:marTop w:val="0"/>
          <w:marBottom w:val="0"/>
          <w:divBdr>
            <w:top w:val="none" w:sz="0" w:space="0" w:color="auto"/>
            <w:left w:val="none" w:sz="0" w:space="0" w:color="auto"/>
            <w:bottom w:val="none" w:sz="0" w:space="0" w:color="auto"/>
            <w:right w:val="none" w:sz="0" w:space="0" w:color="auto"/>
          </w:divBdr>
        </w:div>
        <w:div w:id="660159954">
          <w:marLeft w:val="0"/>
          <w:marRight w:val="0"/>
          <w:marTop w:val="0"/>
          <w:marBottom w:val="0"/>
          <w:divBdr>
            <w:top w:val="none" w:sz="0" w:space="0" w:color="auto"/>
            <w:left w:val="none" w:sz="0" w:space="0" w:color="auto"/>
            <w:bottom w:val="none" w:sz="0" w:space="0" w:color="auto"/>
            <w:right w:val="none" w:sz="0" w:space="0" w:color="auto"/>
          </w:divBdr>
        </w:div>
        <w:div w:id="674457206">
          <w:marLeft w:val="0"/>
          <w:marRight w:val="0"/>
          <w:marTop w:val="0"/>
          <w:marBottom w:val="0"/>
          <w:divBdr>
            <w:top w:val="none" w:sz="0" w:space="0" w:color="auto"/>
            <w:left w:val="none" w:sz="0" w:space="0" w:color="auto"/>
            <w:bottom w:val="none" w:sz="0" w:space="0" w:color="auto"/>
            <w:right w:val="none" w:sz="0" w:space="0" w:color="auto"/>
          </w:divBdr>
        </w:div>
        <w:div w:id="681205334">
          <w:marLeft w:val="0"/>
          <w:marRight w:val="0"/>
          <w:marTop w:val="0"/>
          <w:marBottom w:val="0"/>
          <w:divBdr>
            <w:top w:val="none" w:sz="0" w:space="0" w:color="auto"/>
            <w:left w:val="none" w:sz="0" w:space="0" w:color="auto"/>
            <w:bottom w:val="none" w:sz="0" w:space="0" w:color="auto"/>
            <w:right w:val="none" w:sz="0" w:space="0" w:color="auto"/>
          </w:divBdr>
        </w:div>
        <w:div w:id="689794501">
          <w:marLeft w:val="0"/>
          <w:marRight w:val="0"/>
          <w:marTop w:val="0"/>
          <w:marBottom w:val="0"/>
          <w:divBdr>
            <w:top w:val="none" w:sz="0" w:space="0" w:color="auto"/>
            <w:left w:val="none" w:sz="0" w:space="0" w:color="auto"/>
            <w:bottom w:val="none" w:sz="0" w:space="0" w:color="auto"/>
            <w:right w:val="none" w:sz="0" w:space="0" w:color="auto"/>
          </w:divBdr>
        </w:div>
        <w:div w:id="755520689">
          <w:marLeft w:val="0"/>
          <w:marRight w:val="0"/>
          <w:marTop w:val="0"/>
          <w:marBottom w:val="0"/>
          <w:divBdr>
            <w:top w:val="none" w:sz="0" w:space="0" w:color="auto"/>
            <w:left w:val="none" w:sz="0" w:space="0" w:color="auto"/>
            <w:bottom w:val="none" w:sz="0" w:space="0" w:color="auto"/>
            <w:right w:val="none" w:sz="0" w:space="0" w:color="auto"/>
          </w:divBdr>
        </w:div>
        <w:div w:id="778794700">
          <w:marLeft w:val="0"/>
          <w:marRight w:val="0"/>
          <w:marTop w:val="0"/>
          <w:marBottom w:val="0"/>
          <w:divBdr>
            <w:top w:val="none" w:sz="0" w:space="0" w:color="auto"/>
            <w:left w:val="none" w:sz="0" w:space="0" w:color="auto"/>
            <w:bottom w:val="none" w:sz="0" w:space="0" w:color="auto"/>
            <w:right w:val="none" w:sz="0" w:space="0" w:color="auto"/>
          </w:divBdr>
        </w:div>
        <w:div w:id="783353993">
          <w:marLeft w:val="0"/>
          <w:marRight w:val="0"/>
          <w:marTop w:val="0"/>
          <w:marBottom w:val="0"/>
          <w:divBdr>
            <w:top w:val="none" w:sz="0" w:space="0" w:color="auto"/>
            <w:left w:val="none" w:sz="0" w:space="0" w:color="auto"/>
            <w:bottom w:val="none" w:sz="0" w:space="0" w:color="auto"/>
            <w:right w:val="none" w:sz="0" w:space="0" w:color="auto"/>
          </w:divBdr>
        </w:div>
        <w:div w:id="790972392">
          <w:marLeft w:val="0"/>
          <w:marRight w:val="0"/>
          <w:marTop w:val="0"/>
          <w:marBottom w:val="0"/>
          <w:divBdr>
            <w:top w:val="none" w:sz="0" w:space="0" w:color="auto"/>
            <w:left w:val="none" w:sz="0" w:space="0" w:color="auto"/>
            <w:bottom w:val="none" w:sz="0" w:space="0" w:color="auto"/>
            <w:right w:val="none" w:sz="0" w:space="0" w:color="auto"/>
          </w:divBdr>
        </w:div>
        <w:div w:id="916746177">
          <w:marLeft w:val="0"/>
          <w:marRight w:val="0"/>
          <w:marTop w:val="0"/>
          <w:marBottom w:val="0"/>
          <w:divBdr>
            <w:top w:val="none" w:sz="0" w:space="0" w:color="auto"/>
            <w:left w:val="none" w:sz="0" w:space="0" w:color="auto"/>
            <w:bottom w:val="none" w:sz="0" w:space="0" w:color="auto"/>
            <w:right w:val="none" w:sz="0" w:space="0" w:color="auto"/>
          </w:divBdr>
        </w:div>
        <w:div w:id="926033196">
          <w:marLeft w:val="0"/>
          <w:marRight w:val="0"/>
          <w:marTop w:val="0"/>
          <w:marBottom w:val="0"/>
          <w:divBdr>
            <w:top w:val="none" w:sz="0" w:space="0" w:color="auto"/>
            <w:left w:val="none" w:sz="0" w:space="0" w:color="auto"/>
            <w:bottom w:val="none" w:sz="0" w:space="0" w:color="auto"/>
            <w:right w:val="none" w:sz="0" w:space="0" w:color="auto"/>
          </w:divBdr>
        </w:div>
        <w:div w:id="957223537">
          <w:marLeft w:val="0"/>
          <w:marRight w:val="0"/>
          <w:marTop w:val="0"/>
          <w:marBottom w:val="0"/>
          <w:divBdr>
            <w:top w:val="none" w:sz="0" w:space="0" w:color="auto"/>
            <w:left w:val="none" w:sz="0" w:space="0" w:color="auto"/>
            <w:bottom w:val="none" w:sz="0" w:space="0" w:color="auto"/>
            <w:right w:val="none" w:sz="0" w:space="0" w:color="auto"/>
          </w:divBdr>
        </w:div>
        <w:div w:id="973635451">
          <w:marLeft w:val="0"/>
          <w:marRight w:val="0"/>
          <w:marTop w:val="0"/>
          <w:marBottom w:val="0"/>
          <w:divBdr>
            <w:top w:val="none" w:sz="0" w:space="0" w:color="auto"/>
            <w:left w:val="none" w:sz="0" w:space="0" w:color="auto"/>
            <w:bottom w:val="none" w:sz="0" w:space="0" w:color="auto"/>
            <w:right w:val="none" w:sz="0" w:space="0" w:color="auto"/>
          </w:divBdr>
        </w:div>
        <w:div w:id="988901098">
          <w:marLeft w:val="0"/>
          <w:marRight w:val="0"/>
          <w:marTop w:val="0"/>
          <w:marBottom w:val="0"/>
          <w:divBdr>
            <w:top w:val="none" w:sz="0" w:space="0" w:color="auto"/>
            <w:left w:val="none" w:sz="0" w:space="0" w:color="auto"/>
            <w:bottom w:val="none" w:sz="0" w:space="0" w:color="auto"/>
            <w:right w:val="none" w:sz="0" w:space="0" w:color="auto"/>
          </w:divBdr>
        </w:div>
        <w:div w:id="1006711774">
          <w:marLeft w:val="0"/>
          <w:marRight w:val="0"/>
          <w:marTop w:val="0"/>
          <w:marBottom w:val="0"/>
          <w:divBdr>
            <w:top w:val="none" w:sz="0" w:space="0" w:color="auto"/>
            <w:left w:val="none" w:sz="0" w:space="0" w:color="auto"/>
            <w:bottom w:val="none" w:sz="0" w:space="0" w:color="auto"/>
            <w:right w:val="none" w:sz="0" w:space="0" w:color="auto"/>
          </w:divBdr>
        </w:div>
        <w:div w:id="1047609704">
          <w:marLeft w:val="0"/>
          <w:marRight w:val="0"/>
          <w:marTop w:val="0"/>
          <w:marBottom w:val="0"/>
          <w:divBdr>
            <w:top w:val="none" w:sz="0" w:space="0" w:color="auto"/>
            <w:left w:val="none" w:sz="0" w:space="0" w:color="auto"/>
            <w:bottom w:val="none" w:sz="0" w:space="0" w:color="auto"/>
            <w:right w:val="none" w:sz="0" w:space="0" w:color="auto"/>
          </w:divBdr>
        </w:div>
        <w:div w:id="1048794609">
          <w:marLeft w:val="0"/>
          <w:marRight w:val="0"/>
          <w:marTop w:val="0"/>
          <w:marBottom w:val="0"/>
          <w:divBdr>
            <w:top w:val="none" w:sz="0" w:space="0" w:color="auto"/>
            <w:left w:val="none" w:sz="0" w:space="0" w:color="auto"/>
            <w:bottom w:val="none" w:sz="0" w:space="0" w:color="auto"/>
            <w:right w:val="none" w:sz="0" w:space="0" w:color="auto"/>
          </w:divBdr>
        </w:div>
        <w:div w:id="1130516400">
          <w:marLeft w:val="0"/>
          <w:marRight w:val="0"/>
          <w:marTop w:val="0"/>
          <w:marBottom w:val="0"/>
          <w:divBdr>
            <w:top w:val="none" w:sz="0" w:space="0" w:color="auto"/>
            <w:left w:val="none" w:sz="0" w:space="0" w:color="auto"/>
            <w:bottom w:val="none" w:sz="0" w:space="0" w:color="auto"/>
            <w:right w:val="none" w:sz="0" w:space="0" w:color="auto"/>
          </w:divBdr>
        </w:div>
        <w:div w:id="1209803373">
          <w:marLeft w:val="0"/>
          <w:marRight w:val="0"/>
          <w:marTop w:val="0"/>
          <w:marBottom w:val="0"/>
          <w:divBdr>
            <w:top w:val="none" w:sz="0" w:space="0" w:color="auto"/>
            <w:left w:val="none" w:sz="0" w:space="0" w:color="auto"/>
            <w:bottom w:val="none" w:sz="0" w:space="0" w:color="auto"/>
            <w:right w:val="none" w:sz="0" w:space="0" w:color="auto"/>
          </w:divBdr>
        </w:div>
        <w:div w:id="1211309718">
          <w:marLeft w:val="0"/>
          <w:marRight w:val="0"/>
          <w:marTop w:val="0"/>
          <w:marBottom w:val="0"/>
          <w:divBdr>
            <w:top w:val="none" w:sz="0" w:space="0" w:color="auto"/>
            <w:left w:val="none" w:sz="0" w:space="0" w:color="auto"/>
            <w:bottom w:val="none" w:sz="0" w:space="0" w:color="auto"/>
            <w:right w:val="none" w:sz="0" w:space="0" w:color="auto"/>
          </w:divBdr>
        </w:div>
        <w:div w:id="1222794110">
          <w:marLeft w:val="0"/>
          <w:marRight w:val="0"/>
          <w:marTop w:val="0"/>
          <w:marBottom w:val="0"/>
          <w:divBdr>
            <w:top w:val="none" w:sz="0" w:space="0" w:color="auto"/>
            <w:left w:val="none" w:sz="0" w:space="0" w:color="auto"/>
            <w:bottom w:val="none" w:sz="0" w:space="0" w:color="auto"/>
            <w:right w:val="none" w:sz="0" w:space="0" w:color="auto"/>
          </w:divBdr>
        </w:div>
        <w:div w:id="1229851806">
          <w:marLeft w:val="0"/>
          <w:marRight w:val="0"/>
          <w:marTop w:val="0"/>
          <w:marBottom w:val="0"/>
          <w:divBdr>
            <w:top w:val="none" w:sz="0" w:space="0" w:color="auto"/>
            <w:left w:val="none" w:sz="0" w:space="0" w:color="auto"/>
            <w:bottom w:val="none" w:sz="0" w:space="0" w:color="auto"/>
            <w:right w:val="none" w:sz="0" w:space="0" w:color="auto"/>
          </w:divBdr>
        </w:div>
        <w:div w:id="1347560662">
          <w:marLeft w:val="0"/>
          <w:marRight w:val="0"/>
          <w:marTop w:val="0"/>
          <w:marBottom w:val="0"/>
          <w:divBdr>
            <w:top w:val="none" w:sz="0" w:space="0" w:color="auto"/>
            <w:left w:val="none" w:sz="0" w:space="0" w:color="auto"/>
            <w:bottom w:val="none" w:sz="0" w:space="0" w:color="auto"/>
            <w:right w:val="none" w:sz="0" w:space="0" w:color="auto"/>
          </w:divBdr>
        </w:div>
        <w:div w:id="1350451952">
          <w:marLeft w:val="0"/>
          <w:marRight w:val="0"/>
          <w:marTop w:val="0"/>
          <w:marBottom w:val="0"/>
          <w:divBdr>
            <w:top w:val="none" w:sz="0" w:space="0" w:color="auto"/>
            <w:left w:val="none" w:sz="0" w:space="0" w:color="auto"/>
            <w:bottom w:val="none" w:sz="0" w:space="0" w:color="auto"/>
            <w:right w:val="none" w:sz="0" w:space="0" w:color="auto"/>
          </w:divBdr>
        </w:div>
        <w:div w:id="1367368704">
          <w:marLeft w:val="0"/>
          <w:marRight w:val="0"/>
          <w:marTop w:val="0"/>
          <w:marBottom w:val="0"/>
          <w:divBdr>
            <w:top w:val="none" w:sz="0" w:space="0" w:color="auto"/>
            <w:left w:val="none" w:sz="0" w:space="0" w:color="auto"/>
            <w:bottom w:val="none" w:sz="0" w:space="0" w:color="auto"/>
            <w:right w:val="none" w:sz="0" w:space="0" w:color="auto"/>
          </w:divBdr>
        </w:div>
        <w:div w:id="1384674088">
          <w:marLeft w:val="0"/>
          <w:marRight w:val="0"/>
          <w:marTop w:val="0"/>
          <w:marBottom w:val="0"/>
          <w:divBdr>
            <w:top w:val="none" w:sz="0" w:space="0" w:color="auto"/>
            <w:left w:val="none" w:sz="0" w:space="0" w:color="auto"/>
            <w:bottom w:val="none" w:sz="0" w:space="0" w:color="auto"/>
            <w:right w:val="none" w:sz="0" w:space="0" w:color="auto"/>
          </w:divBdr>
        </w:div>
        <w:div w:id="1438793099">
          <w:marLeft w:val="0"/>
          <w:marRight w:val="0"/>
          <w:marTop w:val="0"/>
          <w:marBottom w:val="0"/>
          <w:divBdr>
            <w:top w:val="none" w:sz="0" w:space="0" w:color="auto"/>
            <w:left w:val="none" w:sz="0" w:space="0" w:color="auto"/>
            <w:bottom w:val="none" w:sz="0" w:space="0" w:color="auto"/>
            <w:right w:val="none" w:sz="0" w:space="0" w:color="auto"/>
          </w:divBdr>
        </w:div>
        <w:div w:id="1463571402">
          <w:marLeft w:val="0"/>
          <w:marRight w:val="0"/>
          <w:marTop w:val="0"/>
          <w:marBottom w:val="0"/>
          <w:divBdr>
            <w:top w:val="none" w:sz="0" w:space="0" w:color="auto"/>
            <w:left w:val="none" w:sz="0" w:space="0" w:color="auto"/>
            <w:bottom w:val="none" w:sz="0" w:space="0" w:color="auto"/>
            <w:right w:val="none" w:sz="0" w:space="0" w:color="auto"/>
          </w:divBdr>
        </w:div>
        <w:div w:id="1555432039">
          <w:marLeft w:val="0"/>
          <w:marRight w:val="0"/>
          <w:marTop w:val="0"/>
          <w:marBottom w:val="0"/>
          <w:divBdr>
            <w:top w:val="none" w:sz="0" w:space="0" w:color="auto"/>
            <w:left w:val="none" w:sz="0" w:space="0" w:color="auto"/>
            <w:bottom w:val="none" w:sz="0" w:space="0" w:color="auto"/>
            <w:right w:val="none" w:sz="0" w:space="0" w:color="auto"/>
          </w:divBdr>
        </w:div>
        <w:div w:id="1565988439">
          <w:marLeft w:val="0"/>
          <w:marRight w:val="0"/>
          <w:marTop w:val="0"/>
          <w:marBottom w:val="0"/>
          <w:divBdr>
            <w:top w:val="none" w:sz="0" w:space="0" w:color="auto"/>
            <w:left w:val="none" w:sz="0" w:space="0" w:color="auto"/>
            <w:bottom w:val="none" w:sz="0" w:space="0" w:color="auto"/>
            <w:right w:val="none" w:sz="0" w:space="0" w:color="auto"/>
          </w:divBdr>
        </w:div>
        <w:div w:id="1579093984">
          <w:marLeft w:val="0"/>
          <w:marRight w:val="0"/>
          <w:marTop w:val="0"/>
          <w:marBottom w:val="0"/>
          <w:divBdr>
            <w:top w:val="none" w:sz="0" w:space="0" w:color="auto"/>
            <w:left w:val="none" w:sz="0" w:space="0" w:color="auto"/>
            <w:bottom w:val="none" w:sz="0" w:space="0" w:color="auto"/>
            <w:right w:val="none" w:sz="0" w:space="0" w:color="auto"/>
          </w:divBdr>
        </w:div>
        <w:div w:id="1585989559">
          <w:marLeft w:val="0"/>
          <w:marRight w:val="0"/>
          <w:marTop w:val="0"/>
          <w:marBottom w:val="0"/>
          <w:divBdr>
            <w:top w:val="none" w:sz="0" w:space="0" w:color="auto"/>
            <w:left w:val="none" w:sz="0" w:space="0" w:color="auto"/>
            <w:bottom w:val="none" w:sz="0" w:space="0" w:color="auto"/>
            <w:right w:val="none" w:sz="0" w:space="0" w:color="auto"/>
          </w:divBdr>
        </w:div>
        <w:div w:id="1594707800">
          <w:marLeft w:val="0"/>
          <w:marRight w:val="0"/>
          <w:marTop w:val="0"/>
          <w:marBottom w:val="0"/>
          <w:divBdr>
            <w:top w:val="none" w:sz="0" w:space="0" w:color="auto"/>
            <w:left w:val="none" w:sz="0" w:space="0" w:color="auto"/>
            <w:bottom w:val="none" w:sz="0" w:space="0" w:color="auto"/>
            <w:right w:val="none" w:sz="0" w:space="0" w:color="auto"/>
          </w:divBdr>
        </w:div>
        <w:div w:id="1610812706">
          <w:marLeft w:val="0"/>
          <w:marRight w:val="0"/>
          <w:marTop w:val="0"/>
          <w:marBottom w:val="0"/>
          <w:divBdr>
            <w:top w:val="none" w:sz="0" w:space="0" w:color="auto"/>
            <w:left w:val="none" w:sz="0" w:space="0" w:color="auto"/>
            <w:bottom w:val="none" w:sz="0" w:space="0" w:color="auto"/>
            <w:right w:val="none" w:sz="0" w:space="0" w:color="auto"/>
          </w:divBdr>
        </w:div>
        <w:div w:id="1634214807">
          <w:marLeft w:val="0"/>
          <w:marRight w:val="0"/>
          <w:marTop w:val="0"/>
          <w:marBottom w:val="0"/>
          <w:divBdr>
            <w:top w:val="none" w:sz="0" w:space="0" w:color="auto"/>
            <w:left w:val="none" w:sz="0" w:space="0" w:color="auto"/>
            <w:bottom w:val="none" w:sz="0" w:space="0" w:color="auto"/>
            <w:right w:val="none" w:sz="0" w:space="0" w:color="auto"/>
          </w:divBdr>
        </w:div>
        <w:div w:id="1646619845">
          <w:marLeft w:val="0"/>
          <w:marRight w:val="0"/>
          <w:marTop w:val="0"/>
          <w:marBottom w:val="0"/>
          <w:divBdr>
            <w:top w:val="none" w:sz="0" w:space="0" w:color="auto"/>
            <w:left w:val="none" w:sz="0" w:space="0" w:color="auto"/>
            <w:bottom w:val="none" w:sz="0" w:space="0" w:color="auto"/>
            <w:right w:val="none" w:sz="0" w:space="0" w:color="auto"/>
          </w:divBdr>
        </w:div>
        <w:div w:id="1667630423">
          <w:marLeft w:val="0"/>
          <w:marRight w:val="0"/>
          <w:marTop w:val="0"/>
          <w:marBottom w:val="0"/>
          <w:divBdr>
            <w:top w:val="none" w:sz="0" w:space="0" w:color="auto"/>
            <w:left w:val="none" w:sz="0" w:space="0" w:color="auto"/>
            <w:bottom w:val="none" w:sz="0" w:space="0" w:color="auto"/>
            <w:right w:val="none" w:sz="0" w:space="0" w:color="auto"/>
          </w:divBdr>
        </w:div>
        <w:div w:id="1693721692">
          <w:marLeft w:val="0"/>
          <w:marRight w:val="0"/>
          <w:marTop w:val="0"/>
          <w:marBottom w:val="0"/>
          <w:divBdr>
            <w:top w:val="none" w:sz="0" w:space="0" w:color="auto"/>
            <w:left w:val="none" w:sz="0" w:space="0" w:color="auto"/>
            <w:bottom w:val="none" w:sz="0" w:space="0" w:color="auto"/>
            <w:right w:val="none" w:sz="0" w:space="0" w:color="auto"/>
          </w:divBdr>
        </w:div>
        <w:div w:id="1717703081">
          <w:marLeft w:val="0"/>
          <w:marRight w:val="0"/>
          <w:marTop w:val="0"/>
          <w:marBottom w:val="0"/>
          <w:divBdr>
            <w:top w:val="none" w:sz="0" w:space="0" w:color="auto"/>
            <w:left w:val="none" w:sz="0" w:space="0" w:color="auto"/>
            <w:bottom w:val="none" w:sz="0" w:space="0" w:color="auto"/>
            <w:right w:val="none" w:sz="0" w:space="0" w:color="auto"/>
          </w:divBdr>
        </w:div>
        <w:div w:id="1730422128">
          <w:marLeft w:val="0"/>
          <w:marRight w:val="0"/>
          <w:marTop w:val="0"/>
          <w:marBottom w:val="0"/>
          <w:divBdr>
            <w:top w:val="none" w:sz="0" w:space="0" w:color="auto"/>
            <w:left w:val="none" w:sz="0" w:space="0" w:color="auto"/>
            <w:bottom w:val="none" w:sz="0" w:space="0" w:color="auto"/>
            <w:right w:val="none" w:sz="0" w:space="0" w:color="auto"/>
          </w:divBdr>
        </w:div>
        <w:div w:id="1737624606">
          <w:marLeft w:val="0"/>
          <w:marRight w:val="0"/>
          <w:marTop w:val="0"/>
          <w:marBottom w:val="0"/>
          <w:divBdr>
            <w:top w:val="none" w:sz="0" w:space="0" w:color="auto"/>
            <w:left w:val="none" w:sz="0" w:space="0" w:color="auto"/>
            <w:bottom w:val="none" w:sz="0" w:space="0" w:color="auto"/>
            <w:right w:val="none" w:sz="0" w:space="0" w:color="auto"/>
          </w:divBdr>
        </w:div>
        <w:div w:id="1754204866">
          <w:marLeft w:val="0"/>
          <w:marRight w:val="0"/>
          <w:marTop w:val="0"/>
          <w:marBottom w:val="0"/>
          <w:divBdr>
            <w:top w:val="none" w:sz="0" w:space="0" w:color="auto"/>
            <w:left w:val="none" w:sz="0" w:space="0" w:color="auto"/>
            <w:bottom w:val="none" w:sz="0" w:space="0" w:color="auto"/>
            <w:right w:val="none" w:sz="0" w:space="0" w:color="auto"/>
          </w:divBdr>
        </w:div>
        <w:div w:id="1821270281">
          <w:marLeft w:val="0"/>
          <w:marRight w:val="0"/>
          <w:marTop w:val="0"/>
          <w:marBottom w:val="0"/>
          <w:divBdr>
            <w:top w:val="none" w:sz="0" w:space="0" w:color="auto"/>
            <w:left w:val="none" w:sz="0" w:space="0" w:color="auto"/>
            <w:bottom w:val="none" w:sz="0" w:space="0" w:color="auto"/>
            <w:right w:val="none" w:sz="0" w:space="0" w:color="auto"/>
          </w:divBdr>
        </w:div>
        <w:div w:id="1832091360">
          <w:marLeft w:val="0"/>
          <w:marRight w:val="0"/>
          <w:marTop w:val="0"/>
          <w:marBottom w:val="0"/>
          <w:divBdr>
            <w:top w:val="none" w:sz="0" w:space="0" w:color="auto"/>
            <w:left w:val="none" w:sz="0" w:space="0" w:color="auto"/>
            <w:bottom w:val="none" w:sz="0" w:space="0" w:color="auto"/>
            <w:right w:val="none" w:sz="0" w:space="0" w:color="auto"/>
          </w:divBdr>
        </w:div>
        <w:div w:id="1834098890">
          <w:marLeft w:val="0"/>
          <w:marRight w:val="0"/>
          <w:marTop w:val="0"/>
          <w:marBottom w:val="0"/>
          <w:divBdr>
            <w:top w:val="none" w:sz="0" w:space="0" w:color="auto"/>
            <w:left w:val="none" w:sz="0" w:space="0" w:color="auto"/>
            <w:bottom w:val="none" w:sz="0" w:space="0" w:color="auto"/>
            <w:right w:val="none" w:sz="0" w:space="0" w:color="auto"/>
          </w:divBdr>
        </w:div>
        <w:div w:id="1906141575">
          <w:marLeft w:val="0"/>
          <w:marRight w:val="0"/>
          <w:marTop w:val="0"/>
          <w:marBottom w:val="0"/>
          <w:divBdr>
            <w:top w:val="none" w:sz="0" w:space="0" w:color="auto"/>
            <w:left w:val="none" w:sz="0" w:space="0" w:color="auto"/>
            <w:bottom w:val="none" w:sz="0" w:space="0" w:color="auto"/>
            <w:right w:val="none" w:sz="0" w:space="0" w:color="auto"/>
          </w:divBdr>
        </w:div>
        <w:div w:id="1907841973">
          <w:marLeft w:val="0"/>
          <w:marRight w:val="0"/>
          <w:marTop w:val="0"/>
          <w:marBottom w:val="0"/>
          <w:divBdr>
            <w:top w:val="none" w:sz="0" w:space="0" w:color="auto"/>
            <w:left w:val="none" w:sz="0" w:space="0" w:color="auto"/>
            <w:bottom w:val="none" w:sz="0" w:space="0" w:color="auto"/>
            <w:right w:val="none" w:sz="0" w:space="0" w:color="auto"/>
          </w:divBdr>
        </w:div>
        <w:div w:id="1978340654">
          <w:marLeft w:val="0"/>
          <w:marRight w:val="0"/>
          <w:marTop w:val="0"/>
          <w:marBottom w:val="0"/>
          <w:divBdr>
            <w:top w:val="none" w:sz="0" w:space="0" w:color="auto"/>
            <w:left w:val="none" w:sz="0" w:space="0" w:color="auto"/>
            <w:bottom w:val="none" w:sz="0" w:space="0" w:color="auto"/>
            <w:right w:val="none" w:sz="0" w:space="0" w:color="auto"/>
          </w:divBdr>
        </w:div>
        <w:div w:id="2042439134">
          <w:marLeft w:val="0"/>
          <w:marRight w:val="0"/>
          <w:marTop w:val="0"/>
          <w:marBottom w:val="0"/>
          <w:divBdr>
            <w:top w:val="none" w:sz="0" w:space="0" w:color="auto"/>
            <w:left w:val="none" w:sz="0" w:space="0" w:color="auto"/>
            <w:bottom w:val="none" w:sz="0" w:space="0" w:color="auto"/>
            <w:right w:val="none" w:sz="0" w:space="0" w:color="auto"/>
          </w:divBdr>
        </w:div>
        <w:div w:id="2091806583">
          <w:marLeft w:val="0"/>
          <w:marRight w:val="0"/>
          <w:marTop w:val="0"/>
          <w:marBottom w:val="0"/>
          <w:divBdr>
            <w:top w:val="none" w:sz="0" w:space="0" w:color="auto"/>
            <w:left w:val="none" w:sz="0" w:space="0" w:color="auto"/>
            <w:bottom w:val="none" w:sz="0" w:space="0" w:color="auto"/>
            <w:right w:val="none" w:sz="0" w:space="0" w:color="auto"/>
          </w:divBdr>
        </w:div>
        <w:div w:id="2113629031">
          <w:marLeft w:val="0"/>
          <w:marRight w:val="0"/>
          <w:marTop w:val="0"/>
          <w:marBottom w:val="0"/>
          <w:divBdr>
            <w:top w:val="none" w:sz="0" w:space="0" w:color="auto"/>
            <w:left w:val="none" w:sz="0" w:space="0" w:color="auto"/>
            <w:bottom w:val="none" w:sz="0" w:space="0" w:color="auto"/>
            <w:right w:val="none" w:sz="0" w:space="0" w:color="auto"/>
          </w:divBdr>
        </w:div>
        <w:div w:id="2130780173">
          <w:marLeft w:val="0"/>
          <w:marRight w:val="0"/>
          <w:marTop w:val="0"/>
          <w:marBottom w:val="0"/>
          <w:divBdr>
            <w:top w:val="none" w:sz="0" w:space="0" w:color="auto"/>
            <w:left w:val="none" w:sz="0" w:space="0" w:color="auto"/>
            <w:bottom w:val="none" w:sz="0" w:space="0" w:color="auto"/>
            <w:right w:val="none" w:sz="0" w:space="0" w:color="auto"/>
          </w:divBdr>
        </w:div>
      </w:divsChild>
    </w:div>
    <w:div w:id="171452936">
      <w:bodyDiv w:val="1"/>
      <w:marLeft w:val="0"/>
      <w:marRight w:val="0"/>
      <w:marTop w:val="0"/>
      <w:marBottom w:val="0"/>
      <w:divBdr>
        <w:top w:val="none" w:sz="0" w:space="0" w:color="auto"/>
        <w:left w:val="none" w:sz="0" w:space="0" w:color="auto"/>
        <w:bottom w:val="none" w:sz="0" w:space="0" w:color="auto"/>
        <w:right w:val="none" w:sz="0" w:space="0" w:color="auto"/>
      </w:divBdr>
      <w:divsChild>
        <w:div w:id="81880976">
          <w:marLeft w:val="0"/>
          <w:marRight w:val="0"/>
          <w:marTop w:val="0"/>
          <w:marBottom w:val="0"/>
          <w:divBdr>
            <w:top w:val="none" w:sz="0" w:space="0" w:color="auto"/>
            <w:left w:val="none" w:sz="0" w:space="0" w:color="auto"/>
            <w:bottom w:val="none" w:sz="0" w:space="0" w:color="auto"/>
            <w:right w:val="none" w:sz="0" w:space="0" w:color="auto"/>
          </w:divBdr>
        </w:div>
        <w:div w:id="86659642">
          <w:marLeft w:val="0"/>
          <w:marRight w:val="0"/>
          <w:marTop w:val="0"/>
          <w:marBottom w:val="0"/>
          <w:divBdr>
            <w:top w:val="none" w:sz="0" w:space="0" w:color="auto"/>
            <w:left w:val="none" w:sz="0" w:space="0" w:color="auto"/>
            <w:bottom w:val="none" w:sz="0" w:space="0" w:color="auto"/>
            <w:right w:val="none" w:sz="0" w:space="0" w:color="auto"/>
          </w:divBdr>
        </w:div>
        <w:div w:id="113722018">
          <w:marLeft w:val="0"/>
          <w:marRight w:val="0"/>
          <w:marTop w:val="0"/>
          <w:marBottom w:val="0"/>
          <w:divBdr>
            <w:top w:val="none" w:sz="0" w:space="0" w:color="auto"/>
            <w:left w:val="none" w:sz="0" w:space="0" w:color="auto"/>
            <w:bottom w:val="none" w:sz="0" w:space="0" w:color="auto"/>
            <w:right w:val="none" w:sz="0" w:space="0" w:color="auto"/>
          </w:divBdr>
        </w:div>
        <w:div w:id="246118171">
          <w:marLeft w:val="0"/>
          <w:marRight w:val="0"/>
          <w:marTop w:val="0"/>
          <w:marBottom w:val="0"/>
          <w:divBdr>
            <w:top w:val="none" w:sz="0" w:space="0" w:color="auto"/>
            <w:left w:val="none" w:sz="0" w:space="0" w:color="auto"/>
            <w:bottom w:val="none" w:sz="0" w:space="0" w:color="auto"/>
            <w:right w:val="none" w:sz="0" w:space="0" w:color="auto"/>
          </w:divBdr>
        </w:div>
        <w:div w:id="253125221">
          <w:marLeft w:val="0"/>
          <w:marRight w:val="0"/>
          <w:marTop w:val="0"/>
          <w:marBottom w:val="0"/>
          <w:divBdr>
            <w:top w:val="none" w:sz="0" w:space="0" w:color="auto"/>
            <w:left w:val="none" w:sz="0" w:space="0" w:color="auto"/>
            <w:bottom w:val="none" w:sz="0" w:space="0" w:color="auto"/>
            <w:right w:val="none" w:sz="0" w:space="0" w:color="auto"/>
          </w:divBdr>
        </w:div>
        <w:div w:id="445545184">
          <w:marLeft w:val="0"/>
          <w:marRight w:val="0"/>
          <w:marTop w:val="0"/>
          <w:marBottom w:val="0"/>
          <w:divBdr>
            <w:top w:val="none" w:sz="0" w:space="0" w:color="auto"/>
            <w:left w:val="none" w:sz="0" w:space="0" w:color="auto"/>
            <w:bottom w:val="none" w:sz="0" w:space="0" w:color="auto"/>
            <w:right w:val="none" w:sz="0" w:space="0" w:color="auto"/>
          </w:divBdr>
        </w:div>
        <w:div w:id="491331667">
          <w:marLeft w:val="0"/>
          <w:marRight w:val="0"/>
          <w:marTop w:val="0"/>
          <w:marBottom w:val="0"/>
          <w:divBdr>
            <w:top w:val="none" w:sz="0" w:space="0" w:color="auto"/>
            <w:left w:val="none" w:sz="0" w:space="0" w:color="auto"/>
            <w:bottom w:val="none" w:sz="0" w:space="0" w:color="auto"/>
            <w:right w:val="none" w:sz="0" w:space="0" w:color="auto"/>
          </w:divBdr>
        </w:div>
        <w:div w:id="501898683">
          <w:marLeft w:val="0"/>
          <w:marRight w:val="0"/>
          <w:marTop w:val="0"/>
          <w:marBottom w:val="0"/>
          <w:divBdr>
            <w:top w:val="none" w:sz="0" w:space="0" w:color="auto"/>
            <w:left w:val="none" w:sz="0" w:space="0" w:color="auto"/>
            <w:bottom w:val="none" w:sz="0" w:space="0" w:color="auto"/>
            <w:right w:val="none" w:sz="0" w:space="0" w:color="auto"/>
          </w:divBdr>
        </w:div>
        <w:div w:id="526873654">
          <w:marLeft w:val="0"/>
          <w:marRight w:val="0"/>
          <w:marTop w:val="0"/>
          <w:marBottom w:val="0"/>
          <w:divBdr>
            <w:top w:val="none" w:sz="0" w:space="0" w:color="auto"/>
            <w:left w:val="none" w:sz="0" w:space="0" w:color="auto"/>
            <w:bottom w:val="none" w:sz="0" w:space="0" w:color="auto"/>
            <w:right w:val="none" w:sz="0" w:space="0" w:color="auto"/>
          </w:divBdr>
        </w:div>
        <w:div w:id="577905849">
          <w:marLeft w:val="0"/>
          <w:marRight w:val="0"/>
          <w:marTop w:val="0"/>
          <w:marBottom w:val="0"/>
          <w:divBdr>
            <w:top w:val="none" w:sz="0" w:space="0" w:color="auto"/>
            <w:left w:val="none" w:sz="0" w:space="0" w:color="auto"/>
            <w:bottom w:val="none" w:sz="0" w:space="0" w:color="auto"/>
            <w:right w:val="none" w:sz="0" w:space="0" w:color="auto"/>
          </w:divBdr>
        </w:div>
        <w:div w:id="645478356">
          <w:marLeft w:val="0"/>
          <w:marRight w:val="0"/>
          <w:marTop w:val="0"/>
          <w:marBottom w:val="0"/>
          <w:divBdr>
            <w:top w:val="none" w:sz="0" w:space="0" w:color="auto"/>
            <w:left w:val="none" w:sz="0" w:space="0" w:color="auto"/>
            <w:bottom w:val="none" w:sz="0" w:space="0" w:color="auto"/>
            <w:right w:val="none" w:sz="0" w:space="0" w:color="auto"/>
          </w:divBdr>
        </w:div>
        <w:div w:id="736634994">
          <w:marLeft w:val="0"/>
          <w:marRight w:val="0"/>
          <w:marTop w:val="0"/>
          <w:marBottom w:val="0"/>
          <w:divBdr>
            <w:top w:val="none" w:sz="0" w:space="0" w:color="auto"/>
            <w:left w:val="none" w:sz="0" w:space="0" w:color="auto"/>
            <w:bottom w:val="none" w:sz="0" w:space="0" w:color="auto"/>
            <w:right w:val="none" w:sz="0" w:space="0" w:color="auto"/>
          </w:divBdr>
        </w:div>
        <w:div w:id="741634602">
          <w:marLeft w:val="0"/>
          <w:marRight w:val="0"/>
          <w:marTop w:val="0"/>
          <w:marBottom w:val="0"/>
          <w:divBdr>
            <w:top w:val="none" w:sz="0" w:space="0" w:color="auto"/>
            <w:left w:val="none" w:sz="0" w:space="0" w:color="auto"/>
            <w:bottom w:val="none" w:sz="0" w:space="0" w:color="auto"/>
            <w:right w:val="none" w:sz="0" w:space="0" w:color="auto"/>
          </w:divBdr>
        </w:div>
        <w:div w:id="801313772">
          <w:marLeft w:val="0"/>
          <w:marRight w:val="0"/>
          <w:marTop w:val="0"/>
          <w:marBottom w:val="0"/>
          <w:divBdr>
            <w:top w:val="none" w:sz="0" w:space="0" w:color="auto"/>
            <w:left w:val="none" w:sz="0" w:space="0" w:color="auto"/>
            <w:bottom w:val="none" w:sz="0" w:space="0" w:color="auto"/>
            <w:right w:val="none" w:sz="0" w:space="0" w:color="auto"/>
          </w:divBdr>
        </w:div>
        <w:div w:id="806702046">
          <w:marLeft w:val="0"/>
          <w:marRight w:val="0"/>
          <w:marTop w:val="0"/>
          <w:marBottom w:val="0"/>
          <w:divBdr>
            <w:top w:val="none" w:sz="0" w:space="0" w:color="auto"/>
            <w:left w:val="none" w:sz="0" w:space="0" w:color="auto"/>
            <w:bottom w:val="none" w:sz="0" w:space="0" w:color="auto"/>
            <w:right w:val="none" w:sz="0" w:space="0" w:color="auto"/>
          </w:divBdr>
        </w:div>
        <w:div w:id="896475212">
          <w:marLeft w:val="0"/>
          <w:marRight w:val="0"/>
          <w:marTop w:val="0"/>
          <w:marBottom w:val="0"/>
          <w:divBdr>
            <w:top w:val="none" w:sz="0" w:space="0" w:color="auto"/>
            <w:left w:val="none" w:sz="0" w:space="0" w:color="auto"/>
            <w:bottom w:val="none" w:sz="0" w:space="0" w:color="auto"/>
            <w:right w:val="none" w:sz="0" w:space="0" w:color="auto"/>
          </w:divBdr>
        </w:div>
        <w:div w:id="1106657902">
          <w:marLeft w:val="0"/>
          <w:marRight w:val="0"/>
          <w:marTop w:val="0"/>
          <w:marBottom w:val="0"/>
          <w:divBdr>
            <w:top w:val="none" w:sz="0" w:space="0" w:color="auto"/>
            <w:left w:val="none" w:sz="0" w:space="0" w:color="auto"/>
            <w:bottom w:val="none" w:sz="0" w:space="0" w:color="auto"/>
            <w:right w:val="none" w:sz="0" w:space="0" w:color="auto"/>
          </w:divBdr>
        </w:div>
        <w:div w:id="1191532751">
          <w:marLeft w:val="0"/>
          <w:marRight w:val="0"/>
          <w:marTop w:val="0"/>
          <w:marBottom w:val="0"/>
          <w:divBdr>
            <w:top w:val="none" w:sz="0" w:space="0" w:color="auto"/>
            <w:left w:val="none" w:sz="0" w:space="0" w:color="auto"/>
            <w:bottom w:val="none" w:sz="0" w:space="0" w:color="auto"/>
            <w:right w:val="none" w:sz="0" w:space="0" w:color="auto"/>
          </w:divBdr>
        </w:div>
        <w:div w:id="1207062233">
          <w:marLeft w:val="0"/>
          <w:marRight w:val="0"/>
          <w:marTop w:val="0"/>
          <w:marBottom w:val="0"/>
          <w:divBdr>
            <w:top w:val="none" w:sz="0" w:space="0" w:color="auto"/>
            <w:left w:val="none" w:sz="0" w:space="0" w:color="auto"/>
            <w:bottom w:val="none" w:sz="0" w:space="0" w:color="auto"/>
            <w:right w:val="none" w:sz="0" w:space="0" w:color="auto"/>
          </w:divBdr>
        </w:div>
        <w:div w:id="1337919264">
          <w:marLeft w:val="0"/>
          <w:marRight w:val="0"/>
          <w:marTop w:val="0"/>
          <w:marBottom w:val="0"/>
          <w:divBdr>
            <w:top w:val="none" w:sz="0" w:space="0" w:color="auto"/>
            <w:left w:val="none" w:sz="0" w:space="0" w:color="auto"/>
            <w:bottom w:val="none" w:sz="0" w:space="0" w:color="auto"/>
            <w:right w:val="none" w:sz="0" w:space="0" w:color="auto"/>
          </w:divBdr>
        </w:div>
        <w:div w:id="1388407712">
          <w:marLeft w:val="0"/>
          <w:marRight w:val="0"/>
          <w:marTop w:val="0"/>
          <w:marBottom w:val="0"/>
          <w:divBdr>
            <w:top w:val="none" w:sz="0" w:space="0" w:color="auto"/>
            <w:left w:val="none" w:sz="0" w:space="0" w:color="auto"/>
            <w:bottom w:val="none" w:sz="0" w:space="0" w:color="auto"/>
            <w:right w:val="none" w:sz="0" w:space="0" w:color="auto"/>
          </w:divBdr>
        </w:div>
        <w:div w:id="1413041199">
          <w:marLeft w:val="0"/>
          <w:marRight w:val="0"/>
          <w:marTop w:val="0"/>
          <w:marBottom w:val="0"/>
          <w:divBdr>
            <w:top w:val="none" w:sz="0" w:space="0" w:color="auto"/>
            <w:left w:val="none" w:sz="0" w:space="0" w:color="auto"/>
            <w:bottom w:val="none" w:sz="0" w:space="0" w:color="auto"/>
            <w:right w:val="none" w:sz="0" w:space="0" w:color="auto"/>
          </w:divBdr>
        </w:div>
        <w:div w:id="1418399443">
          <w:marLeft w:val="0"/>
          <w:marRight w:val="0"/>
          <w:marTop w:val="0"/>
          <w:marBottom w:val="0"/>
          <w:divBdr>
            <w:top w:val="none" w:sz="0" w:space="0" w:color="auto"/>
            <w:left w:val="none" w:sz="0" w:space="0" w:color="auto"/>
            <w:bottom w:val="none" w:sz="0" w:space="0" w:color="auto"/>
            <w:right w:val="none" w:sz="0" w:space="0" w:color="auto"/>
          </w:divBdr>
        </w:div>
        <w:div w:id="1592933526">
          <w:marLeft w:val="0"/>
          <w:marRight w:val="0"/>
          <w:marTop w:val="0"/>
          <w:marBottom w:val="0"/>
          <w:divBdr>
            <w:top w:val="none" w:sz="0" w:space="0" w:color="auto"/>
            <w:left w:val="none" w:sz="0" w:space="0" w:color="auto"/>
            <w:bottom w:val="none" w:sz="0" w:space="0" w:color="auto"/>
            <w:right w:val="none" w:sz="0" w:space="0" w:color="auto"/>
          </w:divBdr>
        </w:div>
        <w:div w:id="1605916339">
          <w:marLeft w:val="0"/>
          <w:marRight w:val="0"/>
          <w:marTop w:val="0"/>
          <w:marBottom w:val="0"/>
          <w:divBdr>
            <w:top w:val="none" w:sz="0" w:space="0" w:color="auto"/>
            <w:left w:val="none" w:sz="0" w:space="0" w:color="auto"/>
            <w:bottom w:val="none" w:sz="0" w:space="0" w:color="auto"/>
            <w:right w:val="none" w:sz="0" w:space="0" w:color="auto"/>
          </w:divBdr>
        </w:div>
        <w:div w:id="1630159708">
          <w:marLeft w:val="0"/>
          <w:marRight w:val="0"/>
          <w:marTop w:val="0"/>
          <w:marBottom w:val="0"/>
          <w:divBdr>
            <w:top w:val="none" w:sz="0" w:space="0" w:color="auto"/>
            <w:left w:val="none" w:sz="0" w:space="0" w:color="auto"/>
            <w:bottom w:val="none" w:sz="0" w:space="0" w:color="auto"/>
            <w:right w:val="none" w:sz="0" w:space="0" w:color="auto"/>
          </w:divBdr>
        </w:div>
        <w:div w:id="1687177006">
          <w:marLeft w:val="0"/>
          <w:marRight w:val="0"/>
          <w:marTop w:val="0"/>
          <w:marBottom w:val="0"/>
          <w:divBdr>
            <w:top w:val="none" w:sz="0" w:space="0" w:color="auto"/>
            <w:left w:val="none" w:sz="0" w:space="0" w:color="auto"/>
            <w:bottom w:val="none" w:sz="0" w:space="0" w:color="auto"/>
            <w:right w:val="none" w:sz="0" w:space="0" w:color="auto"/>
          </w:divBdr>
        </w:div>
        <w:div w:id="1781995588">
          <w:marLeft w:val="0"/>
          <w:marRight w:val="0"/>
          <w:marTop w:val="0"/>
          <w:marBottom w:val="0"/>
          <w:divBdr>
            <w:top w:val="none" w:sz="0" w:space="0" w:color="auto"/>
            <w:left w:val="none" w:sz="0" w:space="0" w:color="auto"/>
            <w:bottom w:val="none" w:sz="0" w:space="0" w:color="auto"/>
            <w:right w:val="none" w:sz="0" w:space="0" w:color="auto"/>
          </w:divBdr>
        </w:div>
        <w:div w:id="1808664337">
          <w:marLeft w:val="0"/>
          <w:marRight w:val="0"/>
          <w:marTop w:val="0"/>
          <w:marBottom w:val="0"/>
          <w:divBdr>
            <w:top w:val="none" w:sz="0" w:space="0" w:color="auto"/>
            <w:left w:val="none" w:sz="0" w:space="0" w:color="auto"/>
            <w:bottom w:val="none" w:sz="0" w:space="0" w:color="auto"/>
            <w:right w:val="none" w:sz="0" w:space="0" w:color="auto"/>
          </w:divBdr>
        </w:div>
        <w:div w:id="1885746756">
          <w:marLeft w:val="0"/>
          <w:marRight w:val="0"/>
          <w:marTop w:val="0"/>
          <w:marBottom w:val="0"/>
          <w:divBdr>
            <w:top w:val="none" w:sz="0" w:space="0" w:color="auto"/>
            <w:left w:val="none" w:sz="0" w:space="0" w:color="auto"/>
            <w:bottom w:val="none" w:sz="0" w:space="0" w:color="auto"/>
            <w:right w:val="none" w:sz="0" w:space="0" w:color="auto"/>
          </w:divBdr>
        </w:div>
        <w:div w:id="1991707615">
          <w:marLeft w:val="0"/>
          <w:marRight w:val="0"/>
          <w:marTop w:val="0"/>
          <w:marBottom w:val="0"/>
          <w:divBdr>
            <w:top w:val="none" w:sz="0" w:space="0" w:color="auto"/>
            <w:left w:val="none" w:sz="0" w:space="0" w:color="auto"/>
            <w:bottom w:val="none" w:sz="0" w:space="0" w:color="auto"/>
            <w:right w:val="none" w:sz="0" w:space="0" w:color="auto"/>
          </w:divBdr>
        </w:div>
        <w:div w:id="2037581067">
          <w:marLeft w:val="0"/>
          <w:marRight w:val="0"/>
          <w:marTop w:val="0"/>
          <w:marBottom w:val="0"/>
          <w:divBdr>
            <w:top w:val="none" w:sz="0" w:space="0" w:color="auto"/>
            <w:left w:val="none" w:sz="0" w:space="0" w:color="auto"/>
            <w:bottom w:val="none" w:sz="0" w:space="0" w:color="auto"/>
            <w:right w:val="none" w:sz="0" w:space="0" w:color="auto"/>
          </w:divBdr>
        </w:div>
      </w:divsChild>
    </w:div>
    <w:div w:id="191962541">
      <w:bodyDiv w:val="1"/>
      <w:marLeft w:val="0"/>
      <w:marRight w:val="0"/>
      <w:marTop w:val="0"/>
      <w:marBottom w:val="0"/>
      <w:divBdr>
        <w:top w:val="none" w:sz="0" w:space="0" w:color="auto"/>
        <w:left w:val="none" w:sz="0" w:space="0" w:color="auto"/>
        <w:bottom w:val="none" w:sz="0" w:space="0" w:color="auto"/>
        <w:right w:val="none" w:sz="0" w:space="0" w:color="auto"/>
      </w:divBdr>
    </w:div>
    <w:div w:id="197746621">
      <w:bodyDiv w:val="1"/>
      <w:marLeft w:val="0"/>
      <w:marRight w:val="0"/>
      <w:marTop w:val="0"/>
      <w:marBottom w:val="0"/>
      <w:divBdr>
        <w:top w:val="none" w:sz="0" w:space="0" w:color="auto"/>
        <w:left w:val="none" w:sz="0" w:space="0" w:color="auto"/>
        <w:bottom w:val="none" w:sz="0" w:space="0" w:color="auto"/>
        <w:right w:val="none" w:sz="0" w:space="0" w:color="auto"/>
      </w:divBdr>
    </w:div>
    <w:div w:id="228662851">
      <w:bodyDiv w:val="1"/>
      <w:marLeft w:val="0"/>
      <w:marRight w:val="0"/>
      <w:marTop w:val="0"/>
      <w:marBottom w:val="0"/>
      <w:divBdr>
        <w:top w:val="none" w:sz="0" w:space="0" w:color="auto"/>
        <w:left w:val="none" w:sz="0" w:space="0" w:color="auto"/>
        <w:bottom w:val="none" w:sz="0" w:space="0" w:color="auto"/>
        <w:right w:val="none" w:sz="0" w:space="0" w:color="auto"/>
      </w:divBdr>
    </w:div>
    <w:div w:id="270167309">
      <w:bodyDiv w:val="1"/>
      <w:marLeft w:val="0"/>
      <w:marRight w:val="0"/>
      <w:marTop w:val="0"/>
      <w:marBottom w:val="0"/>
      <w:divBdr>
        <w:top w:val="none" w:sz="0" w:space="0" w:color="auto"/>
        <w:left w:val="none" w:sz="0" w:space="0" w:color="auto"/>
        <w:bottom w:val="none" w:sz="0" w:space="0" w:color="auto"/>
        <w:right w:val="none" w:sz="0" w:space="0" w:color="auto"/>
      </w:divBdr>
    </w:div>
    <w:div w:id="278487792">
      <w:bodyDiv w:val="1"/>
      <w:marLeft w:val="0"/>
      <w:marRight w:val="0"/>
      <w:marTop w:val="0"/>
      <w:marBottom w:val="0"/>
      <w:divBdr>
        <w:top w:val="none" w:sz="0" w:space="0" w:color="auto"/>
        <w:left w:val="none" w:sz="0" w:space="0" w:color="auto"/>
        <w:bottom w:val="none" w:sz="0" w:space="0" w:color="auto"/>
        <w:right w:val="none" w:sz="0" w:space="0" w:color="auto"/>
      </w:divBdr>
    </w:div>
    <w:div w:id="289751277">
      <w:bodyDiv w:val="1"/>
      <w:marLeft w:val="0"/>
      <w:marRight w:val="0"/>
      <w:marTop w:val="0"/>
      <w:marBottom w:val="0"/>
      <w:divBdr>
        <w:top w:val="none" w:sz="0" w:space="0" w:color="auto"/>
        <w:left w:val="none" w:sz="0" w:space="0" w:color="auto"/>
        <w:bottom w:val="none" w:sz="0" w:space="0" w:color="auto"/>
        <w:right w:val="none" w:sz="0" w:space="0" w:color="auto"/>
      </w:divBdr>
    </w:div>
    <w:div w:id="298650741">
      <w:bodyDiv w:val="1"/>
      <w:marLeft w:val="0"/>
      <w:marRight w:val="0"/>
      <w:marTop w:val="0"/>
      <w:marBottom w:val="0"/>
      <w:divBdr>
        <w:top w:val="none" w:sz="0" w:space="0" w:color="auto"/>
        <w:left w:val="none" w:sz="0" w:space="0" w:color="auto"/>
        <w:bottom w:val="none" w:sz="0" w:space="0" w:color="auto"/>
        <w:right w:val="none" w:sz="0" w:space="0" w:color="auto"/>
      </w:divBdr>
    </w:div>
    <w:div w:id="329674018">
      <w:bodyDiv w:val="1"/>
      <w:marLeft w:val="0"/>
      <w:marRight w:val="0"/>
      <w:marTop w:val="0"/>
      <w:marBottom w:val="0"/>
      <w:divBdr>
        <w:top w:val="none" w:sz="0" w:space="0" w:color="auto"/>
        <w:left w:val="none" w:sz="0" w:space="0" w:color="auto"/>
        <w:bottom w:val="none" w:sz="0" w:space="0" w:color="auto"/>
        <w:right w:val="none" w:sz="0" w:space="0" w:color="auto"/>
      </w:divBdr>
      <w:divsChild>
        <w:div w:id="85002107">
          <w:marLeft w:val="0"/>
          <w:marRight w:val="0"/>
          <w:marTop w:val="0"/>
          <w:marBottom w:val="0"/>
          <w:divBdr>
            <w:top w:val="none" w:sz="0" w:space="0" w:color="auto"/>
            <w:left w:val="none" w:sz="0" w:space="0" w:color="auto"/>
            <w:bottom w:val="none" w:sz="0" w:space="0" w:color="auto"/>
            <w:right w:val="none" w:sz="0" w:space="0" w:color="auto"/>
          </w:divBdr>
        </w:div>
        <w:div w:id="364450868">
          <w:marLeft w:val="0"/>
          <w:marRight w:val="0"/>
          <w:marTop w:val="0"/>
          <w:marBottom w:val="0"/>
          <w:divBdr>
            <w:top w:val="none" w:sz="0" w:space="0" w:color="auto"/>
            <w:left w:val="none" w:sz="0" w:space="0" w:color="auto"/>
            <w:bottom w:val="none" w:sz="0" w:space="0" w:color="auto"/>
            <w:right w:val="none" w:sz="0" w:space="0" w:color="auto"/>
          </w:divBdr>
        </w:div>
        <w:div w:id="370233188">
          <w:marLeft w:val="0"/>
          <w:marRight w:val="0"/>
          <w:marTop w:val="0"/>
          <w:marBottom w:val="0"/>
          <w:divBdr>
            <w:top w:val="none" w:sz="0" w:space="0" w:color="auto"/>
            <w:left w:val="none" w:sz="0" w:space="0" w:color="auto"/>
            <w:bottom w:val="none" w:sz="0" w:space="0" w:color="auto"/>
            <w:right w:val="none" w:sz="0" w:space="0" w:color="auto"/>
          </w:divBdr>
        </w:div>
        <w:div w:id="449399949">
          <w:marLeft w:val="0"/>
          <w:marRight w:val="0"/>
          <w:marTop w:val="0"/>
          <w:marBottom w:val="0"/>
          <w:divBdr>
            <w:top w:val="none" w:sz="0" w:space="0" w:color="auto"/>
            <w:left w:val="none" w:sz="0" w:space="0" w:color="auto"/>
            <w:bottom w:val="none" w:sz="0" w:space="0" w:color="auto"/>
            <w:right w:val="none" w:sz="0" w:space="0" w:color="auto"/>
          </w:divBdr>
        </w:div>
        <w:div w:id="1209491082">
          <w:marLeft w:val="0"/>
          <w:marRight w:val="0"/>
          <w:marTop w:val="0"/>
          <w:marBottom w:val="0"/>
          <w:divBdr>
            <w:top w:val="none" w:sz="0" w:space="0" w:color="auto"/>
            <w:left w:val="none" w:sz="0" w:space="0" w:color="auto"/>
            <w:bottom w:val="none" w:sz="0" w:space="0" w:color="auto"/>
            <w:right w:val="none" w:sz="0" w:space="0" w:color="auto"/>
          </w:divBdr>
        </w:div>
        <w:div w:id="1554923812">
          <w:marLeft w:val="0"/>
          <w:marRight w:val="0"/>
          <w:marTop w:val="0"/>
          <w:marBottom w:val="0"/>
          <w:divBdr>
            <w:top w:val="none" w:sz="0" w:space="0" w:color="auto"/>
            <w:left w:val="none" w:sz="0" w:space="0" w:color="auto"/>
            <w:bottom w:val="none" w:sz="0" w:space="0" w:color="auto"/>
            <w:right w:val="none" w:sz="0" w:space="0" w:color="auto"/>
          </w:divBdr>
        </w:div>
      </w:divsChild>
    </w:div>
    <w:div w:id="357465630">
      <w:bodyDiv w:val="1"/>
      <w:marLeft w:val="0"/>
      <w:marRight w:val="0"/>
      <w:marTop w:val="0"/>
      <w:marBottom w:val="0"/>
      <w:divBdr>
        <w:top w:val="none" w:sz="0" w:space="0" w:color="auto"/>
        <w:left w:val="none" w:sz="0" w:space="0" w:color="auto"/>
        <w:bottom w:val="none" w:sz="0" w:space="0" w:color="auto"/>
        <w:right w:val="none" w:sz="0" w:space="0" w:color="auto"/>
      </w:divBdr>
      <w:divsChild>
        <w:div w:id="4288165">
          <w:marLeft w:val="0"/>
          <w:marRight w:val="0"/>
          <w:marTop w:val="0"/>
          <w:marBottom w:val="0"/>
          <w:divBdr>
            <w:top w:val="none" w:sz="0" w:space="0" w:color="auto"/>
            <w:left w:val="none" w:sz="0" w:space="0" w:color="auto"/>
            <w:bottom w:val="none" w:sz="0" w:space="0" w:color="auto"/>
            <w:right w:val="none" w:sz="0" w:space="0" w:color="auto"/>
          </w:divBdr>
        </w:div>
        <w:div w:id="103772011">
          <w:marLeft w:val="0"/>
          <w:marRight w:val="0"/>
          <w:marTop w:val="0"/>
          <w:marBottom w:val="0"/>
          <w:divBdr>
            <w:top w:val="none" w:sz="0" w:space="0" w:color="auto"/>
            <w:left w:val="none" w:sz="0" w:space="0" w:color="auto"/>
            <w:bottom w:val="none" w:sz="0" w:space="0" w:color="auto"/>
            <w:right w:val="none" w:sz="0" w:space="0" w:color="auto"/>
          </w:divBdr>
        </w:div>
        <w:div w:id="174616811">
          <w:marLeft w:val="0"/>
          <w:marRight w:val="0"/>
          <w:marTop w:val="0"/>
          <w:marBottom w:val="0"/>
          <w:divBdr>
            <w:top w:val="none" w:sz="0" w:space="0" w:color="auto"/>
            <w:left w:val="none" w:sz="0" w:space="0" w:color="auto"/>
            <w:bottom w:val="none" w:sz="0" w:space="0" w:color="auto"/>
            <w:right w:val="none" w:sz="0" w:space="0" w:color="auto"/>
          </w:divBdr>
        </w:div>
        <w:div w:id="259028001">
          <w:marLeft w:val="0"/>
          <w:marRight w:val="0"/>
          <w:marTop w:val="0"/>
          <w:marBottom w:val="0"/>
          <w:divBdr>
            <w:top w:val="none" w:sz="0" w:space="0" w:color="auto"/>
            <w:left w:val="none" w:sz="0" w:space="0" w:color="auto"/>
            <w:bottom w:val="none" w:sz="0" w:space="0" w:color="auto"/>
            <w:right w:val="none" w:sz="0" w:space="0" w:color="auto"/>
          </w:divBdr>
        </w:div>
        <w:div w:id="265967027">
          <w:marLeft w:val="0"/>
          <w:marRight w:val="0"/>
          <w:marTop w:val="0"/>
          <w:marBottom w:val="0"/>
          <w:divBdr>
            <w:top w:val="none" w:sz="0" w:space="0" w:color="auto"/>
            <w:left w:val="none" w:sz="0" w:space="0" w:color="auto"/>
            <w:bottom w:val="none" w:sz="0" w:space="0" w:color="auto"/>
            <w:right w:val="none" w:sz="0" w:space="0" w:color="auto"/>
          </w:divBdr>
        </w:div>
        <w:div w:id="344554977">
          <w:marLeft w:val="0"/>
          <w:marRight w:val="0"/>
          <w:marTop w:val="0"/>
          <w:marBottom w:val="0"/>
          <w:divBdr>
            <w:top w:val="none" w:sz="0" w:space="0" w:color="auto"/>
            <w:left w:val="none" w:sz="0" w:space="0" w:color="auto"/>
            <w:bottom w:val="none" w:sz="0" w:space="0" w:color="auto"/>
            <w:right w:val="none" w:sz="0" w:space="0" w:color="auto"/>
          </w:divBdr>
        </w:div>
        <w:div w:id="354774691">
          <w:marLeft w:val="0"/>
          <w:marRight w:val="0"/>
          <w:marTop w:val="0"/>
          <w:marBottom w:val="0"/>
          <w:divBdr>
            <w:top w:val="none" w:sz="0" w:space="0" w:color="auto"/>
            <w:left w:val="none" w:sz="0" w:space="0" w:color="auto"/>
            <w:bottom w:val="none" w:sz="0" w:space="0" w:color="auto"/>
            <w:right w:val="none" w:sz="0" w:space="0" w:color="auto"/>
          </w:divBdr>
        </w:div>
        <w:div w:id="399135921">
          <w:marLeft w:val="0"/>
          <w:marRight w:val="0"/>
          <w:marTop w:val="0"/>
          <w:marBottom w:val="0"/>
          <w:divBdr>
            <w:top w:val="none" w:sz="0" w:space="0" w:color="auto"/>
            <w:left w:val="none" w:sz="0" w:space="0" w:color="auto"/>
            <w:bottom w:val="none" w:sz="0" w:space="0" w:color="auto"/>
            <w:right w:val="none" w:sz="0" w:space="0" w:color="auto"/>
          </w:divBdr>
        </w:div>
        <w:div w:id="490828178">
          <w:marLeft w:val="0"/>
          <w:marRight w:val="0"/>
          <w:marTop w:val="0"/>
          <w:marBottom w:val="0"/>
          <w:divBdr>
            <w:top w:val="none" w:sz="0" w:space="0" w:color="auto"/>
            <w:left w:val="none" w:sz="0" w:space="0" w:color="auto"/>
            <w:bottom w:val="none" w:sz="0" w:space="0" w:color="auto"/>
            <w:right w:val="none" w:sz="0" w:space="0" w:color="auto"/>
          </w:divBdr>
        </w:div>
        <w:div w:id="658047198">
          <w:marLeft w:val="0"/>
          <w:marRight w:val="0"/>
          <w:marTop w:val="0"/>
          <w:marBottom w:val="0"/>
          <w:divBdr>
            <w:top w:val="none" w:sz="0" w:space="0" w:color="auto"/>
            <w:left w:val="none" w:sz="0" w:space="0" w:color="auto"/>
            <w:bottom w:val="none" w:sz="0" w:space="0" w:color="auto"/>
            <w:right w:val="none" w:sz="0" w:space="0" w:color="auto"/>
          </w:divBdr>
        </w:div>
        <w:div w:id="708071063">
          <w:marLeft w:val="0"/>
          <w:marRight w:val="0"/>
          <w:marTop w:val="0"/>
          <w:marBottom w:val="0"/>
          <w:divBdr>
            <w:top w:val="none" w:sz="0" w:space="0" w:color="auto"/>
            <w:left w:val="none" w:sz="0" w:space="0" w:color="auto"/>
            <w:bottom w:val="none" w:sz="0" w:space="0" w:color="auto"/>
            <w:right w:val="none" w:sz="0" w:space="0" w:color="auto"/>
          </w:divBdr>
        </w:div>
        <w:div w:id="829255005">
          <w:marLeft w:val="0"/>
          <w:marRight w:val="0"/>
          <w:marTop w:val="0"/>
          <w:marBottom w:val="0"/>
          <w:divBdr>
            <w:top w:val="none" w:sz="0" w:space="0" w:color="auto"/>
            <w:left w:val="none" w:sz="0" w:space="0" w:color="auto"/>
            <w:bottom w:val="none" w:sz="0" w:space="0" w:color="auto"/>
            <w:right w:val="none" w:sz="0" w:space="0" w:color="auto"/>
          </w:divBdr>
        </w:div>
        <w:div w:id="860315191">
          <w:marLeft w:val="0"/>
          <w:marRight w:val="0"/>
          <w:marTop w:val="0"/>
          <w:marBottom w:val="0"/>
          <w:divBdr>
            <w:top w:val="none" w:sz="0" w:space="0" w:color="auto"/>
            <w:left w:val="none" w:sz="0" w:space="0" w:color="auto"/>
            <w:bottom w:val="none" w:sz="0" w:space="0" w:color="auto"/>
            <w:right w:val="none" w:sz="0" w:space="0" w:color="auto"/>
          </w:divBdr>
        </w:div>
        <w:div w:id="864828914">
          <w:marLeft w:val="0"/>
          <w:marRight w:val="0"/>
          <w:marTop w:val="0"/>
          <w:marBottom w:val="0"/>
          <w:divBdr>
            <w:top w:val="none" w:sz="0" w:space="0" w:color="auto"/>
            <w:left w:val="none" w:sz="0" w:space="0" w:color="auto"/>
            <w:bottom w:val="none" w:sz="0" w:space="0" w:color="auto"/>
            <w:right w:val="none" w:sz="0" w:space="0" w:color="auto"/>
          </w:divBdr>
        </w:div>
        <w:div w:id="901256253">
          <w:marLeft w:val="0"/>
          <w:marRight w:val="0"/>
          <w:marTop w:val="0"/>
          <w:marBottom w:val="0"/>
          <w:divBdr>
            <w:top w:val="none" w:sz="0" w:space="0" w:color="auto"/>
            <w:left w:val="none" w:sz="0" w:space="0" w:color="auto"/>
            <w:bottom w:val="none" w:sz="0" w:space="0" w:color="auto"/>
            <w:right w:val="none" w:sz="0" w:space="0" w:color="auto"/>
          </w:divBdr>
        </w:div>
        <w:div w:id="1001155356">
          <w:marLeft w:val="0"/>
          <w:marRight w:val="0"/>
          <w:marTop w:val="0"/>
          <w:marBottom w:val="0"/>
          <w:divBdr>
            <w:top w:val="none" w:sz="0" w:space="0" w:color="auto"/>
            <w:left w:val="none" w:sz="0" w:space="0" w:color="auto"/>
            <w:bottom w:val="none" w:sz="0" w:space="0" w:color="auto"/>
            <w:right w:val="none" w:sz="0" w:space="0" w:color="auto"/>
          </w:divBdr>
        </w:div>
        <w:div w:id="1009210462">
          <w:marLeft w:val="0"/>
          <w:marRight w:val="0"/>
          <w:marTop w:val="0"/>
          <w:marBottom w:val="0"/>
          <w:divBdr>
            <w:top w:val="none" w:sz="0" w:space="0" w:color="auto"/>
            <w:left w:val="none" w:sz="0" w:space="0" w:color="auto"/>
            <w:bottom w:val="none" w:sz="0" w:space="0" w:color="auto"/>
            <w:right w:val="none" w:sz="0" w:space="0" w:color="auto"/>
          </w:divBdr>
        </w:div>
        <w:div w:id="1326662688">
          <w:marLeft w:val="0"/>
          <w:marRight w:val="0"/>
          <w:marTop w:val="0"/>
          <w:marBottom w:val="0"/>
          <w:divBdr>
            <w:top w:val="none" w:sz="0" w:space="0" w:color="auto"/>
            <w:left w:val="none" w:sz="0" w:space="0" w:color="auto"/>
            <w:bottom w:val="none" w:sz="0" w:space="0" w:color="auto"/>
            <w:right w:val="none" w:sz="0" w:space="0" w:color="auto"/>
          </w:divBdr>
        </w:div>
        <w:div w:id="1437824181">
          <w:marLeft w:val="0"/>
          <w:marRight w:val="0"/>
          <w:marTop w:val="0"/>
          <w:marBottom w:val="0"/>
          <w:divBdr>
            <w:top w:val="none" w:sz="0" w:space="0" w:color="auto"/>
            <w:left w:val="none" w:sz="0" w:space="0" w:color="auto"/>
            <w:bottom w:val="none" w:sz="0" w:space="0" w:color="auto"/>
            <w:right w:val="none" w:sz="0" w:space="0" w:color="auto"/>
          </w:divBdr>
        </w:div>
        <w:div w:id="1587878348">
          <w:marLeft w:val="0"/>
          <w:marRight w:val="0"/>
          <w:marTop w:val="0"/>
          <w:marBottom w:val="0"/>
          <w:divBdr>
            <w:top w:val="none" w:sz="0" w:space="0" w:color="auto"/>
            <w:left w:val="none" w:sz="0" w:space="0" w:color="auto"/>
            <w:bottom w:val="none" w:sz="0" w:space="0" w:color="auto"/>
            <w:right w:val="none" w:sz="0" w:space="0" w:color="auto"/>
          </w:divBdr>
        </w:div>
        <w:div w:id="1602642727">
          <w:marLeft w:val="0"/>
          <w:marRight w:val="0"/>
          <w:marTop w:val="0"/>
          <w:marBottom w:val="0"/>
          <w:divBdr>
            <w:top w:val="none" w:sz="0" w:space="0" w:color="auto"/>
            <w:left w:val="none" w:sz="0" w:space="0" w:color="auto"/>
            <w:bottom w:val="none" w:sz="0" w:space="0" w:color="auto"/>
            <w:right w:val="none" w:sz="0" w:space="0" w:color="auto"/>
          </w:divBdr>
        </w:div>
        <w:div w:id="1690720463">
          <w:marLeft w:val="0"/>
          <w:marRight w:val="0"/>
          <w:marTop w:val="0"/>
          <w:marBottom w:val="0"/>
          <w:divBdr>
            <w:top w:val="none" w:sz="0" w:space="0" w:color="auto"/>
            <w:left w:val="none" w:sz="0" w:space="0" w:color="auto"/>
            <w:bottom w:val="none" w:sz="0" w:space="0" w:color="auto"/>
            <w:right w:val="none" w:sz="0" w:space="0" w:color="auto"/>
          </w:divBdr>
        </w:div>
        <w:div w:id="2028751933">
          <w:marLeft w:val="0"/>
          <w:marRight w:val="0"/>
          <w:marTop w:val="0"/>
          <w:marBottom w:val="0"/>
          <w:divBdr>
            <w:top w:val="none" w:sz="0" w:space="0" w:color="auto"/>
            <w:left w:val="none" w:sz="0" w:space="0" w:color="auto"/>
            <w:bottom w:val="none" w:sz="0" w:space="0" w:color="auto"/>
            <w:right w:val="none" w:sz="0" w:space="0" w:color="auto"/>
          </w:divBdr>
        </w:div>
        <w:div w:id="2106606240">
          <w:marLeft w:val="0"/>
          <w:marRight w:val="0"/>
          <w:marTop w:val="0"/>
          <w:marBottom w:val="0"/>
          <w:divBdr>
            <w:top w:val="none" w:sz="0" w:space="0" w:color="auto"/>
            <w:left w:val="none" w:sz="0" w:space="0" w:color="auto"/>
            <w:bottom w:val="none" w:sz="0" w:space="0" w:color="auto"/>
            <w:right w:val="none" w:sz="0" w:space="0" w:color="auto"/>
          </w:divBdr>
        </w:div>
        <w:div w:id="2146001999">
          <w:marLeft w:val="0"/>
          <w:marRight w:val="0"/>
          <w:marTop w:val="0"/>
          <w:marBottom w:val="0"/>
          <w:divBdr>
            <w:top w:val="none" w:sz="0" w:space="0" w:color="auto"/>
            <w:left w:val="none" w:sz="0" w:space="0" w:color="auto"/>
            <w:bottom w:val="none" w:sz="0" w:space="0" w:color="auto"/>
            <w:right w:val="none" w:sz="0" w:space="0" w:color="auto"/>
          </w:divBdr>
        </w:div>
      </w:divsChild>
    </w:div>
    <w:div w:id="358239743">
      <w:bodyDiv w:val="1"/>
      <w:marLeft w:val="0"/>
      <w:marRight w:val="0"/>
      <w:marTop w:val="0"/>
      <w:marBottom w:val="0"/>
      <w:divBdr>
        <w:top w:val="none" w:sz="0" w:space="0" w:color="auto"/>
        <w:left w:val="none" w:sz="0" w:space="0" w:color="auto"/>
        <w:bottom w:val="none" w:sz="0" w:space="0" w:color="auto"/>
        <w:right w:val="none" w:sz="0" w:space="0" w:color="auto"/>
      </w:divBdr>
    </w:div>
    <w:div w:id="425730520">
      <w:bodyDiv w:val="1"/>
      <w:marLeft w:val="0"/>
      <w:marRight w:val="0"/>
      <w:marTop w:val="0"/>
      <w:marBottom w:val="0"/>
      <w:divBdr>
        <w:top w:val="none" w:sz="0" w:space="0" w:color="auto"/>
        <w:left w:val="none" w:sz="0" w:space="0" w:color="auto"/>
        <w:bottom w:val="none" w:sz="0" w:space="0" w:color="auto"/>
        <w:right w:val="none" w:sz="0" w:space="0" w:color="auto"/>
      </w:divBdr>
    </w:div>
    <w:div w:id="440609619">
      <w:bodyDiv w:val="1"/>
      <w:marLeft w:val="0"/>
      <w:marRight w:val="0"/>
      <w:marTop w:val="0"/>
      <w:marBottom w:val="0"/>
      <w:divBdr>
        <w:top w:val="none" w:sz="0" w:space="0" w:color="auto"/>
        <w:left w:val="none" w:sz="0" w:space="0" w:color="auto"/>
        <w:bottom w:val="none" w:sz="0" w:space="0" w:color="auto"/>
        <w:right w:val="none" w:sz="0" w:space="0" w:color="auto"/>
      </w:divBdr>
    </w:div>
    <w:div w:id="476656013">
      <w:bodyDiv w:val="1"/>
      <w:marLeft w:val="0"/>
      <w:marRight w:val="0"/>
      <w:marTop w:val="0"/>
      <w:marBottom w:val="0"/>
      <w:divBdr>
        <w:top w:val="none" w:sz="0" w:space="0" w:color="auto"/>
        <w:left w:val="none" w:sz="0" w:space="0" w:color="auto"/>
        <w:bottom w:val="none" w:sz="0" w:space="0" w:color="auto"/>
        <w:right w:val="none" w:sz="0" w:space="0" w:color="auto"/>
      </w:divBdr>
      <w:divsChild>
        <w:div w:id="736712696">
          <w:marLeft w:val="0"/>
          <w:marRight w:val="0"/>
          <w:marTop w:val="0"/>
          <w:marBottom w:val="0"/>
          <w:divBdr>
            <w:top w:val="none" w:sz="0" w:space="0" w:color="auto"/>
            <w:left w:val="none" w:sz="0" w:space="0" w:color="auto"/>
            <w:bottom w:val="none" w:sz="0" w:space="0" w:color="auto"/>
            <w:right w:val="none" w:sz="0" w:space="0" w:color="auto"/>
          </w:divBdr>
        </w:div>
        <w:div w:id="1096748837">
          <w:marLeft w:val="0"/>
          <w:marRight w:val="0"/>
          <w:marTop w:val="0"/>
          <w:marBottom w:val="0"/>
          <w:divBdr>
            <w:top w:val="none" w:sz="0" w:space="0" w:color="auto"/>
            <w:left w:val="none" w:sz="0" w:space="0" w:color="auto"/>
            <w:bottom w:val="none" w:sz="0" w:space="0" w:color="auto"/>
            <w:right w:val="none" w:sz="0" w:space="0" w:color="auto"/>
          </w:divBdr>
        </w:div>
        <w:div w:id="1188372200">
          <w:marLeft w:val="0"/>
          <w:marRight w:val="0"/>
          <w:marTop w:val="0"/>
          <w:marBottom w:val="0"/>
          <w:divBdr>
            <w:top w:val="none" w:sz="0" w:space="0" w:color="auto"/>
            <w:left w:val="none" w:sz="0" w:space="0" w:color="auto"/>
            <w:bottom w:val="none" w:sz="0" w:space="0" w:color="auto"/>
            <w:right w:val="none" w:sz="0" w:space="0" w:color="auto"/>
          </w:divBdr>
        </w:div>
        <w:div w:id="1811052832">
          <w:marLeft w:val="0"/>
          <w:marRight w:val="0"/>
          <w:marTop w:val="0"/>
          <w:marBottom w:val="0"/>
          <w:divBdr>
            <w:top w:val="none" w:sz="0" w:space="0" w:color="auto"/>
            <w:left w:val="none" w:sz="0" w:space="0" w:color="auto"/>
            <w:bottom w:val="none" w:sz="0" w:space="0" w:color="auto"/>
            <w:right w:val="none" w:sz="0" w:space="0" w:color="auto"/>
          </w:divBdr>
        </w:div>
        <w:div w:id="2000889176">
          <w:marLeft w:val="0"/>
          <w:marRight w:val="0"/>
          <w:marTop w:val="0"/>
          <w:marBottom w:val="0"/>
          <w:divBdr>
            <w:top w:val="none" w:sz="0" w:space="0" w:color="auto"/>
            <w:left w:val="none" w:sz="0" w:space="0" w:color="auto"/>
            <w:bottom w:val="none" w:sz="0" w:space="0" w:color="auto"/>
            <w:right w:val="none" w:sz="0" w:space="0" w:color="auto"/>
          </w:divBdr>
        </w:div>
      </w:divsChild>
    </w:div>
    <w:div w:id="479229454">
      <w:bodyDiv w:val="1"/>
      <w:marLeft w:val="0"/>
      <w:marRight w:val="0"/>
      <w:marTop w:val="0"/>
      <w:marBottom w:val="0"/>
      <w:divBdr>
        <w:top w:val="none" w:sz="0" w:space="0" w:color="auto"/>
        <w:left w:val="none" w:sz="0" w:space="0" w:color="auto"/>
        <w:bottom w:val="none" w:sz="0" w:space="0" w:color="auto"/>
        <w:right w:val="none" w:sz="0" w:space="0" w:color="auto"/>
      </w:divBdr>
    </w:div>
    <w:div w:id="485243603">
      <w:bodyDiv w:val="1"/>
      <w:marLeft w:val="0"/>
      <w:marRight w:val="0"/>
      <w:marTop w:val="0"/>
      <w:marBottom w:val="0"/>
      <w:divBdr>
        <w:top w:val="none" w:sz="0" w:space="0" w:color="auto"/>
        <w:left w:val="none" w:sz="0" w:space="0" w:color="auto"/>
        <w:bottom w:val="none" w:sz="0" w:space="0" w:color="auto"/>
        <w:right w:val="none" w:sz="0" w:space="0" w:color="auto"/>
      </w:divBdr>
    </w:div>
    <w:div w:id="502092075">
      <w:bodyDiv w:val="1"/>
      <w:marLeft w:val="0"/>
      <w:marRight w:val="0"/>
      <w:marTop w:val="0"/>
      <w:marBottom w:val="0"/>
      <w:divBdr>
        <w:top w:val="none" w:sz="0" w:space="0" w:color="auto"/>
        <w:left w:val="none" w:sz="0" w:space="0" w:color="auto"/>
        <w:bottom w:val="none" w:sz="0" w:space="0" w:color="auto"/>
        <w:right w:val="none" w:sz="0" w:space="0" w:color="auto"/>
      </w:divBdr>
    </w:div>
    <w:div w:id="513762906">
      <w:bodyDiv w:val="1"/>
      <w:marLeft w:val="0"/>
      <w:marRight w:val="0"/>
      <w:marTop w:val="0"/>
      <w:marBottom w:val="0"/>
      <w:divBdr>
        <w:top w:val="none" w:sz="0" w:space="0" w:color="auto"/>
        <w:left w:val="none" w:sz="0" w:space="0" w:color="auto"/>
        <w:bottom w:val="none" w:sz="0" w:space="0" w:color="auto"/>
        <w:right w:val="none" w:sz="0" w:space="0" w:color="auto"/>
      </w:divBdr>
    </w:div>
    <w:div w:id="514659614">
      <w:bodyDiv w:val="1"/>
      <w:marLeft w:val="0"/>
      <w:marRight w:val="0"/>
      <w:marTop w:val="0"/>
      <w:marBottom w:val="0"/>
      <w:divBdr>
        <w:top w:val="none" w:sz="0" w:space="0" w:color="auto"/>
        <w:left w:val="none" w:sz="0" w:space="0" w:color="auto"/>
        <w:bottom w:val="none" w:sz="0" w:space="0" w:color="auto"/>
        <w:right w:val="none" w:sz="0" w:space="0" w:color="auto"/>
      </w:divBdr>
    </w:div>
    <w:div w:id="663514077">
      <w:bodyDiv w:val="1"/>
      <w:marLeft w:val="0"/>
      <w:marRight w:val="0"/>
      <w:marTop w:val="0"/>
      <w:marBottom w:val="0"/>
      <w:divBdr>
        <w:top w:val="none" w:sz="0" w:space="0" w:color="auto"/>
        <w:left w:val="none" w:sz="0" w:space="0" w:color="auto"/>
        <w:bottom w:val="none" w:sz="0" w:space="0" w:color="auto"/>
        <w:right w:val="none" w:sz="0" w:space="0" w:color="auto"/>
      </w:divBdr>
    </w:div>
    <w:div w:id="670450451">
      <w:bodyDiv w:val="1"/>
      <w:marLeft w:val="0"/>
      <w:marRight w:val="0"/>
      <w:marTop w:val="0"/>
      <w:marBottom w:val="0"/>
      <w:divBdr>
        <w:top w:val="none" w:sz="0" w:space="0" w:color="auto"/>
        <w:left w:val="none" w:sz="0" w:space="0" w:color="auto"/>
        <w:bottom w:val="none" w:sz="0" w:space="0" w:color="auto"/>
        <w:right w:val="none" w:sz="0" w:space="0" w:color="auto"/>
      </w:divBdr>
    </w:div>
    <w:div w:id="704410415">
      <w:bodyDiv w:val="1"/>
      <w:marLeft w:val="0"/>
      <w:marRight w:val="0"/>
      <w:marTop w:val="0"/>
      <w:marBottom w:val="0"/>
      <w:divBdr>
        <w:top w:val="none" w:sz="0" w:space="0" w:color="auto"/>
        <w:left w:val="none" w:sz="0" w:space="0" w:color="auto"/>
        <w:bottom w:val="none" w:sz="0" w:space="0" w:color="auto"/>
        <w:right w:val="none" w:sz="0" w:space="0" w:color="auto"/>
      </w:divBdr>
    </w:div>
    <w:div w:id="720985041">
      <w:bodyDiv w:val="1"/>
      <w:marLeft w:val="0"/>
      <w:marRight w:val="0"/>
      <w:marTop w:val="0"/>
      <w:marBottom w:val="0"/>
      <w:divBdr>
        <w:top w:val="none" w:sz="0" w:space="0" w:color="auto"/>
        <w:left w:val="none" w:sz="0" w:space="0" w:color="auto"/>
        <w:bottom w:val="none" w:sz="0" w:space="0" w:color="auto"/>
        <w:right w:val="none" w:sz="0" w:space="0" w:color="auto"/>
      </w:divBdr>
    </w:div>
    <w:div w:id="724061569">
      <w:bodyDiv w:val="1"/>
      <w:marLeft w:val="0"/>
      <w:marRight w:val="0"/>
      <w:marTop w:val="0"/>
      <w:marBottom w:val="0"/>
      <w:divBdr>
        <w:top w:val="none" w:sz="0" w:space="0" w:color="auto"/>
        <w:left w:val="none" w:sz="0" w:space="0" w:color="auto"/>
        <w:bottom w:val="none" w:sz="0" w:space="0" w:color="auto"/>
        <w:right w:val="none" w:sz="0" w:space="0" w:color="auto"/>
      </w:divBdr>
      <w:divsChild>
        <w:div w:id="193621044">
          <w:marLeft w:val="0"/>
          <w:marRight w:val="0"/>
          <w:marTop w:val="0"/>
          <w:marBottom w:val="0"/>
          <w:divBdr>
            <w:top w:val="none" w:sz="0" w:space="0" w:color="auto"/>
            <w:left w:val="none" w:sz="0" w:space="0" w:color="auto"/>
            <w:bottom w:val="none" w:sz="0" w:space="0" w:color="auto"/>
            <w:right w:val="none" w:sz="0" w:space="0" w:color="auto"/>
          </w:divBdr>
        </w:div>
        <w:div w:id="752777320">
          <w:marLeft w:val="0"/>
          <w:marRight w:val="0"/>
          <w:marTop w:val="0"/>
          <w:marBottom w:val="0"/>
          <w:divBdr>
            <w:top w:val="none" w:sz="0" w:space="0" w:color="auto"/>
            <w:left w:val="none" w:sz="0" w:space="0" w:color="auto"/>
            <w:bottom w:val="none" w:sz="0" w:space="0" w:color="auto"/>
            <w:right w:val="none" w:sz="0" w:space="0" w:color="auto"/>
          </w:divBdr>
        </w:div>
        <w:div w:id="1630939950">
          <w:marLeft w:val="0"/>
          <w:marRight w:val="0"/>
          <w:marTop w:val="0"/>
          <w:marBottom w:val="0"/>
          <w:divBdr>
            <w:top w:val="none" w:sz="0" w:space="0" w:color="auto"/>
            <w:left w:val="none" w:sz="0" w:space="0" w:color="auto"/>
            <w:bottom w:val="none" w:sz="0" w:space="0" w:color="auto"/>
            <w:right w:val="none" w:sz="0" w:space="0" w:color="auto"/>
          </w:divBdr>
        </w:div>
      </w:divsChild>
    </w:div>
    <w:div w:id="750588567">
      <w:bodyDiv w:val="1"/>
      <w:marLeft w:val="0"/>
      <w:marRight w:val="0"/>
      <w:marTop w:val="0"/>
      <w:marBottom w:val="0"/>
      <w:divBdr>
        <w:top w:val="none" w:sz="0" w:space="0" w:color="auto"/>
        <w:left w:val="none" w:sz="0" w:space="0" w:color="auto"/>
        <w:bottom w:val="none" w:sz="0" w:space="0" w:color="auto"/>
        <w:right w:val="none" w:sz="0" w:space="0" w:color="auto"/>
      </w:divBdr>
      <w:divsChild>
        <w:div w:id="47077590">
          <w:marLeft w:val="0"/>
          <w:marRight w:val="0"/>
          <w:marTop w:val="0"/>
          <w:marBottom w:val="0"/>
          <w:divBdr>
            <w:top w:val="none" w:sz="0" w:space="0" w:color="auto"/>
            <w:left w:val="none" w:sz="0" w:space="0" w:color="auto"/>
            <w:bottom w:val="none" w:sz="0" w:space="0" w:color="auto"/>
            <w:right w:val="none" w:sz="0" w:space="0" w:color="auto"/>
          </w:divBdr>
        </w:div>
        <w:div w:id="1281187683">
          <w:marLeft w:val="0"/>
          <w:marRight w:val="0"/>
          <w:marTop w:val="0"/>
          <w:marBottom w:val="0"/>
          <w:divBdr>
            <w:top w:val="none" w:sz="0" w:space="0" w:color="auto"/>
            <w:left w:val="none" w:sz="0" w:space="0" w:color="auto"/>
            <w:bottom w:val="none" w:sz="0" w:space="0" w:color="auto"/>
            <w:right w:val="none" w:sz="0" w:space="0" w:color="auto"/>
          </w:divBdr>
        </w:div>
      </w:divsChild>
    </w:div>
    <w:div w:id="753168281">
      <w:bodyDiv w:val="1"/>
      <w:marLeft w:val="0"/>
      <w:marRight w:val="0"/>
      <w:marTop w:val="0"/>
      <w:marBottom w:val="0"/>
      <w:divBdr>
        <w:top w:val="none" w:sz="0" w:space="0" w:color="auto"/>
        <w:left w:val="none" w:sz="0" w:space="0" w:color="auto"/>
        <w:bottom w:val="none" w:sz="0" w:space="0" w:color="auto"/>
        <w:right w:val="none" w:sz="0" w:space="0" w:color="auto"/>
      </w:divBdr>
    </w:div>
    <w:div w:id="789786568">
      <w:bodyDiv w:val="1"/>
      <w:marLeft w:val="0"/>
      <w:marRight w:val="0"/>
      <w:marTop w:val="0"/>
      <w:marBottom w:val="0"/>
      <w:divBdr>
        <w:top w:val="none" w:sz="0" w:space="0" w:color="auto"/>
        <w:left w:val="none" w:sz="0" w:space="0" w:color="auto"/>
        <w:bottom w:val="none" w:sz="0" w:space="0" w:color="auto"/>
        <w:right w:val="none" w:sz="0" w:space="0" w:color="auto"/>
      </w:divBdr>
    </w:div>
    <w:div w:id="797257831">
      <w:bodyDiv w:val="1"/>
      <w:marLeft w:val="0"/>
      <w:marRight w:val="0"/>
      <w:marTop w:val="0"/>
      <w:marBottom w:val="0"/>
      <w:divBdr>
        <w:top w:val="none" w:sz="0" w:space="0" w:color="auto"/>
        <w:left w:val="none" w:sz="0" w:space="0" w:color="auto"/>
        <w:bottom w:val="none" w:sz="0" w:space="0" w:color="auto"/>
        <w:right w:val="none" w:sz="0" w:space="0" w:color="auto"/>
      </w:divBdr>
    </w:div>
    <w:div w:id="814104699">
      <w:bodyDiv w:val="1"/>
      <w:marLeft w:val="0"/>
      <w:marRight w:val="0"/>
      <w:marTop w:val="0"/>
      <w:marBottom w:val="0"/>
      <w:divBdr>
        <w:top w:val="none" w:sz="0" w:space="0" w:color="auto"/>
        <w:left w:val="none" w:sz="0" w:space="0" w:color="auto"/>
        <w:bottom w:val="none" w:sz="0" w:space="0" w:color="auto"/>
        <w:right w:val="none" w:sz="0" w:space="0" w:color="auto"/>
      </w:divBdr>
    </w:div>
    <w:div w:id="840044470">
      <w:bodyDiv w:val="1"/>
      <w:marLeft w:val="0"/>
      <w:marRight w:val="0"/>
      <w:marTop w:val="0"/>
      <w:marBottom w:val="0"/>
      <w:divBdr>
        <w:top w:val="none" w:sz="0" w:space="0" w:color="auto"/>
        <w:left w:val="none" w:sz="0" w:space="0" w:color="auto"/>
        <w:bottom w:val="none" w:sz="0" w:space="0" w:color="auto"/>
        <w:right w:val="none" w:sz="0" w:space="0" w:color="auto"/>
      </w:divBdr>
    </w:div>
    <w:div w:id="864517511">
      <w:bodyDiv w:val="1"/>
      <w:marLeft w:val="0"/>
      <w:marRight w:val="0"/>
      <w:marTop w:val="0"/>
      <w:marBottom w:val="0"/>
      <w:divBdr>
        <w:top w:val="none" w:sz="0" w:space="0" w:color="auto"/>
        <w:left w:val="none" w:sz="0" w:space="0" w:color="auto"/>
        <w:bottom w:val="none" w:sz="0" w:space="0" w:color="auto"/>
        <w:right w:val="none" w:sz="0" w:space="0" w:color="auto"/>
      </w:divBdr>
    </w:div>
    <w:div w:id="866987178">
      <w:bodyDiv w:val="1"/>
      <w:marLeft w:val="0"/>
      <w:marRight w:val="0"/>
      <w:marTop w:val="0"/>
      <w:marBottom w:val="0"/>
      <w:divBdr>
        <w:top w:val="none" w:sz="0" w:space="0" w:color="auto"/>
        <w:left w:val="none" w:sz="0" w:space="0" w:color="auto"/>
        <w:bottom w:val="none" w:sz="0" w:space="0" w:color="auto"/>
        <w:right w:val="none" w:sz="0" w:space="0" w:color="auto"/>
      </w:divBdr>
    </w:div>
    <w:div w:id="900335689">
      <w:bodyDiv w:val="1"/>
      <w:marLeft w:val="0"/>
      <w:marRight w:val="0"/>
      <w:marTop w:val="0"/>
      <w:marBottom w:val="0"/>
      <w:divBdr>
        <w:top w:val="none" w:sz="0" w:space="0" w:color="auto"/>
        <w:left w:val="none" w:sz="0" w:space="0" w:color="auto"/>
        <w:bottom w:val="none" w:sz="0" w:space="0" w:color="auto"/>
        <w:right w:val="none" w:sz="0" w:space="0" w:color="auto"/>
      </w:divBdr>
    </w:div>
    <w:div w:id="901603646">
      <w:bodyDiv w:val="1"/>
      <w:marLeft w:val="0"/>
      <w:marRight w:val="0"/>
      <w:marTop w:val="0"/>
      <w:marBottom w:val="0"/>
      <w:divBdr>
        <w:top w:val="none" w:sz="0" w:space="0" w:color="auto"/>
        <w:left w:val="none" w:sz="0" w:space="0" w:color="auto"/>
        <w:bottom w:val="none" w:sz="0" w:space="0" w:color="auto"/>
        <w:right w:val="none" w:sz="0" w:space="0" w:color="auto"/>
      </w:divBdr>
    </w:div>
    <w:div w:id="913472017">
      <w:bodyDiv w:val="1"/>
      <w:marLeft w:val="0"/>
      <w:marRight w:val="0"/>
      <w:marTop w:val="0"/>
      <w:marBottom w:val="0"/>
      <w:divBdr>
        <w:top w:val="none" w:sz="0" w:space="0" w:color="auto"/>
        <w:left w:val="none" w:sz="0" w:space="0" w:color="auto"/>
        <w:bottom w:val="none" w:sz="0" w:space="0" w:color="auto"/>
        <w:right w:val="none" w:sz="0" w:space="0" w:color="auto"/>
      </w:divBdr>
    </w:div>
    <w:div w:id="934636384">
      <w:bodyDiv w:val="1"/>
      <w:marLeft w:val="0"/>
      <w:marRight w:val="0"/>
      <w:marTop w:val="0"/>
      <w:marBottom w:val="0"/>
      <w:divBdr>
        <w:top w:val="none" w:sz="0" w:space="0" w:color="auto"/>
        <w:left w:val="none" w:sz="0" w:space="0" w:color="auto"/>
        <w:bottom w:val="none" w:sz="0" w:space="0" w:color="auto"/>
        <w:right w:val="none" w:sz="0" w:space="0" w:color="auto"/>
      </w:divBdr>
      <w:divsChild>
        <w:div w:id="313073569">
          <w:marLeft w:val="0"/>
          <w:marRight w:val="0"/>
          <w:marTop w:val="0"/>
          <w:marBottom w:val="0"/>
          <w:divBdr>
            <w:top w:val="none" w:sz="0" w:space="0" w:color="auto"/>
            <w:left w:val="none" w:sz="0" w:space="0" w:color="auto"/>
            <w:bottom w:val="none" w:sz="0" w:space="0" w:color="auto"/>
            <w:right w:val="none" w:sz="0" w:space="0" w:color="auto"/>
          </w:divBdr>
        </w:div>
        <w:div w:id="1309360557">
          <w:marLeft w:val="0"/>
          <w:marRight w:val="0"/>
          <w:marTop w:val="0"/>
          <w:marBottom w:val="0"/>
          <w:divBdr>
            <w:top w:val="none" w:sz="0" w:space="0" w:color="auto"/>
            <w:left w:val="none" w:sz="0" w:space="0" w:color="auto"/>
            <w:bottom w:val="none" w:sz="0" w:space="0" w:color="auto"/>
            <w:right w:val="none" w:sz="0" w:space="0" w:color="auto"/>
          </w:divBdr>
        </w:div>
        <w:div w:id="2137136448">
          <w:marLeft w:val="0"/>
          <w:marRight w:val="0"/>
          <w:marTop w:val="0"/>
          <w:marBottom w:val="0"/>
          <w:divBdr>
            <w:top w:val="none" w:sz="0" w:space="0" w:color="auto"/>
            <w:left w:val="none" w:sz="0" w:space="0" w:color="auto"/>
            <w:bottom w:val="none" w:sz="0" w:space="0" w:color="auto"/>
            <w:right w:val="none" w:sz="0" w:space="0" w:color="auto"/>
          </w:divBdr>
        </w:div>
      </w:divsChild>
    </w:div>
    <w:div w:id="943729421">
      <w:bodyDiv w:val="1"/>
      <w:marLeft w:val="0"/>
      <w:marRight w:val="0"/>
      <w:marTop w:val="0"/>
      <w:marBottom w:val="0"/>
      <w:divBdr>
        <w:top w:val="none" w:sz="0" w:space="0" w:color="auto"/>
        <w:left w:val="none" w:sz="0" w:space="0" w:color="auto"/>
        <w:bottom w:val="none" w:sz="0" w:space="0" w:color="auto"/>
        <w:right w:val="none" w:sz="0" w:space="0" w:color="auto"/>
      </w:divBdr>
    </w:div>
    <w:div w:id="988752972">
      <w:bodyDiv w:val="1"/>
      <w:marLeft w:val="0"/>
      <w:marRight w:val="0"/>
      <w:marTop w:val="0"/>
      <w:marBottom w:val="0"/>
      <w:divBdr>
        <w:top w:val="none" w:sz="0" w:space="0" w:color="auto"/>
        <w:left w:val="none" w:sz="0" w:space="0" w:color="auto"/>
        <w:bottom w:val="none" w:sz="0" w:space="0" w:color="auto"/>
        <w:right w:val="none" w:sz="0" w:space="0" w:color="auto"/>
      </w:divBdr>
    </w:div>
    <w:div w:id="994527884">
      <w:bodyDiv w:val="1"/>
      <w:marLeft w:val="0"/>
      <w:marRight w:val="0"/>
      <w:marTop w:val="0"/>
      <w:marBottom w:val="0"/>
      <w:divBdr>
        <w:top w:val="none" w:sz="0" w:space="0" w:color="auto"/>
        <w:left w:val="none" w:sz="0" w:space="0" w:color="auto"/>
        <w:bottom w:val="none" w:sz="0" w:space="0" w:color="auto"/>
        <w:right w:val="none" w:sz="0" w:space="0" w:color="auto"/>
      </w:divBdr>
    </w:div>
    <w:div w:id="996962181">
      <w:bodyDiv w:val="1"/>
      <w:marLeft w:val="0"/>
      <w:marRight w:val="0"/>
      <w:marTop w:val="0"/>
      <w:marBottom w:val="0"/>
      <w:divBdr>
        <w:top w:val="none" w:sz="0" w:space="0" w:color="auto"/>
        <w:left w:val="none" w:sz="0" w:space="0" w:color="auto"/>
        <w:bottom w:val="none" w:sz="0" w:space="0" w:color="auto"/>
        <w:right w:val="none" w:sz="0" w:space="0" w:color="auto"/>
      </w:divBdr>
      <w:divsChild>
        <w:div w:id="151527598">
          <w:marLeft w:val="0"/>
          <w:marRight w:val="0"/>
          <w:marTop w:val="0"/>
          <w:marBottom w:val="0"/>
          <w:divBdr>
            <w:top w:val="none" w:sz="0" w:space="0" w:color="auto"/>
            <w:left w:val="none" w:sz="0" w:space="0" w:color="auto"/>
            <w:bottom w:val="none" w:sz="0" w:space="0" w:color="auto"/>
            <w:right w:val="none" w:sz="0" w:space="0" w:color="auto"/>
          </w:divBdr>
        </w:div>
        <w:div w:id="800151314">
          <w:marLeft w:val="0"/>
          <w:marRight w:val="0"/>
          <w:marTop w:val="0"/>
          <w:marBottom w:val="0"/>
          <w:divBdr>
            <w:top w:val="none" w:sz="0" w:space="0" w:color="auto"/>
            <w:left w:val="none" w:sz="0" w:space="0" w:color="auto"/>
            <w:bottom w:val="none" w:sz="0" w:space="0" w:color="auto"/>
            <w:right w:val="none" w:sz="0" w:space="0" w:color="auto"/>
          </w:divBdr>
        </w:div>
        <w:div w:id="1749645492">
          <w:marLeft w:val="0"/>
          <w:marRight w:val="0"/>
          <w:marTop w:val="0"/>
          <w:marBottom w:val="0"/>
          <w:divBdr>
            <w:top w:val="none" w:sz="0" w:space="0" w:color="auto"/>
            <w:left w:val="none" w:sz="0" w:space="0" w:color="auto"/>
            <w:bottom w:val="none" w:sz="0" w:space="0" w:color="auto"/>
            <w:right w:val="none" w:sz="0" w:space="0" w:color="auto"/>
          </w:divBdr>
        </w:div>
        <w:div w:id="2010600050">
          <w:marLeft w:val="0"/>
          <w:marRight w:val="0"/>
          <w:marTop w:val="0"/>
          <w:marBottom w:val="0"/>
          <w:divBdr>
            <w:top w:val="none" w:sz="0" w:space="0" w:color="auto"/>
            <w:left w:val="none" w:sz="0" w:space="0" w:color="auto"/>
            <w:bottom w:val="none" w:sz="0" w:space="0" w:color="auto"/>
            <w:right w:val="none" w:sz="0" w:space="0" w:color="auto"/>
          </w:divBdr>
        </w:div>
      </w:divsChild>
    </w:div>
    <w:div w:id="1045909658">
      <w:bodyDiv w:val="1"/>
      <w:marLeft w:val="0"/>
      <w:marRight w:val="0"/>
      <w:marTop w:val="0"/>
      <w:marBottom w:val="0"/>
      <w:divBdr>
        <w:top w:val="none" w:sz="0" w:space="0" w:color="auto"/>
        <w:left w:val="none" w:sz="0" w:space="0" w:color="auto"/>
        <w:bottom w:val="none" w:sz="0" w:space="0" w:color="auto"/>
        <w:right w:val="none" w:sz="0" w:space="0" w:color="auto"/>
      </w:divBdr>
    </w:div>
    <w:div w:id="1060328592">
      <w:bodyDiv w:val="1"/>
      <w:marLeft w:val="0"/>
      <w:marRight w:val="0"/>
      <w:marTop w:val="0"/>
      <w:marBottom w:val="0"/>
      <w:divBdr>
        <w:top w:val="none" w:sz="0" w:space="0" w:color="auto"/>
        <w:left w:val="none" w:sz="0" w:space="0" w:color="auto"/>
        <w:bottom w:val="none" w:sz="0" w:space="0" w:color="auto"/>
        <w:right w:val="none" w:sz="0" w:space="0" w:color="auto"/>
      </w:divBdr>
      <w:divsChild>
        <w:div w:id="280695314">
          <w:marLeft w:val="0"/>
          <w:marRight w:val="0"/>
          <w:marTop w:val="0"/>
          <w:marBottom w:val="0"/>
          <w:divBdr>
            <w:top w:val="none" w:sz="0" w:space="0" w:color="auto"/>
            <w:left w:val="none" w:sz="0" w:space="0" w:color="auto"/>
            <w:bottom w:val="none" w:sz="0" w:space="0" w:color="auto"/>
            <w:right w:val="none" w:sz="0" w:space="0" w:color="auto"/>
          </w:divBdr>
        </w:div>
        <w:div w:id="648752906">
          <w:marLeft w:val="0"/>
          <w:marRight w:val="0"/>
          <w:marTop w:val="0"/>
          <w:marBottom w:val="0"/>
          <w:divBdr>
            <w:top w:val="none" w:sz="0" w:space="0" w:color="auto"/>
            <w:left w:val="none" w:sz="0" w:space="0" w:color="auto"/>
            <w:bottom w:val="none" w:sz="0" w:space="0" w:color="auto"/>
            <w:right w:val="none" w:sz="0" w:space="0" w:color="auto"/>
          </w:divBdr>
        </w:div>
        <w:div w:id="658652389">
          <w:marLeft w:val="0"/>
          <w:marRight w:val="0"/>
          <w:marTop w:val="0"/>
          <w:marBottom w:val="0"/>
          <w:divBdr>
            <w:top w:val="none" w:sz="0" w:space="0" w:color="auto"/>
            <w:left w:val="none" w:sz="0" w:space="0" w:color="auto"/>
            <w:bottom w:val="none" w:sz="0" w:space="0" w:color="auto"/>
            <w:right w:val="none" w:sz="0" w:space="0" w:color="auto"/>
          </w:divBdr>
        </w:div>
        <w:div w:id="798383223">
          <w:marLeft w:val="0"/>
          <w:marRight w:val="0"/>
          <w:marTop w:val="0"/>
          <w:marBottom w:val="0"/>
          <w:divBdr>
            <w:top w:val="none" w:sz="0" w:space="0" w:color="auto"/>
            <w:left w:val="none" w:sz="0" w:space="0" w:color="auto"/>
            <w:bottom w:val="none" w:sz="0" w:space="0" w:color="auto"/>
            <w:right w:val="none" w:sz="0" w:space="0" w:color="auto"/>
          </w:divBdr>
        </w:div>
        <w:div w:id="900485289">
          <w:marLeft w:val="0"/>
          <w:marRight w:val="0"/>
          <w:marTop w:val="0"/>
          <w:marBottom w:val="0"/>
          <w:divBdr>
            <w:top w:val="none" w:sz="0" w:space="0" w:color="auto"/>
            <w:left w:val="none" w:sz="0" w:space="0" w:color="auto"/>
            <w:bottom w:val="none" w:sz="0" w:space="0" w:color="auto"/>
            <w:right w:val="none" w:sz="0" w:space="0" w:color="auto"/>
          </w:divBdr>
        </w:div>
        <w:div w:id="1026760828">
          <w:marLeft w:val="0"/>
          <w:marRight w:val="0"/>
          <w:marTop w:val="0"/>
          <w:marBottom w:val="0"/>
          <w:divBdr>
            <w:top w:val="none" w:sz="0" w:space="0" w:color="auto"/>
            <w:left w:val="none" w:sz="0" w:space="0" w:color="auto"/>
            <w:bottom w:val="none" w:sz="0" w:space="0" w:color="auto"/>
            <w:right w:val="none" w:sz="0" w:space="0" w:color="auto"/>
          </w:divBdr>
        </w:div>
        <w:div w:id="1141457583">
          <w:marLeft w:val="0"/>
          <w:marRight w:val="0"/>
          <w:marTop w:val="0"/>
          <w:marBottom w:val="0"/>
          <w:divBdr>
            <w:top w:val="none" w:sz="0" w:space="0" w:color="auto"/>
            <w:left w:val="none" w:sz="0" w:space="0" w:color="auto"/>
            <w:bottom w:val="none" w:sz="0" w:space="0" w:color="auto"/>
            <w:right w:val="none" w:sz="0" w:space="0" w:color="auto"/>
          </w:divBdr>
        </w:div>
        <w:div w:id="1485900061">
          <w:marLeft w:val="0"/>
          <w:marRight w:val="0"/>
          <w:marTop w:val="0"/>
          <w:marBottom w:val="0"/>
          <w:divBdr>
            <w:top w:val="none" w:sz="0" w:space="0" w:color="auto"/>
            <w:left w:val="none" w:sz="0" w:space="0" w:color="auto"/>
            <w:bottom w:val="none" w:sz="0" w:space="0" w:color="auto"/>
            <w:right w:val="none" w:sz="0" w:space="0" w:color="auto"/>
          </w:divBdr>
        </w:div>
        <w:div w:id="1563448991">
          <w:marLeft w:val="0"/>
          <w:marRight w:val="0"/>
          <w:marTop w:val="0"/>
          <w:marBottom w:val="0"/>
          <w:divBdr>
            <w:top w:val="none" w:sz="0" w:space="0" w:color="auto"/>
            <w:left w:val="none" w:sz="0" w:space="0" w:color="auto"/>
            <w:bottom w:val="none" w:sz="0" w:space="0" w:color="auto"/>
            <w:right w:val="none" w:sz="0" w:space="0" w:color="auto"/>
          </w:divBdr>
        </w:div>
        <w:div w:id="1848786751">
          <w:marLeft w:val="0"/>
          <w:marRight w:val="0"/>
          <w:marTop w:val="0"/>
          <w:marBottom w:val="0"/>
          <w:divBdr>
            <w:top w:val="none" w:sz="0" w:space="0" w:color="auto"/>
            <w:left w:val="none" w:sz="0" w:space="0" w:color="auto"/>
            <w:bottom w:val="none" w:sz="0" w:space="0" w:color="auto"/>
            <w:right w:val="none" w:sz="0" w:space="0" w:color="auto"/>
          </w:divBdr>
        </w:div>
      </w:divsChild>
    </w:div>
    <w:div w:id="1081760746">
      <w:bodyDiv w:val="1"/>
      <w:marLeft w:val="0"/>
      <w:marRight w:val="0"/>
      <w:marTop w:val="0"/>
      <w:marBottom w:val="0"/>
      <w:divBdr>
        <w:top w:val="none" w:sz="0" w:space="0" w:color="auto"/>
        <w:left w:val="none" w:sz="0" w:space="0" w:color="auto"/>
        <w:bottom w:val="none" w:sz="0" w:space="0" w:color="auto"/>
        <w:right w:val="none" w:sz="0" w:space="0" w:color="auto"/>
      </w:divBdr>
    </w:div>
    <w:div w:id="1114858923">
      <w:bodyDiv w:val="1"/>
      <w:marLeft w:val="0"/>
      <w:marRight w:val="0"/>
      <w:marTop w:val="0"/>
      <w:marBottom w:val="0"/>
      <w:divBdr>
        <w:top w:val="none" w:sz="0" w:space="0" w:color="auto"/>
        <w:left w:val="none" w:sz="0" w:space="0" w:color="auto"/>
        <w:bottom w:val="none" w:sz="0" w:space="0" w:color="auto"/>
        <w:right w:val="none" w:sz="0" w:space="0" w:color="auto"/>
      </w:divBdr>
    </w:div>
    <w:div w:id="1125654288">
      <w:bodyDiv w:val="1"/>
      <w:marLeft w:val="0"/>
      <w:marRight w:val="0"/>
      <w:marTop w:val="0"/>
      <w:marBottom w:val="0"/>
      <w:divBdr>
        <w:top w:val="none" w:sz="0" w:space="0" w:color="auto"/>
        <w:left w:val="none" w:sz="0" w:space="0" w:color="auto"/>
        <w:bottom w:val="none" w:sz="0" w:space="0" w:color="auto"/>
        <w:right w:val="none" w:sz="0" w:space="0" w:color="auto"/>
      </w:divBdr>
      <w:divsChild>
        <w:div w:id="613946761">
          <w:marLeft w:val="0"/>
          <w:marRight w:val="0"/>
          <w:marTop w:val="0"/>
          <w:marBottom w:val="0"/>
          <w:divBdr>
            <w:top w:val="none" w:sz="0" w:space="0" w:color="auto"/>
            <w:left w:val="none" w:sz="0" w:space="0" w:color="auto"/>
            <w:bottom w:val="none" w:sz="0" w:space="0" w:color="auto"/>
            <w:right w:val="none" w:sz="0" w:space="0" w:color="auto"/>
          </w:divBdr>
        </w:div>
        <w:div w:id="651907780">
          <w:marLeft w:val="0"/>
          <w:marRight w:val="0"/>
          <w:marTop w:val="0"/>
          <w:marBottom w:val="0"/>
          <w:divBdr>
            <w:top w:val="none" w:sz="0" w:space="0" w:color="auto"/>
            <w:left w:val="none" w:sz="0" w:space="0" w:color="auto"/>
            <w:bottom w:val="none" w:sz="0" w:space="0" w:color="auto"/>
            <w:right w:val="none" w:sz="0" w:space="0" w:color="auto"/>
          </w:divBdr>
        </w:div>
        <w:div w:id="1337995809">
          <w:marLeft w:val="0"/>
          <w:marRight w:val="0"/>
          <w:marTop w:val="0"/>
          <w:marBottom w:val="0"/>
          <w:divBdr>
            <w:top w:val="none" w:sz="0" w:space="0" w:color="auto"/>
            <w:left w:val="none" w:sz="0" w:space="0" w:color="auto"/>
            <w:bottom w:val="none" w:sz="0" w:space="0" w:color="auto"/>
            <w:right w:val="none" w:sz="0" w:space="0" w:color="auto"/>
          </w:divBdr>
        </w:div>
      </w:divsChild>
    </w:div>
    <w:div w:id="1152481720">
      <w:bodyDiv w:val="1"/>
      <w:marLeft w:val="0"/>
      <w:marRight w:val="0"/>
      <w:marTop w:val="0"/>
      <w:marBottom w:val="0"/>
      <w:divBdr>
        <w:top w:val="none" w:sz="0" w:space="0" w:color="auto"/>
        <w:left w:val="none" w:sz="0" w:space="0" w:color="auto"/>
        <w:bottom w:val="none" w:sz="0" w:space="0" w:color="auto"/>
        <w:right w:val="none" w:sz="0" w:space="0" w:color="auto"/>
      </w:divBdr>
    </w:div>
    <w:div w:id="1157722523">
      <w:bodyDiv w:val="1"/>
      <w:marLeft w:val="0"/>
      <w:marRight w:val="0"/>
      <w:marTop w:val="0"/>
      <w:marBottom w:val="0"/>
      <w:divBdr>
        <w:top w:val="none" w:sz="0" w:space="0" w:color="auto"/>
        <w:left w:val="none" w:sz="0" w:space="0" w:color="auto"/>
        <w:bottom w:val="none" w:sz="0" w:space="0" w:color="auto"/>
        <w:right w:val="none" w:sz="0" w:space="0" w:color="auto"/>
      </w:divBdr>
    </w:div>
    <w:div w:id="1193613122">
      <w:bodyDiv w:val="1"/>
      <w:marLeft w:val="0"/>
      <w:marRight w:val="0"/>
      <w:marTop w:val="0"/>
      <w:marBottom w:val="0"/>
      <w:divBdr>
        <w:top w:val="none" w:sz="0" w:space="0" w:color="auto"/>
        <w:left w:val="none" w:sz="0" w:space="0" w:color="auto"/>
        <w:bottom w:val="none" w:sz="0" w:space="0" w:color="auto"/>
        <w:right w:val="none" w:sz="0" w:space="0" w:color="auto"/>
      </w:divBdr>
    </w:div>
    <w:div w:id="1194153990">
      <w:bodyDiv w:val="1"/>
      <w:marLeft w:val="0"/>
      <w:marRight w:val="0"/>
      <w:marTop w:val="0"/>
      <w:marBottom w:val="0"/>
      <w:divBdr>
        <w:top w:val="none" w:sz="0" w:space="0" w:color="auto"/>
        <w:left w:val="none" w:sz="0" w:space="0" w:color="auto"/>
        <w:bottom w:val="none" w:sz="0" w:space="0" w:color="auto"/>
        <w:right w:val="none" w:sz="0" w:space="0" w:color="auto"/>
      </w:divBdr>
    </w:div>
    <w:div w:id="1196774126">
      <w:bodyDiv w:val="1"/>
      <w:marLeft w:val="0"/>
      <w:marRight w:val="0"/>
      <w:marTop w:val="0"/>
      <w:marBottom w:val="0"/>
      <w:divBdr>
        <w:top w:val="none" w:sz="0" w:space="0" w:color="auto"/>
        <w:left w:val="none" w:sz="0" w:space="0" w:color="auto"/>
        <w:bottom w:val="none" w:sz="0" w:space="0" w:color="auto"/>
        <w:right w:val="none" w:sz="0" w:space="0" w:color="auto"/>
      </w:divBdr>
    </w:div>
    <w:div w:id="1235627167">
      <w:bodyDiv w:val="1"/>
      <w:marLeft w:val="0"/>
      <w:marRight w:val="0"/>
      <w:marTop w:val="0"/>
      <w:marBottom w:val="0"/>
      <w:divBdr>
        <w:top w:val="none" w:sz="0" w:space="0" w:color="auto"/>
        <w:left w:val="none" w:sz="0" w:space="0" w:color="auto"/>
        <w:bottom w:val="none" w:sz="0" w:space="0" w:color="auto"/>
        <w:right w:val="none" w:sz="0" w:space="0" w:color="auto"/>
      </w:divBdr>
    </w:div>
    <w:div w:id="1280912015">
      <w:bodyDiv w:val="1"/>
      <w:marLeft w:val="0"/>
      <w:marRight w:val="0"/>
      <w:marTop w:val="0"/>
      <w:marBottom w:val="0"/>
      <w:divBdr>
        <w:top w:val="none" w:sz="0" w:space="0" w:color="auto"/>
        <w:left w:val="none" w:sz="0" w:space="0" w:color="auto"/>
        <w:bottom w:val="none" w:sz="0" w:space="0" w:color="auto"/>
        <w:right w:val="none" w:sz="0" w:space="0" w:color="auto"/>
      </w:divBdr>
    </w:div>
    <w:div w:id="1283078158">
      <w:bodyDiv w:val="1"/>
      <w:marLeft w:val="0"/>
      <w:marRight w:val="0"/>
      <w:marTop w:val="0"/>
      <w:marBottom w:val="0"/>
      <w:divBdr>
        <w:top w:val="none" w:sz="0" w:space="0" w:color="auto"/>
        <w:left w:val="none" w:sz="0" w:space="0" w:color="auto"/>
        <w:bottom w:val="none" w:sz="0" w:space="0" w:color="auto"/>
        <w:right w:val="none" w:sz="0" w:space="0" w:color="auto"/>
      </w:divBdr>
      <w:divsChild>
        <w:div w:id="764110578">
          <w:marLeft w:val="0"/>
          <w:marRight w:val="0"/>
          <w:marTop w:val="0"/>
          <w:marBottom w:val="0"/>
          <w:divBdr>
            <w:top w:val="none" w:sz="0" w:space="0" w:color="auto"/>
            <w:left w:val="none" w:sz="0" w:space="0" w:color="auto"/>
            <w:bottom w:val="none" w:sz="0" w:space="0" w:color="auto"/>
            <w:right w:val="none" w:sz="0" w:space="0" w:color="auto"/>
          </w:divBdr>
        </w:div>
        <w:div w:id="2125299116">
          <w:marLeft w:val="0"/>
          <w:marRight w:val="0"/>
          <w:marTop w:val="0"/>
          <w:marBottom w:val="0"/>
          <w:divBdr>
            <w:top w:val="none" w:sz="0" w:space="0" w:color="auto"/>
            <w:left w:val="none" w:sz="0" w:space="0" w:color="auto"/>
            <w:bottom w:val="none" w:sz="0" w:space="0" w:color="auto"/>
            <w:right w:val="none" w:sz="0" w:space="0" w:color="auto"/>
          </w:divBdr>
        </w:div>
      </w:divsChild>
    </w:div>
    <w:div w:id="1340086843">
      <w:bodyDiv w:val="1"/>
      <w:marLeft w:val="0"/>
      <w:marRight w:val="0"/>
      <w:marTop w:val="0"/>
      <w:marBottom w:val="0"/>
      <w:divBdr>
        <w:top w:val="none" w:sz="0" w:space="0" w:color="auto"/>
        <w:left w:val="none" w:sz="0" w:space="0" w:color="auto"/>
        <w:bottom w:val="none" w:sz="0" w:space="0" w:color="auto"/>
        <w:right w:val="none" w:sz="0" w:space="0" w:color="auto"/>
      </w:divBdr>
      <w:divsChild>
        <w:div w:id="486018034">
          <w:marLeft w:val="0"/>
          <w:marRight w:val="0"/>
          <w:marTop w:val="0"/>
          <w:marBottom w:val="0"/>
          <w:divBdr>
            <w:top w:val="none" w:sz="0" w:space="0" w:color="auto"/>
            <w:left w:val="none" w:sz="0" w:space="0" w:color="auto"/>
            <w:bottom w:val="none" w:sz="0" w:space="0" w:color="auto"/>
            <w:right w:val="none" w:sz="0" w:space="0" w:color="auto"/>
          </w:divBdr>
        </w:div>
        <w:div w:id="630328622">
          <w:marLeft w:val="0"/>
          <w:marRight w:val="0"/>
          <w:marTop w:val="0"/>
          <w:marBottom w:val="0"/>
          <w:divBdr>
            <w:top w:val="none" w:sz="0" w:space="0" w:color="auto"/>
            <w:left w:val="none" w:sz="0" w:space="0" w:color="auto"/>
            <w:bottom w:val="none" w:sz="0" w:space="0" w:color="auto"/>
            <w:right w:val="none" w:sz="0" w:space="0" w:color="auto"/>
          </w:divBdr>
        </w:div>
        <w:div w:id="675691134">
          <w:marLeft w:val="0"/>
          <w:marRight w:val="0"/>
          <w:marTop w:val="0"/>
          <w:marBottom w:val="0"/>
          <w:divBdr>
            <w:top w:val="none" w:sz="0" w:space="0" w:color="auto"/>
            <w:left w:val="none" w:sz="0" w:space="0" w:color="auto"/>
            <w:bottom w:val="none" w:sz="0" w:space="0" w:color="auto"/>
            <w:right w:val="none" w:sz="0" w:space="0" w:color="auto"/>
          </w:divBdr>
        </w:div>
        <w:div w:id="985360839">
          <w:marLeft w:val="0"/>
          <w:marRight w:val="0"/>
          <w:marTop w:val="0"/>
          <w:marBottom w:val="0"/>
          <w:divBdr>
            <w:top w:val="none" w:sz="0" w:space="0" w:color="auto"/>
            <w:left w:val="none" w:sz="0" w:space="0" w:color="auto"/>
            <w:bottom w:val="none" w:sz="0" w:space="0" w:color="auto"/>
            <w:right w:val="none" w:sz="0" w:space="0" w:color="auto"/>
          </w:divBdr>
        </w:div>
        <w:div w:id="1465804859">
          <w:marLeft w:val="0"/>
          <w:marRight w:val="0"/>
          <w:marTop w:val="0"/>
          <w:marBottom w:val="0"/>
          <w:divBdr>
            <w:top w:val="none" w:sz="0" w:space="0" w:color="auto"/>
            <w:left w:val="none" w:sz="0" w:space="0" w:color="auto"/>
            <w:bottom w:val="none" w:sz="0" w:space="0" w:color="auto"/>
            <w:right w:val="none" w:sz="0" w:space="0" w:color="auto"/>
          </w:divBdr>
        </w:div>
      </w:divsChild>
    </w:div>
    <w:div w:id="1391492554">
      <w:bodyDiv w:val="1"/>
      <w:marLeft w:val="0"/>
      <w:marRight w:val="0"/>
      <w:marTop w:val="0"/>
      <w:marBottom w:val="0"/>
      <w:divBdr>
        <w:top w:val="none" w:sz="0" w:space="0" w:color="auto"/>
        <w:left w:val="none" w:sz="0" w:space="0" w:color="auto"/>
        <w:bottom w:val="none" w:sz="0" w:space="0" w:color="auto"/>
        <w:right w:val="none" w:sz="0" w:space="0" w:color="auto"/>
      </w:divBdr>
    </w:div>
    <w:div w:id="1416975947">
      <w:bodyDiv w:val="1"/>
      <w:marLeft w:val="0"/>
      <w:marRight w:val="0"/>
      <w:marTop w:val="0"/>
      <w:marBottom w:val="0"/>
      <w:divBdr>
        <w:top w:val="none" w:sz="0" w:space="0" w:color="auto"/>
        <w:left w:val="none" w:sz="0" w:space="0" w:color="auto"/>
        <w:bottom w:val="none" w:sz="0" w:space="0" w:color="auto"/>
        <w:right w:val="none" w:sz="0" w:space="0" w:color="auto"/>
      </w:divBdr>
    </w:div>
    <w:div w:id="1459488810">
      <w:bodyDiv w:val="1"/>
      <w:marLeft w:val="0"/>
      <w:marRight w:val="0"/>
      <w:marTop w:val="0"/>
      <w:marBottom w:val="0"/>
      <w:divBdr>
        <w:top w:val="none" w:sz="0" w:space="0" w:color="auto"/>
        <w:left w:val="none" w:sz="0" w:space="0" w:color="auto"/>
        <w:bottom w:val="none" w:sz="0" w:space="0" w:color="auto"/>
        <w:right w:val="none" w:sz="0" w:space="0" w:color="auto"/>
      </w:divBdr>
    </w:div>
    <w:div w:id="1495294429">
      <w:bodyDiv w:val="1"/>
      <w:marLeft w:val="0"/>
      <w:marRight w:val="0"/>
      <w:marTop w:val="0"/>
      <w:marBottom w:val="0"/>
      <w:divBdr>
        <w:top w:val="none" w:sz="0" w:space="0" w:color="auto"/>
        <w:left w:val="none" w:sz="0" w:space="0" w:color="auto"/>
        <w:bottom w:val="none" w:sz="0" w:space="0" w:color="auto"/>
        <w:right w:val="none" w:sz="0" w:space="0" w:color="auto"/>
      </w:divBdr>
    </w:div>
    <w:div w:id="1500194346">
      <w:bodyDiv w:val="1"/>
      <w:marLeft w:val="0"/>
      <w:marRight w:val="0"/>
      <w:marTop w:val="0"/>
      <w:marBottom w:val="0"/>
      <w:divBdr>
        <w:top w:val="none" w:sz="0" w:space="0" w:color="auto"/>
        <w:left w:val="none" w:sz="0" w:space="0" w:color="auto"/>
        <w:bottom w:val="none" w:sz="0" w:space="0" w:color="auto"/>
        <w:right w:val="none" w:sz="0" w:space="0" w:color="auto"/>
      </w:divBdr>
      <w:divsChild>
        <w:div w:id="1808931735">
          <w:marLeft w:val="0"/>
          <w:marRight w:val="0"/>
          <w:marTop w:val="0"/>
          <w:marBottom w:val="0"/>
          <w:divBdr>
            <w:top w:val="none" w:sz="0" w:space="0" w:color="auto"/>
            <w:left w:val="none" w:sz="0" w:space="0" w:color="auto"/>
            <w:bottom w:val="none" w:sz="0" w:space="0" w:color="auto"/>
            <w:right w:val="none" w:sz="0" w:space="0" w:color="auto"/>
          </w:divBdr>
        </w:div>
        <w:div w:id="2103181504">
          <w:marLeft w:val="0"/>
          <w:marRight w:val="0"/>
          <w:marTop w:val="0"/>
          <w:marBottom w:val="0"/>
          <w:divBdr>
            <w:top w:val="none" w:sz="0" w:space="0" w:color="auto"/>
            <w:left w:val="none" w:sz="0" w:space="0" w:color="auto"/>
            <w:bottom w:val="none" w:sz="0" w:space="0" w:color="auto"/>
            <w:right w:val="none" w:sz="0" w:space="0" w:color="auto"/>
          </w:divBdr>
        </w:div>
      </w:divsChild>
    </w:div>
    <w:div w:id="1575043977">
      <w:bodyDiv w:val="1"/>
      <w:marLeft w:val="0"/>
      <w:marRight w:val="0"/>
      <w:marTop w:val="0"/>
      <w:marBottom w:val="0"/>
      <w:divBdr>
        <w:top w:val="none" w:sz="0" w:space="0" w:color="auto"/>
        <w:left w:val="none" w:sz="0" w:space="0" w:color="auto"/>
        <w:bottom w:val="none" w:sz="0" w:space="0" w:color="auto"/>
        <w:right w:val="none" w:sz="0" w:space="0" w:color="auto"/>
      </w:divBdr>
    </w:div>
    <w:div w:id="1644777242">
      <w:bodyDiv w:val="1"/>
      <w:marLeft w:val="0"/>
      <w:marRight w:val="0"/>
      <w:marTop w:val="0"/>
      <w:marBottom w:val="0"/>
      <w:divBdr>
        <w:top w:val="none" w:sz="0" w:space="0" w:color="auto"/>
        <w:left w:val="none" w:sz="0" w:space="0" w:color="auto"/>
        <w:bottom w:val="none" w:sz="0" w:space="0" w:color="auto"/>
        <w:right w:val="none" w:sz="0" w:space="0" w:color="auto"/>
      </w:divBdr>
    </w:div>
    <w:div w:id="1703899818">
      <w:bodyDiv w:val="1"/>
      <w:marLeft w:val="0"/>
      <w:marRight w:val="0"/>
      <w:marTop w:val="0"/>
      <w:marBottom w:val="0"/>
      <w:divBdr>
        <w:top w:val="none" w:sz="0" w:space="0" w:color="auto"/>
        <w:left w:val="none" w:sz="0" w:space="0" w:color="auto"/>
        <w:bottom w:val="none" w:sz="0" w:space="0" w:color="auto"/>
        <w:right w:val="none" w:sz="0" w:space="0" w:color="auto"/>
      </w:divBdr>
      <w:divsChild>
        <w:div w:id="241794709">
          <w:marLeft w:val="0"/>
          <w:marRight w:val="0"/>
          <w:marTop w:val="0"/>
          <w:marBottom w:val="0"/>
          <w:divBdr>
            <w:top w:val="none" w:sz="0" w:space="0" w:color="auto"/>
            <w:left w:val="none" w:sz="0" w:space="0" w:color="auto"/>
            <w:bottom w:val="none" w:sz="0" w:space="0" w:color="auto"/>
            <w:right w:val="none" w:sz="0" w:space="0" w:color="auto"/>
          </w:divBdr>
        </w:div>
        <w:div w:id="515653078">
          <w:marLeft w:val="0"/>
          <w:marRight w:val="0"/>
          <w:marTop w:val="0"/>
          <w:marBottom w:val="0"/>
          <w:divBdr>
            <w:top w:val="none" w:sz="0" w:space="0" w:color="auto"/>
            <w:left w:val="none" w:sz="0" w:space="0" w:color="auto"/>
            <w:bottom w:val="none" w:sz="0" w:space="0" w:color="auto"/>
            <w:right w:val="none" w:sz="0" w:space="0" w:color="auto"/>
          </w:divBdr>
        </w:div>
        <w:div w:id="685667792">
          <w:marLeft w:val="0"/>
          <w:marRight w:val="0"/>
          <w:marTop w:val="0"/>
          <w:marBottom w:val="0"/>
          <w:divBdr>
            <w:top w:val="none" w:sz="0" w:space="0" w:color="auto"/>
            <w:left w:val="none" w:sz="0" w:space="0" w:color="auto"/>
            <w:bottom w:val="none" w:sz="0" w:space="0" w:color="auto"/>
            <w:right w:val="none" w:sz="0" w:space="0" w:color="auto"/>
          </w:divBdr>
        </w:div>
        <w:div w:id="749887442">
          <w:marLeft w:val="0"/>
          <w:marRight w:val="0"/>
          <w:marTop w:val="0"/>
          <w:marBottom w:val="0"/>
          <w:divBdr>
            <w:top w:val="none" w:sz="0" w:space="0" w:color="auto"/>
            <w:left w:val="none" w:sz="0" w:space="0" w:color="auto"/>
            <w:bottom w:val="none" w:sz="0" w:space="0" w:color="auto"/>
            <w:right w:val="none" w:sz="0" w:space="0" w:color="auto"/>
          </w:divBdr>
        </w:div>
        <w:div w:id="921261623">
          <w:marLeft w:val="0"/>
          <w:marRight w:val="0"/>
          <w:marTop w:val="0"/>
          <w:marBottom w:val="0"/>
          <w:divBdr>
            <w:top w:val="none" w:sz="0" w:space="0" w:color="auto"/>
            <w:left w:val="none" w:sz="0" w:space="0" w:color="auto"/>
            <w:bottom w:val="none" w:sz="0" w:space="0" w:color="auto"/>
            <w:right w:val="none" w:sz="0" w:space="0" w:color="auto"/>
          </w:divBdr>
        </w:div>
        <w:div w:id="1199316227">
          <w:marLeft w:val="0"/>
          <w:marRight w:val="0"/>
          <w:marTop w:val="0"/>
          <w:marBottom w:val="0"/>
          <w:divBdr>
            <w:top w:val="none" w:sz="0" w:space="0" w:color="auto"/>
            <w:left w:val="none" w:sz="0" w:space="0" w:color="auto"/>
            <w:bottom w:val="none" w:sz="0" w:space="0" w:color="auto"/>
            <w:right w:val="none" w:sz="0" w:space="0" w:color="auto"/>
          </w:divBdr>
        </w:div>
        <w:div w:id="1286082002">
          <w:marLeft w:val="0"/>
          <w:marRight w:val="0"/>
          <w:marTop w:val="0"/>
          <w:marBottom w:val="0"/>
          <w:divBdr>
            <w:top w:val="none" w:sz="0" w:space="0" w:color="auto"/>
            <w:left w:val="none" w:sz="0" w:space="0" w:color="auto"/>
            <w:bottom w:val="none" w:sz="0" w:space="0" w:color="auto"/>
            <w:right w:val="none" w:sz="0" w:space="0" w:color="auto"/>
          </w:divBdr>
        </w:div>
        <w:div w:id="1637681301">
          <w:marLeft w:val="0"/>
          <w:marRight w:val="0"/>
          <w:marTop w:val="0"/>
          <w:marBottom w:val="0"/>
          <w:divBdr>
            <w:top w:val="none" w:sz="0" w:space="0" w:color="auto"/>
            <w:left w:val="none" w:sz="0" w:space="0" w:color="auto"/>
            <w:bottom w:val="none" w:sz="0" w:space="0" w:color="auto"/>
            <w:right w:val="none" w:sz="0" w:space="0" w:color="auto"/>
          </w:divBdr>
        </w:div>
        <w:div w:id="1736927395">
          <w:marLeft w:val="0"/>
          <w:marRight w:val="0"/>
          <w:marTop w:val="0"/>
          <w:marBottom w:val="0"/>
          <w:divBdr>
            <w:top w:val="none" w:sz="0" w:space="0" w:color="auto"/>
            <w:left w:val="none" w:sz="0" w:space="0" w:color="auto"/>
            <w:bottom w:val="none" w:sz="0" w:space="0" w:color="auto"/>
            <w:right w:val="none" w:sz="0" w:space="0" w:color="auto"/>
          </w:divBdr>
        </w:div>
        <w:div w:id="2054772416">
          <w:marLeft w:val="0"/>
          <w:marRight w:val="0"/>
          <w:marTop w:val="0"/>
          <w:marBottom w:val="0"/>
          <w:divBdr>
            <w:top w:val="none" w:sz="0" w:space="0" w:color="auto"/>
            <w:left w:val="none" w:sz="0" w:space="0" w:color="auto"/>
            <w:bottom w:val="none" w:sz="0" w:space="0" w:color="auto"/>
            <w:right w:val="none" w:sz="0" w:space="0" w:color="auto"/>
          </w:divBdr>
        </w:div>
      </w:divsChild>
    </w:div>
    <w:div w:id="1720397269">
      <w:bodyDiv w:val="1"/>
      <w:marLeft w:val="0"/>
      <w:marRight w:val="0"/>
      <w:marTop w:val="0"/>
      <w:marBottom w:val="0"/>
      <w:divBdr>
        <w:top w:val="none" w:sz="0" w:space="0" w:color="auto"/>
        <w:left w:val="none" w:sz="0" w:space="0" w:color="auto"/>
        <w:bottom w:val="none" w:sz="0" w:space="0" w:color="auto"/>
        <w:right w:val="none" w:sz="0" w:space="0" w:color="auto"/>
      </w:divBdr>
      <w:divsChild>
        <w:div w:id="135071081">
          <w:marLeft w:val="0"/>
          <w:marRight w:val="0"/>
          <w:marTop w:val="0"/>
          <w:marBottom w:val="0"/>
          <w:divBdr>
            <w:top w:val="none" w:sz="0" w:space="0" w:color="auto"/>
            <w:left w:val="none" w:sz="0" w:space="0" w:color="auto"/>
            <w:bottom w:val="none" w:sz="0" w:space="0" w:color="auto"/>
            <w:right w:val="none" w:sz="0" w:space="0" w:color="auto"/>
          </w:divBdr>
        </w:div>
        <w:div w:id="222640550">
          <w:marLeft w:val="0"/>
          <w:marRight w:val="0"/>
          <w:marTop w:val="0"/>
          <w:marBottom w:val="0"/>
          <w:divBdr>
            <w:top w:val="none" w:sz="0" w:space="0" w:color="auto"/>
            <w:left w:val="none" w:sz="0" w:space="0" w:color="auto"/>
            <w:bottom w:val="none" w:sz="0" w:space="0" w:color="auto"/>
            <w:right w:val="none" w:sz="0" w:space="0" w:color="auto"/>
          </w:divBdr>
        </w:div>
        <w:div w:id="356389666">
          <w:marLeft w:val="0"/>
          <w:marRight w:val="0"/>
          <w:marTop w:val="0"/>
          <w:marBottom w:val="0"/>
          <w:divBdr>
            <w:top w:val="none" w:sz="0" w:space="0" w:color="auto"/>
            <w:left w:val="none" w:sz="0" w:space="0" w:color="auto"/>
            <w:bottom w:val="none" w:sz="0" w:space="0" w:color="auto"/>
            <w:right w:val="none" w:sz="0" w:space="0" w:color="auto"/>
          </w:divBdr>
        </w:div>
        <w:div w:id="573393006">
          <w:marLeft w:val="0"/>
          <w:marRight w:val="0"/>
          <w:marTop w:val="0"/>
          <w:marBottom w:val="0"/>
          <w:divBdr>
            <w:top w:val="none" w:sz="0" w:space="0" w:color="auto"/>
            <w:left w:val="none" w:sz="0" w:space="0" w:color="auto"/>
            <w:bottom w:val="none" w:sz="0" w:space="0" w:color="auto"/>
            <w:right w:val="none" w:sz="0" w:space="0" w:color="auto"/>
          </w:divBdr>
        </w:div>
        <w:div w:id="637686923">
          <w:marLeft w:val="0"/>
          <w:marRight w:val="0"/>
          <w:marTop w:val="0"/>
          <w:marBottom w:val="0"/>
          <w:divBdr>
            <w:top w:val="none" w:sz="0" w:space="0" w:color="auto"/>
            <w:left w:val="none" w:sz="0" w:space="0" w:color="auto"/>
            <w:bottom w:val="none" w:sz="0" w:space="0" w:color="auto"/>
            <w:right w:val="none" w:sz="0" w:space="0" w:color="auto"/>
          </w:divBdr>
        </w:div>
        <w:div w:id="668338350">
          <w:marLeft w:val="0"/>
          <w:marRight w:val="0"/>
          <w:marTop w:val="0"/>
          <w:marBottom w:val="0"/>
          <w:divBdr>
            <w:top w:val="none" w:sz="0" w:space="0" w:color="auto"/>
            <w:left w:val="none" w:sz="0" w:space="0" w:color="auto"/>
            <w:bottom w:val="none" w:sz="0" w:space="0" w:color="auto"/>
            <w:right w:val="none" w:sz="0" w:space="0" w:color="auto"/>
          </w:divBdr>
        </w:div>
        <w:div w:id="834883309">
          <w:marLeft w:val="0"/>
          <w:marRight w:val="0"/>
          <w:marTop w:val="0"/>
          <w:marBottom w:val="0"/>
          <w:divBdr>
            <w:top w:val="none" w:sz="0" w:space="0" w:color="auto"/>
            <w:left w:val="none" w:sz="0" w:space="0" w:color="auto"/>
            <w:bottom w:val="none" w:sz="0" w:space="0" w:color="auto"/>
            <w:right w:val="none" w:sz="0" w:space="0" w:color="auto"/>
          </w:divBdr>
        </w:div>
        <w:div w:id="891379409">
          <w:marLeft w:val="0"/>
          <w:marRight w:val="0"/>
          <w:marTop w:val="0"/>
          <w:marBottom w:val="0"/>
          <w:divBdr>
            <w:top w:val="none" w:sz="0" w:space="0" w:color="auto"/>
            <w:left w:val="none" w:sz="0" w:space="0" w:color="auto"/>
            <w:bottom w:val="none" w:sz="0" w:space="0" w:color="auto"/>
            <w:right w:val="none" w:sz="0" w:space="0" w:color="auto"/>
          </w:divBdr>
        </w:div>
      </w:divsChild>
    </w:div>
    <w:div w:id="1744795980">
      <w:bodyDiv w:val="1"/>
      <w:marLeft w:val="0"/>
      <w:marRight w:val="0"/>
      <w:marTop w:val="0"/>
      <w:marBottom w:val="0"/>
      <w:divBdr>
        <w:top w:val="none" w:sz="0" w:space="0" w:color="auto"/>
        <w:left w:val="none" w:sz="0" w:space="0" w:color="auto"/>
        <w:bottom w:val="none" w:sz="0" w:space="0" w:color="auto"/>
        <w:right w:val="none" w:sz="0" w:space="0" w:color="auto"/>
      </w:divBdr>
    </w:div>
    <w:div w:id="1762143022">
      <w:bodyDiv w:val="1"/>
      <w:marLeft w:val="0"/>
      <w:marRight w:val="0"/>
      <w:marTop w:val="0"/>
      <w:marBottom w:val="0"/>
      <w:divBdr>
        <w:top w:val="none" w:sz="0" w:space="0" w:color="auto"/>
        <w:left w:val="none" w:sz="0" w:space="0" w:color="auto"/>
        <w:bottom w:val="none" w:sz="0" w:space="0" w:color="auto"/>
        <w:right w:val="none" w:sz="0" w:space="0" w:color="auto"/>
      </w:divBdr>
    </w:div>
    <w:div w:id="1783105372">
      <w:bodyDiv w:val="1"/>
      <w:marLeft w:val="0"/>
      <w:marRight w:val="0"/>
      <w:marTop w:val="0"/>
      <w:marBottom w:val="0"/>
      <w:divBdr>
        <w:top w:val="none" w:sz="0" w:space="0" w:color="auto"/>
        <w:left w:val="none" w:sz="0" w:space="0" w:color="auto"/>
        <w:bottom w:val="none" w:sz="0" w:space="0" w:color="auto"/>
        <w:right w:val="none" w:sz="0" w:space="0" w:color="auto"/>
      </w:divBdr>
    </w:div>
    <w:div w:id="1786775886">
      <w:bodyDiv w:val="1"/>
      <w:marLeft w:val="0"/>
      <w:marRight w:val="0"/>
      <w:marTop w:val="0"/>
      <w:marBottom w:val="0"/>
      <w:divBdr>
        <w:top w:val="none" w:sz="0" w:space="0" w:color="auto"/>
        <w:left w:val="none" w:sz="0" w:space="0" w:color="auto"/>
        <w:bottom w:val="none" w:sz="0" w:space="0" w:color="auto"/>
        <w:right w:val="none" w:sz="0" w:space="0" w:color="auto"/>
      </w:divBdr>
    </w:div>
    <w:div w:id="1798839582">
      <w:bodyDiv w:val="1"/>
      <w:marLeft w:val="0"/>
      <w:marRight w:val="0"/>
      <w:marTop w:val="0"/>
      <w:marBottom w:val="0"/>
      <w:divBdr>
        <w:top w:val="none" w:sz="0" w:space="0" w:color="auto"/>
        <w:left w:val="none" w:sz="0" w:space="0" w:color="auto"/>
        <w:bottom w:val="none" w:sz="0" w:space="0" w:color="auto"/>
        <w:right w:val="none" w:sz="0" w:space="0" w:color="auto"/>
      </w:divBdr>
    </w:div>
    <w:div w:id="1957981473">
      <w:bodyDiv w:val="1"/>
      <w:marLeft w:val="0"/>
      <w:marRight w:val="0"/>
      <w:marTop w:val="0"/>
      <w:marBottom w:val="0"/>
      <w:divBdr>
        <w:top w:val="none" w:sz="0" w:space="0" w:color="auto"/>
        <w:left w:val="none" w:sz="0" w:space="0" w:color="auto"/>
        <w:bottom w:val="none" w:sz="0" w:space="0" w:color="auto"/>
        <w:right w:val="none" w:sz="0" w:space="0" w:color="auto"/>
      </w:divBdr>
    </w:div>
    <w:div w:id="1979798319">
      <w:bodyDiv w:val="1"/>
      <w:marLeft w:val="0"/>
      <w:marRight w:val="0"/>
      <w:marTop w:val="0"/>
      <w:marBottom w:val="0"/>
      <w:divBdr>
        <w:top w:val="none" w:sz="0" w:space="0" w:color="auto"/>
        <w:left w:val="none" w:sz="0" w:space="0" w:color="auto"/>
        <w:bottom w:val="none" w:sz="0" w:space="0" w:color="auto"/>
        <w:right w:val="none" w:sz="0" w:space="0" w:color="auto"/>
      </w:divBdr>
    </w:div>
    <w:div w:id="2003386114">
      <w:bodyDiv w:val="1"/>
      <w:marLeft w:val="0"/>
      <w:marRight w:val="0"/>
      <w:marTop w:val="0"/>
      <w:marBottom w:val="0"/>
      <w:divBdr>
        <w:top w:val="none" w:sz="0" w:space="0" w:color="auto"/>
        <w:left w:val="none" w:sz="0" w:space="0" w:color="auto"/>
        <w:bottom w:val="none" w:sz="0" w:space="0" w:color="auto"/>
        <w:right w:val="none" w:sz="0" w:space="0" w:color="auto"/>
      </w:divBdr>
      <w:divsChild>
        <w:div w:id="142355595">
          <w:marLeft w:val="0"/>
          <w:marRight w:val="0"/>
          <w:marTop w:val="0"/>
          <w:marBottom w:val="0"/>
          <w:divBdr>
            <w:top w:val="none" w:sz="0" w:space="0" w:color="auto"/>
            <w:left w:val="none" w:sz="0" w:space="0" w:color="auto"/>
            <w:bottom w:val="none" w:sz="0" w:space="0" w:color="auto"/>
            <w:right w:val="none" w:sz="0" w:space="0" w:color="auto"/>
          </w:divBdr>
        </w:div>
        <w:div w:id="1582254188">
          <w:marLeft w:val="0"/>
          <w:marRight w:val="0"/>
          <w:marTop w:val="0"/>
          <w:marBottom w:val="0"/>
          <w:divBdr>
            <w:top w:val="none" w:sz="0" w:space="0" w:color="auto"/>
            <w:left w:val="none" w:sz="0" w:space="0" w:color="auto"/>
            <w:bottom w:val="none" w:sz="0" w:space="0" w:color="auto"/>
            <w:right w:val="none" w:sz="0" w:space="0" w:color="auto"/>
          </w:divBdr>
        </w:div>
        <w:div w:id="1699086553">
          <w:marLeft w:val="0"/>
          <w:marRight w:val="0"/>
          <w:marTop w:val="0"/>
          <w:marBottom w:val="0"/>
          <w:divBdr>
            <w:top w:val="none" w:sz="0" w:space="0" w:color="auto"/>
            <w:left w:val="none" w:sz="0" w:space="0" w:color="auto"/>
            <w:bottom w:val="none" w:sz="0" w:space="0" w:color="auto"/>
            <w:right w:val="none" w:sz="0" w:space="0" w:color="auto"/>
          </w:divBdr>
        </w:div>
        <w:div w:id="1928269727">
          <w:marLeft w:val="0"/>
          <w:marRight w:val="0"/>
          <w:marTop w:val="0"/>
          <w:marBottom w:val="0"/>
          <w:divBdr>
            <w:top w:val="none" w:sz="0" w:space="0" w:color="auto"/>
            <w:left w:val="none" w:sz="0" w:space="0" w:color="auto"/>
            <w:bottom w:val="none" w:sz="0" w:space="0" w:color="auto"/>
            <w:right w:val="none" w:sz="0" w:space="0" w:color="auto"/>
          </w:divBdr>
        </w:div>
        <w:div w:id="2070495586">
          <w:marLeft w:val="0"/>
          <w:marRight w:val="0"/>
          <w:marTop w:val="0"/>
          <w:marBottom w:val="0"/>
          <w:divBdr>
            <w:top w:val="none" w:sz="0" w:space="0" w:color="auto"/>
            <w:left w:val="none" w:sz="0" w:space="0" w:color="auto"/>
            <w:bottom w:val="none" w:sz="0" w:space="0" w:color="auto"/>
            <w:right w:val="none" w:sz="0" w:space="0" w:color="auto"/>
          </w:divBdr>
        </w:div>
      </w:divsChild>
    </w:div>
    <w:div w:id="2066636552">
      <w:bodyDiv w:val="1"/>
      <w:marLeft w:val="0"/>
      <w:marRight w:val="0"/>
      <w:marTop w:val="0"/>
      <w:marBottom w:val="0"/>
      <w:divBdr>
        <w:top w:val="none" w:sz="0" w:space="0" w:color="auto"/>
        <w:left w:val="none" w:sz="0" w:space="0" w:color="auto"/>
        <w:bottom w:val="none" w:sz="0" w:space="0" w:color="auto"/>
        <w:right w:val="none" w:sz="0" w:space="0" w:color="auto"/>
      </w:divBdr>
    </w:div>
    <w:div w:id="2081171254">
      <w:bodyDiv w:val="1"/>
      <w:marLeft w:val="0"/>
      <w:marRight w:val="0"/>
      <w:marTop w:val="0"/>
      <w:marBottom w:val="0"/>
      <w:divBdr>
        <w:top w:val="none" w:sz="0" w:space="0" w:color="auto"/>
        <w:left w:val="none" w:sz="0" w:space="0" w:color="auto"/>
        <w:bottom w:val="none" w:sz="0" w:space="0" w:color="auto"/>
        <w:right w:val="none" w:sz="0" w:space="0" w:color="auto"/>
      </w:divBdr>
      <w:divsChild>
        <w:div w:id="16584377">
          <w:marLeft w:val="0"/>
          <w:marRight w:val="0"/>
          <w:marTop w:val="0"/>
          <w:marBottom w:val="0"/>
          <w:divBdr>
            <w:top w:val="none" w:sz="0" w:space="0" w:color="auto"/>
            <w:left w:val="none" w:sz="0" w:space="0" w:color="auto"/>
            <w:bottom w:val="none" w:sz="0" w:space="0" w:color="auto"/>
            <w:right w:val="none" w:sz="0" w:space="0" w:color="auto"/>
          </w:divBdr>
        </w:div>
        <w:div w:id="17202010">
          <w:marLeft w:val="0"/>
          <w:marRight w:val="0"/>
          <w:marTop w:val="0"/>
          <w:marBottom w:val="0"/>
          <w:divBdr>
            <w:top w:val="none" w:sz="0" w:space="0" w:color="auto"/>
            <w:left w:val="none" w:sz="0" w:space="0" w:color="auto"/>
            <w:bottom w:val="none" w:sz="0" w:space="0" w:color="auto"/>
            <w:right w:val="none" w:sz="0" w:space="0" w:color="auto"/>
          </w:divBdr>
        </w:div>
        <w:div w:id="47530434">
          <w:marLeft w:val="0"/>
          <w:marRight w:val="0"/>
          <w:marTop w:val="0"/>
          <w:marBottom w:val="0"/>
          <w:divBdr>
            <w:top w:val="none" w:sz="0" w:space="0" w:color="auto"/>
            <w:left w:val="none" w:sz="0" w:space="0" w:color="auto"/>
            <w:bottom w:val="none" w:sz="0" w:space="0" w:color="auto"/>
            <w:right w:val="none" w:sz="0" w:space="0" w:color="auto"/>
          </w:divBdr>
        </w:div>
        <w:div w:id="48234923">
          <w:marLeft w:val="0"/>
          <w:marRight w:val="0"/>
          <w:marTop w:val="0"/>
          <w:marBottom w:val="0"/>
          <w:divBdr>
            <w:top w:val="none" w:sz="0" w:space="0" w:color="auto"/>
            <w:left w:val="none" w:sz="0" w:space="0" w:color="auto"/>
            <w:bottom w:val="none" w:sz="0" w:space="0" w:color="auto"/>
            <w:right w:val="none" w:sz="0" w:space="0" w:color="auto"/>
          </w:divBdr>
        </w:div>
        <w:div w:id="68385284">
          <w:marLeft w:val="0"/>
          <w:marRight w:val="0"/>
          <w:marTop w:val="0"/>
          <w:marBottom w:val="0"/>
          <w:divBdr>
            <w:top w:val="none" w:sz="0" w:space="0" w:color="auto"/>
            <w:left w:val="none" w:sz="0" w:space="0" w:color="auto"/>
            <w:bottom w:val="none" w:sz="0" w:space="0" w:color="auto"/>
            <w:right w:val="none" w:sz="0" w:space="0" w:color="auto"/>
          </w:divBdr>
        </w:div>
        <w:div w:id="78723114">
          <w:marLeft w:val="0"/>
          <w:marRight w:val="0"/>
          <w:marTop w:val="0"/>
          <w:marBottom w:val="0"/>
          <w:divBdr>
            <w:top w:val="none" w:sz="0" w:space="0" w:color="auto"/>
            <w:left w:val="none" w:sz="0" w:space="0" w:color="auto"/>
            <w:bottom w:val="none" w:sz="0" w:space="0" w:color="auto"/>
            <w:right w:val="none" w:sz="0" w:space="0" w:color="auto"/>
          </w:divBdr>
        </w:div>
        <w:div w:id="90128443">
          <w:marLeft w:val="0"/>
          <w:marRight w:val="0"/>
          <w:marTop w:val="0"/>
          <w:marBottom w:val="0"/>
          <w:divBdr>
            <w:top w:val="none" w:sz="0" w:space="0" w:color="auto"/>
            <w:left w:val="none" w:sz="0" w:space="0" w:color="auto"/>
            <w:bottom w:val="none" w:sz="0" w:space="0" w:color="auto"/>
            <w:right w:val="none" w:sz="0" w:space="0" w:color="auto"/>
          </w:divBdr>
        </w:div>
        <w:div w:id="98181438">
          <w:marLeft w:val="0"/>
          <w:marRight w:val="0"/>
          <w:marTop w:val="0"/>
          <w:marBottom w:val="0"/>
          <w:divBdr>
            <w:top w:val="none" w:sz="0" w:space="0" w:color="auto"/>
            <w:left w:val="none" w:sz="0" w:space="0" w:color="auto"/>
            <w:bottom w:val="none" w:sz="0" w:space="0" w:color="auto"/>
            <w:right w:val="none" w:sz="0" w:space="0" w:color="auto"/>
          </w:divBdr>
        </w:div>
        <w:div w:id="101918376">
          <w:marLeft w:val="0"/>
          <w:marRight w:val="0"/>
          <w:marTop w:val="0"/>
          <w:marBottom w:val="0"/>
          <w:divBdr>
            <w:top w:val="none" w:sz="0" w:space="0" w:color="auto"/>
            <w:left w:val="none" w:sz="0" w:space="0" w:color="auto"/>
            <w:bottom w:val="none" w:sz="0" w:space="0" w:color="auto"/>
            <w:right w:val="none" w:sz="0" w:space="0" w:color="auto"/>
          </w:divBdr>
        </w:div>
        <w:div w:id="109592391">
          <w:marLeft w:val="0"/>
          <w:marRight w:val="0"/>
          <w:marTop w:val="0"/>
          <w:marBottom w:val="0"/>
          <w:divBdr>
            <w:top w:val="none" w:sz="0" w:space="0" w:color="auto"/>
            <w:left w:val="none" w:sz="0" w:space="0" w:color="auto"/>
            <w:bottom w:val="none" w:sz="0" w:space="0" w:color="auto"/>
            <w:right w:val="none" w:sz="0" w:space="0" w:color="auto"/>
          </w:divBdr>
        </w:div>
        <w:div w:id="120265681">
          <w:marLeft w:val="0"/>
          <w:marRight w:val="0"/>
          <w:marTop w:val="0"/>
          <w:marBottom w:val="0"/>
          <w:divBdr>
            <w:top w:val="none" w:sz="0" w:space="0" w:color="auto"/>
            <w:left w:val="none" w:sz="0" w:space="0" w:color="auto"/>
            <w:bottom w:val="none" w:sz="0" w:space="0" w:color="auto"/>
            <w:right w:val="none" w:sz="0" w:space="0" w:color="auto"/>
          </w:divBdr>
        </w:div>
        <w:div w:id="127214275">
          <w:marLeft w:val="0"/>
          <w:marRight w:val="0"/>
          <w:marTop w:val="0"/>
          <w:marBottom w:val="0"/>
          <w:divBdr>
            <w:top w:val="none" w:sz="0" w:space="0" w:color="auto"/>
            <w:left w:val="none" w:sz="0" w:space="0" w:color="auto"/>
            <w:bottom w:val="none" w:sz="0" w:space="0" w:color="auto"/>
            <w:right w:val="none" w:sz="0" w:space="0" w:color="auto"/>
          </w:divBdr>
        </w:div>
        <w:div w:id="129325036">
          <w:marLeft w:val="0"/>
          <w:marRight w:val="0"/>
          <w:marTop w:val="0"/>
          <w:marBottom w:val="0"/>
          <w:divBdr>
            <w:top w:val="none" w:sz="0" w:space="0" w:color="auto"/>
            <w:left w:val="none" w:sz="0" w:space="0" w:color="auto"/>
            <w:bottom w:val="none" w:sz="0" w:space="0" w:color="auto"/>
            <w:right w:val="none" w:sz="0" w:space="0" w:color="auto"/>
          </w:divBdr>
        </w:div>
        <w:div w:id="133331933">
          <w:marLeft w:val="0"/>
          <w:marRight w:val="0"/>
          <w:marTop w:val="0"/>
          <w:marBottom w:val="0"/>
          <w:divBdr>
            <w:top w:val="none" w:sz="0" w:space="0" w:color="auto"/>
            <w:left w:val="none" w:sz="0" w:space="0" w:color="auto"/>
            <w:bottom w:val="none" w:sz="0" w:space="0" w:color="auto"/>
            <w:right w:val="none" w:sz="0" w:space="0" w:color="auto"/>
          </w:divBdr>
        </w:div>
        <w:div w:id="142965244">
          <w:marLeft w:val="0"/>
          <w:marRight w:val="0"/>
          <w:marTop w:val="0"/>
          <w:marBottom w:val="0"/>
          <w:divBdr>
            <w:top w:val="none" w:sz="0" w:space="0" w:color="auto"/>
            <w:left w:val="none" w:sz="0" w:space="0" w:color="auto"/>
            <w:bottom w:val="none" w:sz="0" w:space="0" w:color="auto"/>
            <w:right w:val="none" w:sz="0" w:space="0" w:color="auto"/>
          </w:divBdr>
        </w:div>
        <w:div w:id="144860580">
          <w:marLeft w:val="0"/>
          <w:marRight w:val="0"/>
          <w:marTop w:val="0"/>
          <w:marBottom w:val="0"/>
          <w:divBdr>
            <w:top w:val="none" w:sz="0" w:space="0" w:color="auto"/>
            <w:left w:val="none" w:sz="0" w:space="0" w:color="auto"/>
            <w:bottom w:val="none" w:sz="0" w:space="0" w:color="auto"/>
            <w:right w:val="none" w:sz="0" w:space="0" w:color="auto"/>
          </w:divBdr>
        </w:div>
        <w:div w:id="153960739">
          <w:marLeft w:val="0"/>
          <w:marRight w:val="0"/>
          <w:marTop w:val="0"/>
          <w:marBottom w:val="0"/>
          <w:divBdr>
            <w:top w:val="none" w:sz="0" w:space="0" w:color="auto"/>
            <w:left w:val="none" w:sz="0" w:space="0" w:color="auto"/>
            <w:bottom w:val="none" w:sz="0" w:space="0" w:color="auto"/>
            <w:right w:val="none" w:sz="0" w:space="0" w:color="auto"/>
          </w:divBdr>
        </w:div>
        <w:div w:id="175653799">
          <w:marLeft w:val="0"/>
          <w:marRight w:val="0"/>
          <w:marTop w:val="0"/>
          <w:marBottom w:val="0"/>
          <w:divBdr>
            <w:top w:val="none" w:sz="0" w:space="0" w:color="auto"/>
            <w:left w:val="none" w:sz="0" w:space="0" w:color="auto"/>
            <w:bottom w:val="none" w:sz="0" w:space="0" w:color="auto"/>
            <w:right w:val="none" w:sz="0" w:space="0" w:color="auto"/>
          </w:divBdr>
        </w:div>
        <w:div w:id="180823437">
          <w:marLeft w:val="0"/>
          <w:marRight w:val="0"/>
          <w:marTop w:val="0"/>
          <w:marBottom w:val="0"/>
          <w:divBdr>
            <w:top w:val="none" w:sz="0" w:space="0" w:color="auto"/>
            <w:left w:val="none" w:sz="0" w:space="0" w:color="auto"/>
            <w:bottom w:val="none" w:sz="0" w:space="0" w:color="auto"/>
            <w:right w:val="none" w:sz="0" w:space="0" w:color="auto"/>
          </w:divBdr>
        </w:div>
        <w:div w:id="238636594">
          <w:marLeft w:val="0"/>
          <w:marRight w:val="0"/>
          <w:marTop w:val="0"/>
          <w:marBottom w:val="0"/>
          <w:divBdr>
            <w:top w:val="none" w:sz="0" w:space="0" w:color="auto"/>
            <w:left w:val="none" w:sz="0" w:space="0" w:color="auto"/>
            <w:bottom w:val="none" w:sz="0" w:space="0" w:color="auto"/>
            <w:right w:val="none" w:sz="0" w:space="0" w:color="auto"/>
          </w:divBdr>
        </w:div>
        <w:div w:id="243760474">
          <w:marLeft w:val="0"/>
          <w:marRight w:val="0"/>
          <w:marTop w:val="0"/>
          <w:marBottom w:val="0"/>
          <w:divBdr>
            <w:top w:val="none" w:sz="0" w:space="0" w:color="auto"/>
            <w:left w:val="none" w:sz="0" w:space="0" w:color="auto"/>
            <w:bottom w:val="none" w:sz="0" w:space="0" w:color="auto"/>
            <w:right w:val="none" w:sz="0" w:space="0" w:color="auto"/>
          </w:divBdr>
        </w:div>
        <w:div w:id="249629527">
          <w:marLeft w:val="0"/>
          <w:marRight w:val="0"/>
          <w:marTop w:val="0"/>
          <w:marBottom w:val="0"/>
          <w:divBdr>
            <w:top w:val="none" w:sz="0" w:space="0" w:color="auto"/>
            <w:left w:val="none" w:sz="0" w:space="0" w:color="auto"/>
            <w:bottom w:val="none" w:sz="0" w:space="0" w:color="auto"/>
            <w:right w:val="none" w:sz="0" w:space="0" w:color="auto"/>
          </w:divBdr>
        </w:div>
        <w:div w:id="251742905">
          <w:marLeft w:val="0"/>
          <w:marRight w:val="0"/>
          <w:marTop w:val="0"/>
          <w:marBottom w:val="0"/>
          <w:divBdr>
            <w:top w:val="none" w:sz="0" w:space="0" w:color="auto"/>
            <w:left w:val="none" w:sz="0" w:space="0" w:color="auto"/>
            <w:bottom w:val="none" w:sz="0" w:space="0" w:color="auto"/>
            <w:right w:val="none" w:sz="0" w:space="0" w:color="auto"/>
          </w:divBdr>
        </w:div>
        <w:div w:id="265423805">
          <w:marLeft w:val="0"/>
          <w:marRight w:val="0"/>
          <w:marTop w:val="0"/>
          <w:marBottom w:val="0"/>
          <w:divBdr>
            <w:top w:val="none" w:sz="0" w:space="0" w:color="auto"/>
            <w:left w:val="none" w:sz="0" w:space="0" w:color="auto"/>
            <w:bottom w:val="none" w:sz="0" w:space="0" w:color="auto"/>
            <w:right w:val="none" w:sz="0" w:space="0" w:color="auto"/>
          </w:divBdr>
        </w:div>
        <w:div w:id="268465346">
          <w:marLeft w:val="0"/>
          <w:marRight w:val="0"/>
          <w:marTop w:val="0"/>
          <w:marBottom w:val="0"/>
          <w:divBdr>
            <w:top w:val="none" w:sz="0" w:space="0" w:color="auto"/>
            <w:left w:val="none" w:sz="0" w:space="0" w:color="auto"/>
            <w:bottom w:val="none" w:sz="0" w:space="0" w:color="auto"/>
            <w:right w:val="none" w:sz="0" w:space="0" w:color="auto"/>
          </w:divBdr>
        </w:div>
        <w:div w:id="270626739">
          <w:marLeft w:val="0"/>
          <w:marRight w:val="0"/>
          <w:marTop w:val="0"/>
          <w:marBottom w:val="0"/>
          <w:divBdr>
            <w:top w:val="none" w:sz="0" w:space="0" w:color="auto"/>
            <w:left w:val="none" w:sz="0" w:space="0" w:color="auto"/>
            <w:bottom w:val="none" w:sz="0" w:space="0" w:color="auto"/>
            <w:right w:val="none" w:sz="0" w:space="0" w:color="auto"/>
          </w:divBdr>
        </w:div>
        <w:div w:id="275330161">
          <w:marLeft w:val="0"/>
          <w:marRight w:val="0"/>
          <w:marTop w:val="0"/>
          <w:marBottom w:val="0"/>
          <w:divBdr>
            <w:top w:val="none" w:sz="0" w:space="0" w:color="auto"/>
            <w:left w:val="none" w:sz="0" w:space="0" w:color="auto"/>
            <w:bottom w:val="none" w:sz="0" w:space="0" w:color="auto"/>
            <w:right w:val="none" w:sz="0" w:space="0" w:color="auto"/>
          </w:divBdr>
        </w:div>
        <w:div w:id="283077699">
          <w:marLeft w:val="0"/>
          <w:marRight w:val="0"/>
          <w:marTop w:val="0"/>
          <w:marBottom w:val="0"/>
          <w:divBdr>
            <w:top w:val="none" w:sz="0" w:space="0" w:color="auto"/>
            <w:left w:val="none" w:sz="0" w:space="0" w:color="auto"/>
            <w:bottom w:val="none" w:sz="0" w:space="0" w:color="auto"/>
            <w:right w:val="none" w:sz="0" w:space="0" w:color="auto"/>
          </w:divBdr>
        </w:div>
        <w:div w:id="320819600">
          <w:marLeft w:val="0"/>
          <w:marRight w:val="0"/>
          <w:marTop w:val="0"/>
          <w:marBottom w:val="0"/>
          <w:divBdr>
            <w:top w:val="none" w:sz="0" w:space="0" w:color="auto"/>
            <w:left w:val="none" w:sz="0" w:space="0" w:color="auto"/>
            <w:bottom w:val="none" w:sz="0" w:space="0" w:color="auto"/>
            <w:right w:val="none" w:sz="0" w:space="0" w:color="auto"/>
          </w:divBdr>
        </w:div>
        <w:div w:id="324822541">
          <w:marLeft w:val="0"/>
          <w:marRight w:val="0"/>
          <w:marTop w:val="0"/>
          <w:marBottom w:val="0"/>
          <w:divBdr>
            <w:top w:val="none" w:sz="0" w:space="0" w:color="auto"/>
            <w:left w:val="none" w:sz="0" w:space="0" w:color="auto"/>
            <w:bottom w:val="none" w:sz="0" w:space="0" w:color="auto"/>
            <w:right w:val="none" w:sz="0" w:space="0" w:color="auto"/>
          </w:divBdr>
        </w:div>
        <w:div w:id="348993466">
          <w:marLeft w:val="0"/>
          <w:marRight w:val="0"/>
          <w:marTop w:val="0"/>
          <w:marBottom w:val="0"/>
          <w:divBdr>
            <w:top w:val="none" w:sz="0" w:space="0" w:color="auto"/>
            <w:left w:val="none" w:sz="0" w:space="0" w:color="auto"/>
            <w:bottom w:val="none" w:sz="0" w:space="0" w:color="auto"/>
            <w:right w:val="none" w:sz="0" w:space="0" w:color="auto"/>
          </w:divBdr>
        </w:div>
        <w:div w:id="371274557">
          <w:marLeft w:val="0"/>
          <w:marRight w:val="0"/>
          <w:marTop w:val="0"/>
          <w:marBottom w:val="0"/>
          <w:divBdr>
            <w:top w:val="none" w:sz="0" w:space="0" w:color="auto"/>
            <w:left w:val="none" w:sz="0" w:space="0" w:color="auto"/>
            <w:bottom w:val="none" w:sz="0" w:space="0" w:color="auto"/>
            <w:right w:val="none" w:sz="0" w:space="0" w:color="auto"/>
          </w:divBdr>
        </w:div>
        <w:div w:id="371468631">
          <w:marLeft w:val="0"/>
          <w:marRight w:val="0"/>
          <w:marTop w:val="0"/>
          <w:marBottom w:val="0"/>
          <w:divBdr>
            <w:top w:val="none" w:sz="0" w:space="0" w:color="auto"/>
            <w:left w:val="none" w:sz="0" w:space="0" w:color="auto"/>
            <w:bottom w:val="none" w:sz="0" w:space="0" w:color="auto"/>
            <w:right w:val="none" w:sz="0" w:space="0" w:color="auto"/>
          </w:divBdr>
        </w:div>
        <w:div w:id="378864944">
          <w:marLeft w:val="0"/>
          <w:marRight w:val="0"/>
          <w:marTop w:val="0"/>
          <w:marBottom w:val="0"/>
          <w:divBdr>
            <w:top w:val="none" w:sz="0" w:space="0" w:color="auto"/>
            <w:left w:val="none" w:sz="0" w:space="0" w:color="auto"/>
            <w:bottom w:val="none" w:sz="0" w:space="0" w:color="auto"/>
            <w:right w:val="none" w:sz="0" w:space="0" w:color="auto"/>
          </w:divBdr>
        </w:div>
        <w:div w:id="381029104">
          <w:marLeft w:val="0"/>
          <w:marRight w:val="0"/>
          <w:marTop w:val="0"/>
          <w:marBottom w:val="0"/>
          <w:divBdr>
            <w:top w:val="none" w:sz="0" w:space="0" w:color="auto"/>
            <w:left w:val="none" w:sz="0" w:space="0" w:color="auto"/>
            <w:bottom w:val="none" w:sz="0" w:space="0" w:color="auto"/>
            <w:right w:val="none" w:sz="0" w:space="0" w:color="auto"/>
          </w:divBdr>
        </w:div>
        <w:div w:id="384138312">
          <w:marLeft w:val="0"/>
          <w:marRight w:val="0"/>
          <w:marTop w:val="0"/>
          <w:marBottom w:val="0"/>
          <w:divBdr>
            <w:top w:val="none" w:sz="0" w:space="0" w:color="auto"/>
            <w:left w:val="none" w:sz="0" w:space="0" w:color="auto"/>
            <w:bottom w:val="none" w:sz="0" w:space="0" w:color="auto"/>
            <w:right w:val="none" w:sz="0" w:space="0" w:color="auto"/>
          </w:divBdr>
        </w:div>
        <w:div w:id="387073543">
          <w:marLeft w:val="0"/>
          <w:marRight w:val="0"/>
          <w:marTop w:val="0"/>
          <w:marBottom w:val="0"/>
          <w:divBdr>
            <w:top w:val="none" w:sz="0" w:space="0" w:color="auto"/>
            <w:left w:val="none" w:sz="0" w:space="0" w:color="auto"/>
            <w:bottom w:val="none" w:sz="0" w:space="0" w:color="auto"/>
            <w:right w:val="none" w:sz="0" w:space="0" w:color="auto"/>
          </w:divBdr>
        </w:div>
        <w:div w:id="388185171">
          <w:marLeft w:val="0"/>
          <w:marRight w:val="0"/>
          <w:marTop w:val="0"/>
          <w:marBottom w:val="0"/>
          <w:divBdr>
            <w:top w:val="none" w:sz="0" w:space="0" w:color="auto"/>
            <w:left w:val="none" w:sz="0" w:space="0" w:color="auto"/>
            <w:bottom w:val="none" w:sz="0" w:space="0" w:color="auto"/>
            <w:right w:val="none" w:sz="0" w:space="0" w:color="auto"/>
          </w:divBdr>
        </w:div>
        <w:div w:id="399406242">
          <w:marLeft w:val="0"/>
          <w:marRight w:val="0"/>
          <w:marTop w:val="0"/>
          <w:marBottom w:val="0"/>
          <w:divBdr>
            <w:top w:val="none" w:sz="0" w:space="0" w:color="auto"/>
            <w:left w:val="none" w:sz="0" w:space="0" w:color="auto"/>
            <w:bottom w:val="none" w:sz="0" w:space="0" w:color="auto"/>
            <w:right w:val="none" w:sz="0" w:space="0" w:color="auto"/>
          </w:divBdr>
        </w:div>
        <w:div w:id="399445050">
          <w:marLeft w:val="0"/>
          <w:marRight w:val="0"/>
          <w:marTop w:val="0"/>
          <w:marBottom w:val="0"/>
          <w:divBdr>
            <w:top w:val="none" w:sz="0" w:space="0" w:color="auto"/>
            <w:left w:val="none" w:sz="0" w:space="0" w:color="auto"/>
            <w:bottom w:val="none" w:sz="0" w:space="0" w:color="auto"/>
            <w:right w:val="none" w:sz="0" w:space="0" w:color="auto"/>
          </w:divBdr>
        </w:div>
        <w:div w:id="412698658">
          <w:marLeft w:val="0"/>
          <w:marRight w:val="0"/>
          <w:marTop w:val="0"/>
          <w:marBottom w:val="0"/>
          <w:divBdr>
            <w:top w:val="none" w:sz="0" w:space="0" w:color="auto"/>
            <w:left w:val="none" w:sz="0" w:space="0" w:color="auto"/>
            <w:bottom w:val="none" w:sz="0" w:space="0" w:color="auto"/>
            <w:right w:val="none" w:sz="0" w:space="0" w:color="auto"/>
          </w:divBdr>
        </w:div>
        <w:div w:id="412974789">
          <w:marLeft w:val="0"/>
          <w:marRight w:val="0"/>
          <w:marTop w:val="0"/>
          <w:marBottom w:val="0"/>
          <w:divBdr>
            <w:top w:val="none" w:sz="0" w:space="0" w:color="auto"/>
            <w:left w:val="none" w:sz="0" w:space="0" w:color="auto"/>
            <w:bottom w:val="none" w:sz="0" w:space="0" w:color="auto"/>
            <w:right w:val="none" w:sz="0" w:space="0" w:color="auto"/>
          </w:divBdr>
        </w:div>
        <w:div w:id="419718449">
          <w:marLeft w:val="0"/>
          <w:marRight w:val="0"/>
          <w:marTop w:val="0"/>
          <w:marBottom w:val="0"/>
          <w:divBdr>
            <w:top w:val="none" w:sz="0" w:space="0" w:color="auto"/>
            <w:left w:val="none" w:sz="0" w:space="0" w:color="auto"/>
            <w:bottom w:val="none" w:sz="0" w:space="0" w:color="auto"/>
            <w:right w:val="none" w:sz="0" w:space="0" w:color="auto"/>
          </w:divBdr>
        </w:div>
        <w:div w:id="438716535">
          <w:marLeft w:val="0"/>
          <w:marRight w:val="0"/>
          <w:marTop w:val="0"/>
          <w:marBottom w:val="0"/>
          <w:divBdr>
            <w:top w:val="none" w:sz="0" w:space="0" w:color="auto"/>
            <w:left w:val="none" w:sz="0" w:space="0" w:color="auto"/>
            <w:bottom w:val="none" w:sz="0" w:space="0" w:color="auto"/>
            <w:right w:val="none" w:sz="0" w:space="0" w:color="auto"/>
          </w:divBdr>
        </w:div>
        <w:div w:id="446237961">
          <w:marLeft w:val="0"/>
          <w:marRight w:val="0"/>
          <w:marTop w:val="0"/>
          <w:marBottom w:val="0"/>
          <w:divBdr>
            <w:top w:val="none" w:sz="0" w:space="0" w:color="auto"/>
            <w:left w:val="none" w:sz="0" w:space="0" w:color="auto"/>
            <w:bottom w:val="none" w:sz="0" w:space="0" w:color="auto"/>
            <w:right w:val="none" w:sz="0" w:space="0" w:color="auto"/>
          </w:divBdr>
        </w:div>
        <w:div w:id="453447715">
          <w:marLeft w:val="0"/>
          <w:marRight w:val="0"/>
          <w:marTop w:val="0"/>
          <w:marBottom w:val="0"/>
          <w:divBdr>
            <w:top w:val="none" w:sz="0" w:space="0" w:color="auto"/>
            <w:left w:val="none" w:sz="0" w:space="0" w:color="auto"/>
            <w:bottom w:val="none" w:sz="0" w:space="0" w:color="auto"/>
            <w:right w:val="none" w:sz="0" w:space="0" w:color="auto"/>
          </w:divBdr>
        </w:div>
        <w:div w:id="479007636">
          <w:marLeft w:val="0"/>
          <w:marRight w:val="0"/>
          <w:marTop w:val="0"/>
          <w:marBottom w:val="0"/>
          <w:divBdr>
            <w:top w:val="none" w:sz="0" w:space="0" w:color="auto"/>
            <w:left w:val="none" w:sz="0" w:space="0" w:color="auto"/>
            <w:bottom w:val="none" w:sz="0" w:space="0" w:color="auto"/>
            <w:right w:val="none" w:sz="0" w:space="0" w:color="auto"/>
          </w:divBdr>
        </w:div>
        <w:div w:id="482935538">
          <w:marLeft w:val="0"/>
          <w:marRight w:val="0"/>
          <w:marTop w:val="0"/>
          <w:marBottom w:val="0"/>
          <w:divBdr>
            <w:top w:val="none" w:sz="0" w:space="0" w:color="auto"/>
            <w:left w:val="none" w:sz="0" w:space="0" w:color="auto"/>
            <w:bottom w:val="none" w:sz="0" w:space="0" w:color="auto"/>
            <w:right w:val="none" w:sz="0" w:space="0" w:color="auto"/>
          </w:divBdr>
        </w:div>
        <w:div w:id="483815252">
          <w:marLeft w:val="0"/>
          <w:marRight w:val="0"/>
          <w:marTop w:val="0"/>
          <w:marBottom w:val="0"/>
          <w:divBdr>
            <w:top w:val="none" w:sz="0" w:space="0" w:color="auto"/>
            <w:left w:val="none" w:sz="0" w:space="0" w:color="auto"/>
            <w:bottom w:val="none" w:sz="0" w:space="0" w:color="auto"/>
            <w:right w:val="none" w:sz="0" w:space="0" w:color="auto"/>
          </w:divBdr>
        </w:div>
        <w:div w:id="484469919">
          <w:marLeft w:val="0"/>
          <w:marRight w:val="0"/>
          <w:marTop w:val="0"/>
          <w:marBottom w:val="0"/>
          <w:divBdr>
            <w:top w:val="none" w:sz="0" w:space="0" w:color="auto"/>
            <w:left w:val="none" w:sz="0" w:space="0" w:color="auto"/>
            <w:bottom w:val="none" w:sz="0" w:space="0" w:color="auto"/>
            <w:right w:val="none" w:sz="0" w:space="0" w:color="auto"/>
          </w:divBdr>
        </w:div>
        <w:div w:id="493106505">
          <w:marLeft w:val="0"/>
          <w:marRight w:val="0"/>
          <w:marTop w:val="0"/>
          <w:marBottom w:val="0"/>
          <w:divBdr>
            <w:top w:val="none" w:sz="0" w:space="0" w:color="auto"/>
            <w:left w:val="none" w:sz="0" w:space="0" w:color="auto"/>
            <w:bottom w:val="none" w:sz="0" w:space="0" w:color="auto"/>
            <w:right w:val="none" w:sz="0" w:space="0" w:color="auto"/>
          </w:divBdr>
        </w:div>
        <w:div w:id="512184080">
          <w:marLeft w:val="0"/>
          <w:marRight w:val="0"/>
          <w:marTop w:val="0"/>
          <w:marBottom w:val="0"/>
          <w:divBdr>
            <w:top w:val="none" w:sz="0" w:space="0" w:color="auto"/>
            <w:left w:val="none" w:sz="0" w:space="0" w:color="auto"/>
            <w:bottom w:val="none" w:sz="0" w:space="0" w:color="auto"/>
            <w:right w:val="none" w:sz="0" w:space="0" w:color="auto"/>
          </w:divBdr>
        </w:div>
        <w:div w:id="565266225">
          <w:marLeft w:val="0"/>
          <w:marRight w:val="0"/>
          <w:marTop w:val="0"/>
          <w:marBottom w:val="0"/>
          <w:divBdr>
            <w:top w:val="none" w:sz="0" w:space="0" w:color="auto"/>
            <w:left w:val="none" w:sz="0" w:space="0" w:color="auto"/>
            <w:bottom w:val="none" w:sz="0" w:space="0" w:color="auto"/>
            <w:right w:val="none" w:sz="0" w:space="0" w:color="auto"/>
          </w:divBdr>
        </w:div>
        <w:div w:id="572665316">
          <w:marLeft w:val="0"/>
          <w:marRight w:val="0"/>
          <w:marTop w:val="0"/>
          <w:marBottom w:val="0"/>
          <w:divBdr>
            <w:top w:val="none" w:sz="0" w:space="0" w:color="auto"/>
            <w:left w:val="none" w:sz="0" w:space="0" w:color="auto"/>
            <w:bottom w:val="none" w:sz="0" w:space="0" w:color="auto"/>
            <w:right w:val="none" w:sz="0" w:space="0" w:color="auto"/>
          </w:divBdr>
        </w:div>
        <w:div w:id="582646505">
          <w:marLeft w:val="0"/>
          <w:marRight w:val="0"/>
          <w:marTop w:val="0"/>
          <w:marBottom w:val="0"/>
          <w:divBdr>
            <w:top w:val="none" w:sz="0" w:space="0" w:color="auto"/>
            <w:left w:val="none" w:sz="0" w:space="0" w:color="auto"/>
            <w:bottom w:val="none" w:sz="0" w:space="0" w:color="auto"/>
            <w:right w:val="none" w:sz="0" w:space="0" w:color="auto"/>
          </w:divBdr>
        </w:div>
        <w:div w:id="584269000">
          <w:marLeft w:val="0"/>
          <w:marRight w:val="0"/>
          <w:marTop w:val="0"/>
          <w:marBottom w:val="0"/>
          <w:divBdr>
            <w:top w:val="none" w:sz="0" w:space="0" w:color="auto"/>
            <w:left w:val="none" w:sz="0" w:space="0" w:color="auto"/>
            <w:bottom w:val="none" w:sz="0" w:space="0" w:color="auto"/>
            <w:right w:val="none" w:sz="0" w:space="0" w:color="auto"/>
          </w:divBdr>
        </w:div>
        <w:div w:id="587883242">
          <w:marLeft w:val="0"/>
          <w:marRight w:val="0"/>
          <w:marTop w:val="0"/>
          <w:marBottom w:val="0"/>
          <w:divBdr>
            <w:top w:val="none" w:sz="0" w:space="0" w:color="auto"/>
            <w:left w:val="none" w:sz="0" w:space="0" w:color="auto"/>
            <w:bottom w:val="none" w:sz="0" w:space="0" w:color="auto"/>
            <w:right w:val="none" w:sz="0" w:space="0" w:color="auto"/>
          </w:divBdr>
        </w:div>
        <w:div w:id="607781858">
          <w:marLeft w:val="0"/>
          <w:marRight w:val="0"/>
          <w:marTop w:val="0"/>
          <w:marBottom w:val="0"/>
          <w:divBdr>
            <w:top w:val="none" w:sz="0" w:space="0" w:color="auto"/>
            <w:left w:val="none" w:sz="0" w:space="0" w:color="auto"/>
            <w:bottom w:val="none" w:sz="0" w:space="0" w:color="auto"/>
            <w:right w:val="none" w:sz="0" w:space="0" w:color="auto"/>
          </w:divBdr>
        </w:div>
        <w:div w:id="618267252">
          <w:marLeft w:val="0"/>
          <w:marRight w:val="0"/>
          <w:marTop w:val="0"/>
          <w:marBottom w:val="0"/>
          <w:divBdr>
            <w:top w:val="none" w:sz="0" w:space="0" w:color="auto"/>
            <w:left w:val="none" w:sz="0" w:space="0" w:color="auto"/>
            <w:bottom w:val="none" w:sz="0" w:space="0" w:color="auto"/>
            <w:right w:val="none" w:sz="0" w:space="0" w:color="auto"/>
          </w:divBdr>
        </w:div>
        <w:div w:id="621350544">
          <w:marLeft w:val="0"/>
          <w:marRight w:val="0"/>
          <w:marTop w:val="0"/>
          <w:marBottom w:val="0"/>
          <w:divBdr>
            <w:top w:val="none" w:sz="0" w:space="0" w:color="auto"/>
            <w:left w:val="none" w:sz="0" w:space="0" w:color="auto"/>
            <w:bottom w:val="none" w:sz="0" w:space="0" w:color="auto"/>
            <w:right w:val="none" w:sz="0" w:space="0" w:color="auto"/>
          </w:divBdr>
        </w:div>
        <w:div w:id="671690379">
          <w:marLeft w:val="0"/>
          <w:marRight w:val="0"/>
          <w:marTop w:val="0"/>
          <w:marBottom w:val="0"/>
          <w:divBdr>
            <w:top w:val="none" w:sz="0" w:space="0" w:color="auto"/>
            <w:left w:val="none" w:sz="0" w:space="0" w:color="auto"/>
            <w:bottom w:val="none" w:sz="0" w:space="0" w:color="auto"/>
            <w:right w:val="none" w:sz="0" w:space="0" w:color="auto"/>
          </w:divBdr>
        </w:div>
        <w:div w:id="692195638">
          <w:marLeft w:val="0"/>
          <w:marRight w:val="0"/>
          <w:marTop w:val="0"/>
          <w:marBottom w:val="0"/>
          <w:divBdr>
            <w:top w:val="none" w:sz="0" w:space="0" w:color="auto"/>
            <w:left w:val="none" w:sz="0" w:space="0" w:color="auto"/>
            <w:bottom w:val="none" w:sz="0" w:space="0" w:color="auto"/>
            <w:right w:val="none" w:sz="0" w:space="0" w:color="auto"/>
          </w:divBdr>
        </w:div>
        <w:div w:id="696470093">
          <w:marLeft w:val="0"/>
          <w:marRight w:val="0"/>
          <w:marTop w:val="0"/>
          <w:marBottom w:val="0"/>
          <w:divBdr>
            <w:top w:val="none" w:sz="0" w:space="0" w:color="auto"/>
            <w:left w:val="none" w:sz="0" w:space="0" w:color="auto"/>
            <w:bottom w:val="none" w:sz="0" w:space="0" w:color="auto"/>
            <w:right w:val="none" w:sz="0" w:space="0" w:color="auto"/>
          </w:divBdr>
        </w:div>
        <w:div w:id="701976979">
          <w:marLeft w:val="0"/>
          <w:marRight w:val="0"/>
          <w:marTop w:val="0"/>
          <w:marBottom w:val="0"/>
          <w:divBdr>
            <w:top w:val="none" w:sz="0" w:space="0" w:color="auto"/>
            <w:left w:val="none" w:sz="0" w:space="0" w:color="auto"/>
            <w:bottom w:val="none" w:sz="0" w:space="0" w:color="auto"/>
            <w:right w:val="none" w:sz="0" w:space="0" w:color="auto"/>
          </w:divBdr>
        </w:div>
        <w:div w:id="719129360">
          <w:marLeft w:val="0"/>
          <w:marRight w:val="0"/>
          <w:marTop w:val="0"/>
          <w:marBottom w:val="0"/>
          <w:divBdr>
            <w:top w:val="none" w:sz="0" w:space="0" w:color="auto"/>
            <w:left w:val="none" w:sz="0" w:space="0" w:color="auto"/>
            <w:bottom w:val="none" w:sz="0" w:space="0" w:color="auto"/>
            <w:right w:val="none" w:sz="0" w:space="0" w:color="auto"/>
          </w:divBdr>
        </w:div>
        <w:div w:id="730613085">
          <w:marLeft w:val="0"/>
          <w:marRight w:val="0"/>
          <w:marTop w:val="0"/>
          <w:marBottom w:val="0"/>
          <w:divBdr>
            <w:top w:val="none" w:sz="0" w:space="0" w:color="auto"/>
            <w:left w:val="none" w:sz="0" w:space="0" w:color="auto"/>
            <w:bottom w:val="none" w:sz="0" w:space="0" w:color="auto"/>
            <w:right w:val="none" w:sz="0" w:space="0" w:color="auto"/>
          </w:divBdr>
        </w:div>
        <w:div w:id="732430641">
          <w:marLeft w:val="0"/>
          <w:marRight w:val="0"/>
          <w:marTop w:val="0"/>
          <w:marBottom w:val="0"/>
          <w:divBdr>
            <w:top w:val="none" w:sz="0" w:space="0" w:color="auto"/>
            <w:left w:val="none" w:sz="0" w:space="0" w:color="auto"/>
            <w:bottom w:val="none" w:sz="0" w:space="0" w:color="auto"/>
            <w:right w:val="none" w:sz="0" w:space="0" w:color="auto"/>
          </w:divBdr>
        </w:div>
        <w:div w:id="739911372">
          <w:marLeft w:val="0"/>
          <w:marRight w:val="0"/>
          <w:marTop w:val="0"/>
          <w:marBottom w:val="0"/>
          <w:divBdr>
            <w:top w:val="none" w:sz="0" w:space="0" w:color="auto"/>
            <w:left w:val="none" w:sz="0" w:space="0" w:color="auto"/>
            <w:bottom w:val="none" w:sz="0" w:space="0" w:color="auto"/>
            <w:right w:val="none" w:sz="0" w:space="0" w:color="auto"/>
          </w:divBdr>
        </w:div>
        <w:div w:id="745419003">
          <w:marLeft w:val="0"/>
          <w:marRight w:val="0"/>
          <w:marTop w:val="0"/>
          <w:marBottom w:val="0"/>
          <w:divBdr>
            <w:top w:val="none" w:sz="0" w:space="0" w:color="auto"/>
            <w:left w:val="none" w:sz="0" w:space="0" w:color="auto"/>
            <w:bottom w:val="none" w:sz="0" w:space="0" w:color="auto"/>
            <w:right w:val="none" w:sz="0" w:space="0" w:color="auto"/>
          </w:divBdr>
        </w:div>
        <w:div w:id="750125983">
          <w:marLeft w:val="0"/>
          <w:marRight w:val="0"/>
          <w:marTop w:val="0"/>
          <w:marBottom w:val="0"/>
          <w:divBdr>
            <w:top w:val="none" w:sz="0" w:space="0" w:color="auto"/>
            <w:left w:val="none" w:sz="0" w:space="0" w:color="auto"/>
            <w:bottom w:val="none" w:sz="0" w:space="0" w:color="auto"/>
            <w:right w:val="none" w:sz="0" w:space="0" w:color="auto"/>
          </w:divBdr>
        </w:div>
        <w:div w:id="764305287">
          <w:marLeft w:val="0"/>
          <w:marRight w:val="0"/>
          <w:marTop w:val="0"/>
          <w:marBottom w:val="0"/>
          <w:divBdr>
            <w:top w:val="none" w:sz="0" w:space="0" w:color="auto"/>
            <w:left w:val="none" w:sz="0" w:space="0" w:color="auto"/>
            <w:bottom w:val="none" w:sz="0" w:space="0" w:color="auto"/>
            <w:right w:val="none" w:sz="0" w:space="0" w:color="auto"/>
          </w:divBdr>
        </w:div>
        <w:div w:id="765689321">
          <w:marLeft w:val="0"/>
          <w:marRight w:val="0"/>
          <w:marTop w:val="0"/>
          <w:marBottom w:val="0"/>
          <w:divBdr>
            <w:top w:val="none" w:sz="0" w:space="0" w:color="auto"/>
            <w:left w:val="none" w:sz="0" w:space="0" w:color="auto"/>
            <w:bottom w:val="none" w:sz="0" w:space="0" w:color="auto"/>
            <w:right w:val="none" w:sz="0" w:space="0" w:color="auto"/>
          </w:divBdr>
        </w:div>
        <w:div w:id="778453981">
          <w:marLeft w:val="0"/>
          <w:marRight w:val="0"/>
          <w:marTop w:val="0"/>
          <w:marBottom w:val="0"/>
          <w:divBdr>
            <w:top w:val="none" w:sz="0" w:space="0" w:color="auto"/>
            <w:left w:val="none" w:sz="0" w:space="0" w:color="auto"/>
            <w:bottom w:val="none" w:sz="0" w:space="0" w:color="auto"/>
            <w:right w:val="none" w:sz="0" w:space="0" w:color="auto"/>
          </w:divBdr>
        </w:div>
        <w:div w:id="801967351">
          <w:marLeft w:val="0"/>
          <w:marRight w:val="0"/>
          <w:marTop w:val="0"/>
          <w:marBottom w:val="0"/>
          <w:divBdr>
            <w:top w:val="none" w:sz="0" w:space="0" w:color="auto"/>
            <w:left w:val="none" w:sz="0" w:space="0" w:color="auto"/>
            <w:bottom w:val="none" w:sz="0" w:space="0" w:color="auto"/>
            <w:right w:val="none" w:sz="0" w:space="0" w:color="auto"/>
          </w:divBdr>
        </w:div>
        <w:div w:id="802232099">
          <w:marLeft w:val="0"/>
          <w:marRight w:val="0"/>
          <w:marTop w:val="0"/>
          <w:marBottom w:val="0"/>
          <w:divBdr>
            <w:top w:val="none" w:sz="0" w:space="0" w:color="auto"/>
            <w:left w:val="none" w:sz="0" w:space="0" w:color="auto"/>
            <w:bottom w:val="none" w:sz="0" w:space="0" w:color="auto"/>
            <w:right w:val="none" w:sz="0" w:space="0" w:color="auto"/>
          </w:divBdr>
        </w:div>
        <w:div w:id="802767498">
          <w:marLeft w:val="0"/>
          <w:marRight w:val="0"/>
          <w:marTop w:val="0"/>
          <w:marBottom w:val="0"/>
          <w:divBdr>
            <w:top w:val="none" w:sz="0" w:space="0" w:color="auto"/>
            <w:left w:val="none" w:sz="0" w:space="0" w:color="auto"/>
            <w:bottom w:val="none" w:sz="0" w:space="0" w:color="auto"/>
            <w:right w:val="none" w:sz="0" w:space="0" w:color="auto"/>
          </w:divBdr>
        </w:div>
        <w:div w:id="818963536">
          <w:marLeft w:val="0"/>
          <w:marRight w:val="0"/>
          <w:marTop w:val="0"/>
          <w:marBottom w:val="0"/>
          <w:divBdr>
            <w:top w:val="none" w:sz="0" w:space="0" w:color="auto"/>
            <w:left w:val="none" w:sz="0" w:space="0" w:color="auto"/>
            <w:bottom w:val="none" w:sz="0" w:space="0" w:color="auto"/>
            <w:right w:val="none" w:sz="0" w:space="0" w:color="auto"/>
          </w:divBdr>
        </w:div>
        <w:div w:id="853804528">
          <w:marLeft w:val="0"/>
          <w:marRight w:val="0"/>
          <w:marTop w:val="0"/>
          <w:marBottom w:val="0"/>
          <w:divBdr>
            <w:top w:val="none" w:sz="0" w:space="0" w:color="auto"/>
            <w:left w:val="none" w:sz="0" w:space="0" w:color="auto"/>
            <w:bottom w:val="none" w:sz="0" w:space="0" w:color="auto"/>
            <w:right w:val="none" w:sz="0" w:space="0" w:color="auto"/>
          </w:divBdr>
        </w:div>
        <w:div w:id="862476878">
          <w:marLeft w:val="0"/>
          <w:marRight w:val="0"/>
          <w:marTop w:val="0"/>
          <w:marBottom w:val="0"/>
          <w:divBdr>
            <w:top w:val="none" w:sz="0" w:space="0" w:color="auto"/>
            <w:left w:val="none" w:sz="0" w:space="0" w:color="auto"/>
            <w:bottom w:val="none" w:sz="0" w:space="0" w:color="auto"/>
            <w:right w:val="none" w:sz="0" w:space="0" w:color="auto"/>
          </w:divBdr>
        </w:div>
        <w:div w:id="884684321">
          <w:marLeft w:val="0"/>
          <w:marRight w:val="0"/>
          <w:marTop w:val="0"/>
          <w:marBottom w:val="0"/>
          <w:divBdr>
            <w:top w:val="none" w:sz="0" w:space="0" w:color="auto"/>
            <w:left w:val="none" w:sz="0" w:space="0" w:color="auto"/>
            <w:bottom w:val="none" w:sz="0" w:space="0" w:color="auto"/>
            <w:right w:val="none" w:sz="0" w:space="0" w:color="auto"/>
          </w:divBdr>
        </w:div>
        <w:div w:id="887112036">
          <w:marLeft w:val="0"/>
          <w:marRight w:val="0"/>
          <w:marTop w:val="0"/>
          <w:marBottom w:val="0"/>
          <w:divBdr>
            <w:top w:val="none" w:sz="0" w:space="0" w:color="auto"/>
            <w:left w:val="none" w:sz="0" w:space="0" w:color="auto"/>
            <w:bottom w:val="none" w:sz="0" w:space="0" w:color="auto"/>
            <w:right w:val="none" w:sz="0" w:space="0" w:color="auto"/>
          </w:divBdr>
        </w:div>
        <w:div w:id="909853205">
          <w:marLeft w:val="0"/>
          <w:marRight w:val="0"/>
          <w:marTop w:val="0"/>
          <w:marBottom w:val="0"/>
          <w:divBdr>
            <w:top w:val="none" w:sz="0" w:space="0" w:color="auto"/>
            <w:left w:val="none" w:sz="0" w:space="0" w:color="auto"/>
            <w:bottom w:val="none" w:sz="0" w:space="0" w:color="auto"/>
            <w:right w:val="none" w:sz="0" w:space="0" w:color="auto"/>
          </w:divBdr>
        </w:div>
        <w:div w:id="912468183">
          <w:marLeft w:val="0"/>
          <w:marRight w:val="0"/>
          <w:marTop w:val="0"/>
          <w:marBottom w:val="0"/>
          <w:divBdr>
            <w:top w:val="none" w:sz="0" w:space="0" w:color="auto"/>
            <w:left w:val="none" w:sz="0" w:space="0" w:color="auto"/>
            <w:bottom w:val="none" w:sz="0" w:space="0" w:color="auto"/>
            <w:right w:val="none" w:sz="0" w:space="0" w:color="auto"/>
          </w:divBdr>
        </w:div>
        <w:div w:id="915551948">
          <w:marLeft w:val="0"/>
          <w:marRight w:val="0"/>
          <w:marTop w:val="0"/>
          <w:marBottom w:val="0"/>
          <w:divBdr>
            <w:top w:val="none" w:sz="0" w:space="0" w:color="auto"/>
            <w:left w:val="none" w:sz="0" w:space="0" w:color="auto"/>
            <w:bottom w:val="none" w:sz="0" w:space="0" w:color="auto"/>
            <w:right w:val="none" w:sz="0" w:space="0" w:color="auto"/>
          </w:divBdr>
        </w:div>
        <w:div w:id="917439509">
          <w:marLeft w:val="0"/>
          <w:marRight w:val="0"/>
          <w:marTop w:val="0"/>
          <w:marBottom w:val="0"/>
          <w:divBdr>
            <w:top w:val="none" w:sz="0" w:space="0" w:color="auto"/>
            <w:left w:val="none" w:sz="0" w:space="0" w:color="auto"/>
            <w:bottom w:val="none" w:sz="0" w:space="0" w:color="auto"/>
            <w:right w:val="none" w:sz="0" w:space="0" w:color="auto"/>
          </w:divBdr>
        </w:div>
        <w:div w:id="922224119">
          <w:marLeft w:val="0"/>
          <w:marRight w:val="0"/>
          <w:marTop w:val="0"/>
          <w:marBottom w:val="0"/>
          <w:divBdr>
            <w:top w:val="none" w:sz="0" w:space="0" w:color="auto"/>
            <w:left w:val="none" w:sz="0" w:space="0" w:color="auto"/>
            <w:bottom w:val="none" w:sz="0" w:space="0" w:color="auto"/>
            <w:right w:val="none" w:sz="0" w:space="0" w:color="auto"/>
          </w:divBdr>
        </w:div>
        <w:div w:id="930820700">
          <w:marLeft w:val="0"/>
          <w:marRight w:val="0"/>
          <w:marTop w:val="0"/>
          <w:marBottom w:val="0"/>
          <w:divBdr>
            <w:top w:val="none" w:sz="0" w:space="0" w:color="auto"/>
            <w:left w:val="none" w:sz="0" w:space="0" w:color="auto"/>
            <w:bottom w:val="none" w:sz="0" w:space="0" w:color="auto"/>
            <w:right w:val="none" w:sz="0" w:space="0" w:color="auto"/>
          </w:divBdr>
        </w:div>
        <w:div w:id="942030803">
          <w:marLeft w:val="0"/>
          <w:marRight w:val="0"/>
          <w:marTop w:val="0"/>
          <w:marBottom w:val="0"/>
          <w:divBdr>
            <w:top w:val="none" w:sz="0" w:space="0" w:color="auto"/>
            <w:left w:val="none" w:sz="0" w:space="0" w:color="auto"/>
            <w:bottom w:val="none" w:sz="0" w:space="0" w:color="auto"/>
            <w:right w:val="none" w:sz="0" w:space="0" w:color="auto"/>
          </w:divBdr>
        </w:div>
        <w:div w:id="951742233">
          <w:marLeft w:val="0"/>
          <w:marRight w:val="0"/>
          <w:marTop w:val="0"/>
          <w:marBottom w:val="0"/>
          <w:divBdr>
            <w:top w:val="none" w:sz="0" w:space="0" w:color="auto"/>
            <w:left w:val="none" w:sz="0" w:space="0" w:color="auto"/>
            <w:bottom w:val="none" w:sz="0" w:space="0" w:color="auto"/>
            <w:right w:val="none" w:sz="0" w:space="0" w:color="auto"/>
          </w:divBdr>
        </w:div>
        <w:div w:id="965769568">
          <w:marLeft w:val="0"/>
          <w:marRight w:val="0"/>
          <w:marTop w:val="0"/>
          <w:marBottom w:val="0"/>
          <w:divBdr>
            <w:top w:val="none" w:sz="0" w:space="0" w:color="auto"/>
            <w:left w:val="none" w:sz="0" w:space="0" w:color="auto"/>
            <w:bottom w:val="none" w:sz="0" w:space="0" w:color="auto"/>
            <w:right w:val="none" w:sz="0" w:space="0" w:color="auto"/>
          </w:divBdr>
        </w:div>
        <w:div w:id="1008025158">
          <w:marLeft w:val="0"/>
          <w:marRight w:val="0"/>
          <w:marTop w:val="0"/>
          <w:marBottom w:val="0"/>
          <w:divBdr>
            <w:top w:val="none" w:sz="0" w:space="0" w:color="auto"/>
            <w:left w:val="none" w:sz="0" w:space="0" w:color="auto"/>
            <w:bottom w:val="none" w:sz="0" w:space="0" w:color="auto"/>
            <w:right w:val="none" w:sz="0" w:space="0" w:color="auto"/>
          </w:divBdr>
        </w:div>
        <w:div w:id="1019815710">
          <w:marLeft w:val="0"/>
          <w:marRight w:val="0"/>
          <w:marTop w:val="0"/>
          <w:marBottom w:val="0"/>
          <w:divBdr>
            <w:top w:val="none" w:sz="0" w:space="0" w:color="auto"/>
            <w:left w:val="none" w:sz="0" w:space="0" w:color="auto"/>
            <w:bottom w:val="none" w:sz="0" w:space="0" w:color="auto"/>
            <w:right w:val="none" w:sz="0" w:space="0" w:color="auto"/>
          </w:divBdr>
        </w:div>
        <w:div w:id="1022977488">
          <w:marLeft w:val="0"/>
          <w:marRight w:val="0"/>
          <w:marTop w:val="0"/>
          <w:marBottom w:val="0"/>
          <w:divBdr>
            <w:top w:val="none" w:sz="0" w:space="0" w:color="auto"/>
            <w:left w:val="none" w:sz="0" w:space="0" w:color="auto"/>
            <w:bottom w:val="none" w:sz="0" w:space="0" w:color="auto"/>
            <w:right w:val="none" w:sz="0" w:space="0" w:color="auto"/>
          </w:divBdr>
        </w:div>
        <w:div w:id="1027102480">
          <w:marLeft w:val="0"/>
          <w:marRight w:val="0"/>
          <w:marTop w:val="0"/>
          <w:marBottom w:val="0"/>
          <w:divBdr>
            <w:top w:val="none" w:sz="0" w:space="0" w:color="auto"/>
            <w:left w:val="none" w:sz="0" w:space="0" w:color="auto"/>
            <w:bottom w:val="none" w:sz="0" w:space="0" w:color="auto"/>
            <w:right w:val="none" w:sz="0" w:space="0" w:color="auto"/>
          </w:divBdr>
        </w:div>
        <w:div w:id="1036540492">
          <w:marLeft w:val="0"/>
          <w:marRight w:val="0"/>
          <w:marTop w:val="0"/>
          <w:marBottom w:val="0"/>
          <w:divBdr>
            <w:top w:val="none" w:sz="0" w:space="0" w:color="auto"/>
            <w:left w:val="none" w:sz="0" w:space="0" w:color="auto"/>
            <w:bottom w:val="none" w:sz="0" w:space="0" w:color="auto"/>
            <w:right w:val="none" w:sz="0" w:space="0" w:color="auto"/>
          </w:divBdr>
        </w:div>
        <w:div w:id="1057167558">
          <w:marLeft w:val="0"/>
          <w:marRight w:val="0"/>
          <w:marTop w:val="0"/>
          <w:marBottom w:val="0"/>
          <w:divBdr>
            <w:top w:val="none" w:sz="0" w:space="0" w:color="auto"/>
            <w:left w:val="none" w:sz="0" w:space="0" w:color="auto"/>
            <w:bottom w:val="none" w:sz="0" w:space="0" w:color="auto"/>
            <w:right w:val="none" w:sz="0" w:space="0" w:color="auto"/>
          </w:divBdr>
        </w:div>
        <w:div w:id="1061634148">
          <w:marLeft w:val="0"/>
          <w:marRight w:val="0"/>
          <w:marTop w:val="0"/>
          <w:marBottom w:val="0"/>
          <w:divBdr>
            <w:top w:val="none" w:sz="0" w:space="0" w:color="auto"/>
            <w:left w:val="none" w:sz="0" w:space="0" w:color="auto"/>
            <w:bottom w:val="none" w:sz="0" w:space="0" w:color="auto"/>
            <w:right w:val="none" w:sz="0" w:space="0" w:color="auto"/>
          </w:divBdr>
        </w:div>
        <w:div w:id="1068920100">
          <w:marLeft w:val="0"/>
          <w:marRight w:val="0"/>
          <w:marTop w:val="0"/>
          <w:marBottom w:val="0"/>
          <w:divBdr>
            <w:top w:val="none" w:sz="0" w:space="0" w:color="auto"/>
            <w:left w:val="none" w:sz="0" w:space="0" w:color="auto"/>
            <w:bottom w:val="none" w:sz="0" w:space="0" w:color="auto"/>
            <w:right w:val="none" w:sz="0" w:space="0" w:color="auto"/>
          </w:divBdr>
        </w:div>
        <w:div w:id="1074352424">
          <w:marLeft w:val="0"/>
          <w:marRight w:val="0"/>
          <w:marTop w:val="0"/>
          <w:marBottom w:val="0"/>
          <w:divBdr>
            <w:top w:val="none" w:sz="0" w:space="0" w:color="auto"/>
            <w:left w:val="none" w:sz="0" w:space="0" w:color="auto"/>
            <w:bottom w:val="none" w:sz="0" w:space="0" w:color="auto"/>
            <w:right w:val="none" w:sz="0" w:space="0" w:color="auto"/>
          </w:divBdr>
        </w:div>
        <w:div w:id="1083526851">
          <w:marLeft w:val="0"/>
          <w:marRight w:val="0"/>
          <w:marTop w:val="0"/>
          <w:marBottom w:val="0"/>
          <w:divBdr>
            <w:top w:val="none" w:sz="0" w:space="0" w:color="auto"/>
            <w:left w:val="none" w:sz="0" w:space="0" w:color="auto"/>
            <w:bottom w:val="none" w:sz="0" w:space="0" w:color="auto"/>
            <w:right w:val="none" w:sz="0" w:space="0" w:color="auto"/>
          </w:divBdr>
        </w:div>
        <w:div w:id="1084689427">
          <w:marLeft w:val="0"/>
          <w:marRight w:val="0"/>
          <w:marTop w:val="0"/>
          <w:marBottom w:val="0"/>
          <w:divBdr>
            <w:top w:val="none" w:sz="0" w:space="0" w:color="auto"/>
            <w:left w:val="none" w:sz="0" w:space="0" w:color="auto"/>
            <w:bottom w:val="none" w:sz="0" w:space="0" w:color="auto"/>
            <w:right w:val="none" w:sz="0" w:space="0" w:color="auto"/>
          </w:divBdr>
        </w:div>
        <w:div w:id="1093626447">
          <w:marLeft w:val="0"/>
          <w:marRight w:val="0"/>
          <w:marTop w:val="0"/>
          <w:marBottom w:val="0"/>
          <w:divBdr>
            <w:top w:val="none" w:sz="0" w:space="0" w:color="auto"/>
            <w:left w:val="none" w:sz="0" w:space="0" w:color="auto"/>
            <w:bottom w:val="none" w:sz="0" w:space="0" w:color="auto"/>
            <w:right w:val="none" w:sz="0" w:space="0" w:color="auto"/>
          </w:divBdr>
        </w:div>
        <w:div w:id="1106533991">
          <w:marLeft w:val="0"/>
          <w:marRight w:val="0"/>
          <w:marTop w:val="0"/>
          <w:marBottom w:val="0"/>
          <w:divBdr>
            <w:top w:val="none" w:sz="0" w:space="0" w:color="auto"/>
            <w:left w:val="none" w:sz="0" w:space="0" w:color="auto"/>
            <w:bottom w:val="none" w:sz="0" w:space="0" w:color="auto"/>
            <w:right w:val="none" w:sz="0" w:space="0" w:color="auto"/>
          </w:divBdr>
        </w:div>
        <w:div w:id="1110393554">
          <w:marLeft w:val="0"/>
          <w:marRight w:val="0"/>
          <w:marTop w:val="0"/>
          <w:marBottom w:val="0"/>
          <w:divBdr>
            <w:top w:val="none" w:sz="0" w:space="0" w:color="auto"/>
            <w:left w:val="none" w:sz="0" w:space="0" w:color="auto"/>
            <w:bottom w:val="none" w:sz="0" w:space="0" w:color="auto"/>
            <w:right w:val="none" w:sz="0" w:space="0" w:color="auto"/>
          </w:divBdr>
        </w:div>
        <w:div w:id="1111779639">
          <w:marLeft w:val="0"/>
          <w:marRight w:val="0"/>
          <w:marTop w:val="0"/>
          <w:marBottom w:val="0"/>
          <w:divBdr>
            <w:top w:val="none" w:sz="0" w:space="0" w:color="auto"/>
            <w:left w:val="none" w:sz="0" w:space="0" w:color="auto"/>
            <w:bottom w:val="none" w:sz="0" w:space="0" w:color="auto"/>
            <w:right w:val="none" w:sz="0" w:space="0" w:color="auto"/>
          </w:divBdr>
        </w:div>
        <w:div w:id="1118530870">
          <w:marLeft w:val="0"/>
          <w:marRight w:val="0"/>
          <w:marTop w:val="0"/>
          <w:marBottom w:val="0"/>
          <w:divBdr>
            <w:top w:val="none" w:sz="0" w:space="0" w:color="auto"/>
            <w:left w:val="none" w:sz="0" w:space="0" w:color="auto"/>
            <w:bottom w:val="none" w:sz="0" w:space="0" w:color="auto"/>
            <w:right w:val="none" w:sz="0" w:space="0" w:color="auto"/>
          </w:divBdr>
        </w:div>
        <w:div w:id="1123385044">
          <w:marLeft w:val="0"/>
          <w:marRight w:val="0"/>
          <w:marTop w:val="0"/>
          <w:marBottom w:val="0"/>
          <w:divBdr>
            <w:top w:val="none" w:sz="0" w:space="0" w:color="auto"/>
            <w:left w:val="none" w:sz="0" w:space="0" w:color="auto"/>
            <w:bottom w:val="none" w:sz="0" w:space="0" w:color="auto"/>
            <w:right w:val="none" w:sz="0" w:space="0" w:color="auto"/>
          </w:divBdr>
        </w:div>
        <w:div w:id="1125737621">
          <w:marLeft w:val="0"/>
          <w:marRight w:val="0"/>
          <w:marTop w:val="0"/>
          <w:marBottom w:val="0"/>
          <w:divBdr>
            <w:top w:val="none" w:sz="0" w:space="0" w:color="auto"/>
            <w:left w:val="none" w:sz="0" w:space="0" w:color="auto"/>
            <w:bottom w:val="none" w:sz="0" w:space="0" w:color="auto"/>
            <w:right w:val="none" w:sz="0" w:space="0" w:color="auto"/>
          </w:divBdr>
        </w:div>
        <w:div w:id="1136875435">
          <w:marLeft w:val="0"/>
          <w:marRight w:val="0"/>
          <w:marTop w:val="0"/>
          <w:marBottom w:val="0"/>
          <w:divBdr>
            <w:top w:val="none" w:sz="0" w:space="0" w:color="auto"/>
            <w:left w:val="none" w:sz="0" w:space="0" w:color="auto"/>
            <w:bottom w:val="none" w:sz="0" w:space="0" w:color="auto"/>
            <w:right w:val="none" w:sz="0" w:space="0" w:color="auto"/>
          </w:divBdr>
        </w:div>
        <w:div w:id="1181357858">
          <w:marLeft w:val="0"/>
          <w:marRight w:val="0"/>
          <w:marTop w:val="0"/>
          <w:marBottom w:val="0"/>
          <w:divBdr>
            <w:top w:val="none" w:sz="0" w:space="0" w:color="auto"/>
            <w:left w:val="none" w:sz="0" w:space="0" w:color="auto"/>
            <w:bottom w:val="none" w:sz="0" w:space="0" w:color="auto"/>
            <w:right w:val="none" w:sz="0" w:space="0" w:color="auto"/>
          </w:divBdr>
        </w:div>
        <w:div w:id="1189639531">
          <w:marLeft w:val="0"/>
          <w:marRight w:val="0"/>
          <w:marTop w:val="0"/>
          <w:marBottom w:val="0"/>
          <w:divBdr>
            <w:top w:val="none" w:sz="0" w:space="0" w:color="auto"/>
            <w:left w:val="none" w:sz="0" w:space="0" w:color="auto"/>
            <w:bottom w:val="none" w:sz="0" w:space="0" w:color="auto"/>
            <w:right w:val="none" w:sz="0" w:space="0" w:color="auto"/>
          </w:divBdr>
        </w:div>
        <w:div w:id="1200360891">
          <w:marLeft w:val="0"/>
          <w:marRight w:val="0"/>
          <w:marTop w:val="0"/>
          <w:marBottom w:val="0"/>
          <w:divBdr>
            <w:top w:val="none" w:sz="0" w:space="0" w:color="auto"/>
            <w:left w:val="none" w:sz="0" w:space="0" w:color="auto"/>
            <w:bottom w:val="none" w:sz="0" w:space="0" w:color="auto"/>
            <w:right w:val="none" w:sz="0" w:space="0" w:color="auto"/>
          </w:divBdr>
        </w:div>
        <w:div w:id="1229924961">
          <w:marLeft w:val="0"/>
          <w:marRight w:val="0"/>
          <w:marTop w:val="0"/>
          <w:marBottom w:val="0"/>
          <w:divBdr>
            <w:top w:val="none" w:sz="0" w:space="0" w:color="auto"/>
            <w:left w:val="none" w:sz="0" w:space="0" w:color="auto"/>
            <w:bottom w:val="none" w:sz="0" w:space="0" w:color="auto"/>
            <w:right w:val="none" w:sz="0" w:space="0" w:color="auto"/>
          </w:divBdr>
        </w:div>
        <w:div w:id="1231423221">
          <w:marLeft w:val="0"/>
          <w:marRight w:val="0"/>
          <w:marTop w:val="0"/>
          <w:marBottom w:val="0"/>
          <w:divBdr>
            <w:top w:val="none" w:sz="0" w:space="0" w:color="auto"/>
            <w:left w:val="none" w:sz="0" w:space="0" w:color="auto"/>
            <w:bottom w:val="none" w:sz="0" w:space="0" w:color="auto"/>
            <w:right w:val="none" w:sz="0" w:space="0" w:color="auto"/>
          </w:divBdr>
        </w:div>
        <w:div w:id="1251354517">
          <w:marLeft w:val="0"/>
          <w:marRight w:val="0"/>
          <w:marTop w:val="0"/>
          <w:marBottom w:val="0"/>
          <w:divBdr>
            <w:top w:val="none" w:sz="0" w:space="0" w:color="auto"/>
            <w:left w:val="none" w:sz="0" w:space="0" w:color="auto"/>
            <w:bottom w:val="none" w:sz="0" w:space="0" w:color="auto"/>
            <w:right w:val="none" w:sz="0" w:space="0" w:color="auto"/>
          </w:divBdr>
        </w:div>
        <w:div w:id="1263295065">
          <w:marLeft w:val="0"/>
          <w:marRight w:val="0"/>
          <w:marTop w:val="0"/>
          <w:marBottom w:val="0"/>
          <w:divBdr>
            <w:top w:val="none" w:sz="0" w:space="0" w:color="auto"/>
            <w:left w:val="none" w:sz="0" w:space="0" w:color="auto"/>
            <w:bottom w:val="none" w:sz="0" w:space="0" w:color="auto"/>
            <w:right w:val="none" w:sz="0" w:space="0" w:color="auto"/>
          </w:divBdr>
        </w:div>
        <w:div w:id="1265306147">
          <w:marLeft w:val="0"/>
          <w:marRight w:val="0"/>
          <w:marTop w:val="0"/>
          <w:marBottom w:val="0"/>
          <w:divBdr>
            <w:top w:val="none" w:sz="0" w:space="0" w:color="auto"/>
            <w:left w:val="none" w:sz="0" w:space="0" w:color="auto"/>
            <w:bottom w:val="none" w:sz="0" w:space="0" w:color="auto"/>
            <w:right w:val="none" w:sz="0" w:space="0" w:color="auto"/>
          </w:divBdr>
        </w:div>
        <w:div w:id="1275861644">
          <w:marLeft w:val="0"/>
          <w:marRight w:val="0"/>
          <w:marTop w:val="0"/>
          <w:marBottom w:val="0"/>
          <w:divBdr>
            <w:top w:val="none" w:sz="0" w:space="0" w:color="auto"/>
            <w:left w:val="none" w:sz="0" w:space="0" w:color="auto"/>
            <w:bottom w:val="none" w:sz="0" w:space="0" w:color="auto"/>
            <w:right w:val="none" w:sz="0" w:space="0" w:color="auto"/>
          </w:divBdr>
        </w:div>
        <w:div w:id="1285889517">
          <w:marLeft w:val="0"/>
          <w:marRight w:val="0"/>
          <w:marTop w:val="0"/>
          <w:marBottom w:val="0"/>
          <w:divBdr>
            <w:top w:val="none" w:sz="0" w:space="0" w:color="auto"/>
            <w:left w:val="none" w:sz="0" w:space="0" w:color="auto"/>
            <w:bottom w:val="none" w:sz="0" w:space="0" w:color="auto"/>
            <w:right w:val="none" w:sz="0" w:space="0" w:color="auto"/>
          </w:divBdr>
        </w:div>
        <w:div w:id="1289749637">
          <w:marLeft w:val="0"/>
          <w:marRight w:val="0"/>
          <w:marTop w:val="0"/>
          <w:marBottom w:val="0"/>
          <w:divBdr>
            <w:top w:val="none" w:sz="0" w:space="0" w:color="auto"/>
            <w:left w:val="none" w:sz="0" w:space="0" w:color="auto"/>
            <w:bottom w:val="none" w:sz="0" w:space="0" w:color="auto"/>
            <w:right w:val="none" w:sz="0" w:space="0" w:color="auto"/>
          </w:divBdr>
        </w:div>
        <w:div w:id="1292204872">
          <w:marLeft w:val="0"/>
          <w:marRight w:val="0"/>
          <w:marTop w:val="0"/>
          <w:marBottom w:val="0"/>
          <w:divBdr>
            <w:top w:val="none" w:sz="0" w:space="0" w:color="auto"/>
            <w:left w:val="none" w:sz="0" w:space="0" w:color="auto"/>
            <w:bottom w:val="none" w:sz="0" w:space="0" w:color="auto"/>
            <w:right w:val="none" w:sz="0" w:space="0" w:color="auto"/>
          </w:divBdr>
        </w:div>
        <w:div w:id="1331368985">
          <w:marLeft w:val="0"/>
          <w:marRight w:val="0"/>
          <w:marTop w:val="0"/>
          <w:marBottom w:val="0"/>
          <w:divBdr>
            <w:top w:val="none" w:sz="0" w:space="0" w:color="auto"/>
            <w:left w:val="none" w:sz="0" w:space="0" w:color="auto"/>
            <w:bottom w:val="none" w:sz="0" w:space="0" w:color="auto"/>
            <w:right w:val="none" w:sz="0" w:space="0" w:color="auto"/>
          </w:divBdr>
        </w:div>
        <w:div w:id="1363240406">
          <w:marLeft w:val="0"/>
          <w:marRight w:val="0"/>
          <w:marTop w:val="0"/>
          <w:marBottom w:val="0"/>
          <w:divBdr>
            <w:top w:val="none" w:sz="0" w:space="0" w:color="auto"/>
            <w:left w:val="none" w:sz="0" w:space="0" w:color="auto"/>
            <w:bottom w:val="none" w:sz="0" w:space="0" w:color="auto"/>
            <w:right w:val="none" w:sz="0" w:space="0" w:color="auto"/>
          </w:divBdr>
        </w:div>
        <w:div w:id="1376925622">
          <w:marLeft w:val="0"/>
          <w:marRight w:val="0"/>
          <w:marTop w:val="0"/>
          <w:marBottom w:val="0"/>
          <w:divBdr>
            <w:top w:val="none" w:sz="0" w:space="0" w:color="auto"/>
            <w:left w:val="none" w:sz="0" w:space="0" w:color="auto"/>
            <w:bottom w:val="none" w:sz="0" w:space="0" w:color="auto"/>
            <w:right w:val="none" w:sz="0" w:space="0" w:color="auto"/>
          </w:divBdr>
        </w:div>
        <w:div w:id="1384939130">
          <w:marLeft w:val="0"/>
          <w:marRight w:val="0"/>
          <w:marTop w:val="0"/>
          <w:marBottom w:val="0"/>
          <w:divBdr>
            <w:top w:val="none" w:sz="0" w:space="0" w:color="auto"/>
            <w:left w:val="none" w:sz="0" w:space="0" w:color="auto"/>
            <w:bottom w:val="none" w:sz="0" w:space="0" w:color="auto"/>
            <w:right w:val="none" w:sz="0" w:space="0" w:color="auto"/>
          </w:divBdr>
        </w:div>
        <w:div w:id="1385444642">
          <w:marLeft w:val="0"/>
          <w:marRight w:val="0"/>
          <w:marTop w:val="0"/>
          <w:marBottom w:val="0"/>
          <w:divBdr>
            <w:top w:val="none" w:sz="0" w:space="0" w:color="auto"/>
            <w:left w:val="none" w:sz="0" w:space="0" w:color="auto"/>
            <w:bottom w:val="none" w:sz="0" w:space="0" w:color="auto"/>
            <w:right w:val="none" w:sz="0" w:space="0" w:color="auto"/>
          </w:divBdr>
        </w:div>
        <w:div w:id="1420370584">
          <w:marLeft w:val="0"/>
          <w:marRight w:val="0"/>
          <w:marTop w:val="0"/>
          <w:marBottom w:val="0"/>
          <w:divBdr>
            <w:top w:val="none" w:sz="0" w:space="0" w:color="auto"/>
            <w:left w:val="none" w:sz="0" w:space="0" w:color="auto"/>
            <w:bottom w:val="none" w:sz="0" w:space="0" w:color="auto"/>
            <w:right w:val="none" w:sz="0" w:space="0" w:color="auto"/>
          </w:divBdr>
        </w:div>
        <w:div w:id="1453398598">
          <w:marLeft w:val="0"/>
          <w:marRight w:val="0"/>
          <w:marTop w:val="0"/>
          <w:marBottom w:val="0"/>
          <w:divBdr>
            <w:top w:val="none" w:sz="0" w:space="0" w:color="auto"/>
            <w:left w:val="none" w:sz="0" w:space="0" w:color="auto"/>
            <w:bottom w:val="none" w:sz="0" w:space="0" w:color="auto"/>
            <w:right w:val="none" w:sz="0" w:space="0" w:color="auto"/>
          </w:divBdr>
        </w:div>
        <w:div w:id="1465809914">
          <w:marLeft w:val="0"/>
          <w:marRight w:val="0"/>
          <w:marTop w:val="0"/>
          <w:marBottom w:val="0"/>
          <w:divBdr>
            <w:top w:val="none" w:sz="0" w:space="0" w:color="auto"/>
            <w:left w:val="none" w:sz="0" w:space="0" w:color="auto"/>
            <w:bottom w:val="none" w:sz="0" w:space="0" w:color="auto"/>
            <w:right w:val="none" w:sz="0" w:space="0" w:color="auto"/>
          </w:divBdr>
        </w:div>
        <w:div w:id="1470324725">
          <w:marLeft w:val="0"/>
          <w:marRight w:val="0"/>
          <w:marTop w:val="0"/>
          <w:marBottom w:val="0"/>
          <w:divBdr>
            <w:top w:val="none" w:sz="0" w:space="0" w:color="auto"/>
            <w:left w:val="none" w:sz="0" w:space="0" w:color="auto"/>
            <w:bottom w:val="none" w:sz="0" w:space="0" w:color="auto"/>
            <w:right w:val="none" w:sz="0" w:space="0" w:color="auto"/>
          </w:divBdr>
        </w:div>
        <w:div w:id="1472139569">
          <w:marLeft w:val="0"/>
          <w:marRight w:val="0"/>
          <w:marTop w:val="0"/>
          <w:marBottom w:val="0"/>
          <w:divBdr>
            <w:top w:val="none" w:sz="0" w:space="0" w:color="auto"/>
            <w:left w:val="none" w:sz="0" w:space="0" w:color="auto"/>
            <w:bottom w:val="none" w:sz="0" w:space="0" w:color="auto"/>
            <w:right w:val="none" w:sz="0" w:space="0" w:color="auto"/>
          </w:divBdr>
        </w:div>
        <w:div w:id="1488746575">
          <w:marLeft w:val="0"/>
          <w:marRight w:val="0"/>
          <w:marTop w:val="0"/>
          <w:marBottom w:val="0"/>
          <w:divBdr>
            <w:top w:val="none" w:sz="0" w:space="0" w:color="auto"/>
            <w:left w:val="none" w:sz="0" w:space="0" w:color="auto"/>
            <w:bottom w:val="none" w:sz="0" w:space="0" w:color="auto"/>
            <w:right w:val="none" w:sz="0" w:space="0" w:color="auto"/>
          </w:divBdr>
        </w:div>
        <w:div w:id="1494835776">
          <w:marLeft w:val="0"/>
          <w:marRight w:val="0"/>
          <w:marTop w:val="0"/>
          <w:marBottom w:val="0"/>
          <w:divBdr>
            <w:top w:val="none" w:sz="0" w:space="0" w:color="auto"/>
            <w:left w:val="none" w:sz="0" w:space="0" w:color="auto"/>
            <w:bottom w:val="none" w:sz="0" w:space="0" w:color="auto"/>
            <w:right w:val="none" w:sz="0" w:space="0" w:color="auto"/>
          </w:divBdr>
        </w:div>
        <w:div w:id="1509443014">
          <w:marLeft w:val="0"/>
          <w:marRight w:val="0"/>
          <w:marTop w:val="0"/>
          <w:marBottom w:val="0"/>
          <w:divBdr>
            <w:top w:val="none" w:sz="0" w:space="0" w:color="auto"/>
            <w:left w:val="none" w:sz="0" w:space="0" w:color="auto"/>
            <w:bottom w:val="none" w:sz="0" w:space="0" w:color="auto"/>
            <w:right w:val="none" w:sz="0" w:space="0" w:color="auto"/>
          </w:divBdr>
        </w:div>
        <w:div w:id="1567110834">
          <w:marLeft w:val="0"/>
          <w:marRight w:val="0"/>
          <w:marTop w:val="0"/>
          <w:marBottom w:val="0"/>
          <w:divBdr>
            <w:top w:val="none" w:sz="0" w:space="0" w:color="auto"/>
            <w:left w:val="none" w:sz="0" w:space="0" w:color="auto"/>
            <w:bottom w:val="none" w:sz="0" w:space="0" w:color="auto"/>
            <w:right w:val="none" w:sz="0" w:space="0" w:color="auto"/>
          </w:divBdr>
        </w:div>
        <w:div w:id="1568538915">
          <w:marLeft w:val="0"/>
          <w:marRight w:val="0"/>
          <w:marTop w:val="0"/>
          <w:marBottom w:val="0"/>
          <w:divBdr>
            <w:top w:val="none" w:sz="0" w:space="0" w:color="auto"/>
            <w:left w:val="none" w:sz="0" w:space="0" w:color="auto"/>
            <w:bottom w:val="none" w:sz="0" w:space="0" w:color="auto"/>
            <w:right w:val="none" w:sz="0" w:space="0" w:color="auto"/>
          </w:divBdr>
        </w:div>
        <w:div w:id="1593318986">
          <w:marLeft w:val="0"/>
          <w:marRight w:val="0"/>
          <w:marTop w:val="0"/>
          <w:marBottom w:val="0"/>
          <w:divBdr>
            <w:top w:val="none" w:sz="0" w:space="0" w:color="auto"/>
            <w:left w:val="none" w:sz="0" w:space="0" w:color="auto"/>
            <w:bottom w:val="none" w:sz="0" w:space="0" w:color="auto"/>
            <w:right w:val="none" w:sz="0" w:space="0" w:color="auto"/>
          </w:divBdr>
        </w:div>
        <w:div w:id="1601912068">
          <w:marLeft w:val="0"/>
          <w:marRight w:val="0"/>
          <w:marTop w:val="0"/>
          <w:marBottom w:val="0"/>
          <w:divBdr>
            <w:top w:val="none" w:sz="0" w:space="0" w:color="auto"/>
            <w:left w:val="none" w:sz="0" w:space="0" w:color="auto"/>
            <w:bottom w:val="none" w:sz="0" w:space="0" w:color="auto"/>
            <w:right w:val="none" w:sz="0" w:space="0" w:color="auto"/>
          </w:divBdr>
        </w:div>
        <w:div w:id="1612475909">
          <w:marLeft w:val="0"/>
          <w:marRight w:val="0"/>
          <w:marTop w:val="0"/>
          <w:marBottom w:val="0"/>
          <w:divBdr>
            <w:top w:val="none" w:sz="0" w:space="0" w:color="auto"/>
            <w:left w:val="none" w:sz="0" w:space="0" w:color="auto"/>
            <w:bottom w:val="none" w:sz="0" w:space="0" w:color="auto"/>
            <w:right w:val="none" w:sz="0" w:space="0" w:color="auto"/>
          </w:divBdr>
        </w:div>
        <w:div w:id="1633711687">
          <w:marLeft w:val="0"/>
          <w:marRight w:val="0"/>
          <w:marTop w:val="0"/>
          <w:marBottom w:val="0"/>
          <w:divBdr>
            <w:top w:val="none" w:sz="0" w:space="0" w:color="auto"/>
            <w:left w:val="none" w:sz="0" w:space="0" w:color="auto"/>
            <w:bottom w:val="none" w:sz="0" w:space="0" w:color="auto"/>
            <w:right w:val="none" w:sz="0" w:space="0" w:color="auto"/>
          </w:divBdr>
        </w:div>
        <w:div w:id="1677002630">
          <w:marLeft w:val="0"/>
          <w:marRight w:val="0"/>
          <w:marTop w:val="0"/>
          <w:marBottom w:val="0"/>
          <w:divBdr>
            <w:top w:val="none" w:sz="0" w:space="0" w:color="auto"/>
            <w:left w:val="none" w:sz="0" w:space="0" w:color="auto"/>
            <w:bottom w:val="none" w:sz="0" w:space="0" w:color="auto"/>
            <w:right w:val="none" w:sz="0" w:space="0" w:color="auto"/>
          </w:divBdr>
        </w:div>
        <w:div w:id="1679768525">
          <w:marLeft w:val="0"/>
          <w:marRight w:val="0"/>
          <w:marTop w:val="0"/>
          <w:marBottom w:val="0"/>
          <w:divBdr>
            <w:top w:val="none" w:sz="0" w:space="0" w:color="auto"/>
            <w:left w:val="none" w:sz="0" w:space="0" w:color="auto"/>
            <w:bottom w:val="none" w:sz="0" w:space="0" w:color="auto"/>
            <w:right w:val="none" w:sz="0" w:space="0" w:color="auto"/>
          </w:divBdr>
        </w:div>
        <w:div w:id="1704092099">
          <w:marLeft w:val="0"/>
          <w:marRight w:val="0"/>
          <w:marTop w:val="0"/>
          <w:marBottom w:val="0"/>
          <w:divBdr>
            <w:top w:val="none" w:sz="0" w:space="0" w:color="auto"/>
            <w:left w:val="none" w:sz="0" w:space="0" w:color="auto"/>
            <w:bottom w:val="none" w:sz="0" w:space="0" w:color="auto"/>
            <w:right w:val="none" w:sz="0" w:space="0" w:color="auto"/>
          </w:divBdr>
        </w:div>
        <w:div w:id="1721244377">
          <w:marLeft w:val="0"/>
          <w:marRight w:val="0"/>
          <w:marTop w:val="0"/>
          <w:marBottom w:val="0"/>
          <w:divBdr>
            <w:top w:val="none" w:sz="0" w:space="0" w:color="auto"/>
            <w:left w:val="none" w:sz="0" w:space="0" w:color="auto"/>
            <w:bottom w:val="none" w:sz="0" w:space="0" w:color="auto"/>
            <w:right w:val="none" w:sz="0" w:space="0" w:color="auto"/>
          </w:divBdr>
        </w:div>
        <w:div w:id="1725984062">
          <w:marLeft w:val="0"/>
          <w:marRight w:val="0"/>
          <w:marTop w:val="0"/>
          <w:marBottom w:val="0"/>
          <w:divBdr>
            <w:top w:val="none" w:sz="0" w:space="0" w:color="auto"/>
            <w:left w:val="none" w:sz="0" w:space="0" w:color="auto"/>
            <w:bottom w:val="none" w:sz="0" w:space="0" w:color="auto"/>
            <w:right w:val="none" w:sz="0" w:space="0" w:color="auto"/>
          </w:divBdr>
        </w:div>
        <w:div w:id="1732578933">
          <w:marLeft w:val="0"/>
          <w:marRight w:val="0"/>
          <w:marTop w:val="0"/>
          <w:marBottom w:val="0"/>
          <w:divBdr>
            <w:top w:val="none" w:sz="0" w:space="0" w:color="auto"/>
            <w:left w:val="none" w:sz="0" w:space="0" w:color="auto"/>
            <w:bottom w:val="none" w:sz="0" w:space="0" w:color="auto"/>
            <w:right w:val="none" w:sz="0" w:space="0" w:color="auto"/>
          </w:divBdr>
        </w:div>
        <w:div w:id="1748648519">
          <w:marLeft w:val="0"/>
          <w:marRight w:val="0"/>
          <w:marTop w:val="0"/>
          <w:marBottom w:val="0"/>
          <w:divBdr>
            <w:top w:val="none" w:sz="0" w:space="0" w:color="auto"/>
            <w:left w:val="none" w:sz="0" w:space="0" w:color="auto"/>
            <w:bottom w:val="none" w:sz="0" w:space="0" w:color="auto"/>
            <w:right w:val="none" w:sz="0" w:space="0" w:color="auto"/>
          </w:divBdr>
        </w:div>
        <w:div w:id="1756169003">
          <w:marLeft w:val="0"/>
          <w:marRight w:val="0"/>
          <w:marTop w:val="0"/>
          <w:marBottom w:val="0"/>
          <w:divBdr>
            <w:top w:val="none" w:sz="0" w:space="0" w:color="auto"/>
            <w:left w:val="none" w:sz="0" w:space="0" w:color="auto"/>
            <w:bottom w:val="none" w:sz="0" w:space="0" w:color="auto"/>
            <w:right w:val="none" w:sz="0" w:space="0" w:color="auto"/>
          </w:divBdr>
        </w:div>
        <w:div w:id="1760172015">
          <w:marLeft w:val="0"/>
          <w:marRight w:val="0"/>
          <w:marTop w:val="0"/>
          <w:marBottom w:val="0"/>
          <w:divBdr>
            <w:top w:val="none" w:sz="0" w:space="0" w:color="auto"/>
            <w:left w:val="none" w:sz="0" w:space="0" w:color="auto"/>
            <w:bottom w:val="none" w:sz="0" w:space="0" w:color="auto"/>
            <w:right w:val="none" w:sz="0" w:space="0" w:color="auto"/>
          </w:divBdr>
        </w:div>
        <w:div w:id="1790390041">
          <w:marLeft w:val="0"/>
          <w:marRight w:val="0"/>
          <w:marTop w:val="0"/>
          <w:marBottom w:val="0"/>
          <w:divBdr>
            <w:top w:val="none" w:sz="0" w:space="0" w:color="auto"/>
            <w:left w:val="none" w:sz="0" w:space="0" w:color="auto"/>
            <w:bottom w:val="none" w:sz="0" w:space="0" w:color="auto"/>
            <w:right w:val="none" w:sz="0" w:space="0" w:color="auto"/>
          </w:divBdr>
        </w:div>
        <w:div w:id="1824657177">
          <w:marLeft w:val="0"/>
          <w:marRight w:val="0"/>
          <w:marTop w:val="0"/>
          <w:marBottom w:val="0"/>
          <w:divBdr>
            <w:top w:val="none" w:sz="0" w:space="0" w:color="auto"/>
            <w:left w:val="none" w:sz="0" w:space="0" w:color="auto"/>
            <w:bottom w:val="none" w:sz="0" w:space="0" w:color="auto"/>
            <w:right w:val="none" w:sz="0" w:space="0" w:color="auto"/>
          </w:divBdr>
        </w:div>
        <w:div w:id="1828587549">
          <w:marLeft w:val="0"/>
          <w:marRight w:val="0"/>
          <w:marTop w:val="0"/>
          <w:marBottom w:val="0"/>
          <w:divBdr>
            <w:top w:val="none" w:sz="0" w:space="0" w:color="auto"/>
            <w:left w:val="none" w:sz="0" w:space="0" w:color="auto"/>
            <w:bottom w:val="none" w:sz="0" w:space="0" w:color="auto"/>
            <w:right w:val="none" w:sz="0" w:space="0" w:color="auto"/>
          </w:divBdr>
        </w:div>
        <w:div w:id="1833792206">
          <w:marLeft w:val="0"/>
          <w:marRight w:val="0"/>
          <w:marTop w:val="0"/>
          <w:marBottom w:val="0"/>
          <w:divBdr>
            <w:top w:val="none" w:sz="0" w:space="0" w:color="auto"/>
            <w:left w:val="none" w:sz="0" w:space="0" w:color="auto"/>
            <w:bottom w:val="none" w:sz="0" w:space="0" w:color="auto"/>
            <w:right w:val="none" w:sz="0" w:space="0" w:color="auto"/>
          </w:divBdr>
        </w:div>
        <w:div w:id="1833981454">
          <w:marLeft w:val="0"/>
          <w:marRight w:val="0"/>
          <w:marTop w:val="0"/>
          <w:marBottom w:val="0"/>
          <w:divBdr>
            <w:top w:val="none" w:sz="0" w:space="0" w:color="auto"/>
            <w:left w:val="none" w:sz="0" w:space="0" w:color="auto"/>
            <w:bottom w:val="none" w:sz="0" w:space="0" w:color="auto"/>
            <w:right w:val="none" w:sz="0" w:space="0" w:color="auto"/>
          </w:divBdr>
        </w:div>
        <w:div w:id="1837842464">
          <w:marLeft w:val="0"/>
          <w:marRight w:val="0"/>
          <w:marTop w:val="0"/>
          <w:marBottom w:val="0"/>
          <w:divBdr>
            <w:top w:val="none" w:sz="0" w:space="0" w:color="auto"/>
            <w:left w:val="none" w:sz="0" w:space="0" w:color="auto"/>
            <w:bottom w:val="none" w:sz="0" w:space="0" w:color="auto"/>
            <w:right w:val="none" w:sz="0" w:space="0" w:color="auto"/>
          </w:divBdr>
        </w:div>
        <w:div w:id="1857190892">
          <w:marLeft w:val="0"/>
          <w:marRight w:val="0"/>
          <w:marTop w:val="0"/>
          <w:marBottom w:val="0"/>
          <w:divBdr>
            <w:top w:val="none" w:sz="0" w:space="0" w:color="auto"/>
            <w:left w:val="none" w:sz="0" w:space="0" w:color="auto"/>
            <w:bottom w:val="none" w:sz="0" w:space="0" w:color="auto"/>
            <w:right w:val="none" w:sz="0" w:space="0" w:color="auto"/>
          </w:divBdr>
        </w:div>
        <w:div w:id="1873766039">
          <w:marLeft w:val="0"/>
          <w:marRight w:val="0"/>
          <w:marTop w:val="0"/>
          <w:marBottom w:val="0"/>
          <w:divBdr>
            <w:top w:val="none" w:sz="0" w:space="0" w:color="auto"/>
            <w:left w:val="none" w:sz="0" w:space="0" w:color="auto"/>
            <w:bottom w:val="none" w:sz="0" w:space="0" w:color="auto"/>
            <w:right w:val="none" w:sz="0" w:space="0" w:color="auto"/>
          </w:divBdr>
        </w:div>
        <w:div w:id="1875456907">
          <w:marLeft w:val="0"/>
          <w:marRight w:val="0"/>
          <w:marTop w:val="0"/>
          <w:marBottom w:val="0"/>
          <w:divBdr>
            <w:top w:val="none" w:sz="0" w:space="0" w:color="auto"/>
            <w:left w:val="none" w:sz="0" w:space="0" w:color="auto"/>
            <w:bottom w:val="none" w:sz="0" w:space="0" w:color="auto"/>
            <w:right w:val="none" w:sz="0" w:space="0" w:color="auto"/>
          </w:divBdr>
        </w:div>
        <w:div w:id="1880775809">
          <w:marLeft w:val="0"/>
          <w:marRight w:val="0"/>
          <w:marTop w:val="0"/>
          <w:marBottom w:val="0"/>
          <w:divBdr>
            <w:top w:val="none" w:sz="0" w:space="0" w:color="auto"/>
            <w:left w:val="none" w:sz="0" w:space="0" w:color="auto"/>
            <w:bottom w:val="none" w:sz="0" w:space="0" w:color="auto"/>
            <w:right w:val="none" w:sz="0" w:space="0" w:color="auto"/>
          </w:divBdr>
        </w:div>
        <w:div w:id="1891727817">
          <w:marLeft w:val="0"/>
          <w:marRight w:val="0"/>
          <w:marTop w:val="0"/>
          <w:marBottom w:val="0"/>
          <w:divBdr>
            <w:top w:val="none" w:sz="0" w:space="0" w:color="auto"/>
            <w:left w:val="none" w:sz="0" w:space="0" w:color="auto"/>
            <w:bottom w:val="none" w:sz="0" w:space="0" w:color="auto"/>
            <w:right w:val="none" w:sz="0" w:space="0" w:color="auto"/>
          </w:divBdr>
        </w:div>
        <w:div w:id="1906060779">
          <w:marLeft w:val="0"/>
          <w:marRight w:val="0"/>
          <w:marTop w:val="0"/>
          <w:marBottom w:val="0"/>
          <w:divBdr>
            <w:top w:val="none" w:sz="0" w:space="0" w:color="auto"/>
            <w:left w:val="none" w:sz="0" w:space="0" w:color="auto"/>
            <w:bottom w:val="none" w:sz="0" w:space="0" w:color="auto"/>
            <w:right w:val="none" w:sz="0" w:space="0" w:color="auto"/>
          </w:divBdr>
        </w:div>
        <w:div w:id="1914316494">
          <w:marLeft w:val="0"/>
          <w:marRight w:val="0"/>
          <w:marTop w:val="0"/>
          <w:marBottom w:val="0"/>
          <w:divBdr>
            <w:top w:val="none" w:sz="0" w:space="0" w:color="auto"/>
            <w:left w:val="none" w:sz="0" w:space="0" w:color="auto"/>
            <w:bottom w:val="none" w:sz="0" w:space="0" w:color="auto"/>
            <w:right w:val="none" w:sz="0" w:space="0" w:color="auto"/>
          </w:divBdr>
        </w:div>
        <w:div w:id="1922913383">
          <w:marLeft w:val="0"/>
          <w:marRight w:val="0"/>
          <w:marTop w:val="0"/>
          <w:marBottom w:val="0"/>
          <w:divBdr>
            <w:top w:val="none" w:sz="0" w:space="0" w:color="auto"/>
            <w:left w:val="none" w:sz="0" w:space="0" w:color="auto"/>
            <w:bottom w:val="none" w:sz="0" w:space="0" w:color="auto"/>
            <w:right w:val="none" w:sz="0" w:space="0" w:color="auto"/>
          </w:divBdr>
        </w:div>
        <w:div w:id="1931086333">
          <w:marLeft w:val="0"/>
          <w:marRight w:val="0"/>
          <w:marTop w:val="0"/>
          <w:marBottom w:val="0"/>
          <w:divBdr>
            <w:top w:val="none" w:sz="0" w:space="0" w:color="auto"/>
            <w:left w:val="none" w:sz="0" w:space="0" w:color="auto"/>
            <w:bottom w:val="none" w:sz="0" w:space="0" w:color="auto"/>
            <w:right w:val="none" w:sz="0" w:space="0" w:color="auto"/>
          </w:divBdr>
        </w:div>
        <w:div w:id="1939210590">
          <w:marLeft w:val="0"/>
          <w:marRight w:val="0"/>
          <w:marTop w:val="0"/>
          <w:marBottom w:val="0"/>
          <w:divBdr>
            <w:top w:val="none" w:sz="0" w:space="0" w:color="auto"/>
            <w:left w:val="none" w:sz="0" w:space="0" w:color="auto"/>
            <w:bottom w:val="none" w:sz="0" w:space="0" w:color="auto"/>
            <w:right w:val="none" w:sz="0" w:space="0" w:color="auto"/>
          </w:divBdr>
        </w:div>
        <w:div w:id="1955403449">
          <w:marLeft w:val="0"/>
          <w:marRight w:val="0"/>
          <w:marTop w:val="0"/>
          <w:marBottom w:val="0"/>
          <w:divBdr>
            <w:top w:val="none" w:sz="0" w:space="0" w:color="auto"/>
            <w:left w:val="none" w:sz="0" w:space="0" w:color="auto"/>
            <w:bottom w:val="none" w:sz="0" w:space="0" w:color="auto"/>
            <w:right w:val="none" w:sz="0" w:space="0" w:color="auto"/>
          </w:divBdr>
        </w:div>
        <w:div w:id="1982031976">
          <w:marLeft w:val="0"/>
          <w:marRight w:val="0"/>
          <w:marTop w:val="0"/>
          <w:marBottom w:val="0"/>
          <w:divBdr>
            <w:top w:val="none" w:sz="0" w:space="0" w:color="auto"/>
            <w:left w:val="none" w:sz="0" w:space="0" w:color="auto"/>
            <w:bottom w:val="none" w:sz="0" w:space="0" w:color="auto"/>
            <w:right w:val="none" w:sz="0" w:space="0" w:color="auto"/>
          </w:divBdr>
        </w:div>
        <w:div w:id="1985575346">
          <w:marLeft w:val="0"/>
          <w:marRight w:val="0"/>
          <w:marTop w:val="0"/>
          <w:marBottom w:val="0"/>
          <w:divBdr>
            <w:top w:val="none" w:sz="0" w:space="0" w:color="auto"/>
            <w:left w:val="none" w:sz="0" w:space="0" w:color="auto"/>
            <w:bottom w:val="none" w:sz="0" w:space="0" w:color="auto"/>
            <w:right w:val="none" w:sz="0" w:space="0" w:color="auto"/>
          </w:divBdr>
        </w:div>
        <w:div w:id="2030639910">
          <w:marLeft w:val="0"/>
          <w:marRight w:val="0"/>
          <w:marTop w:val="0"/>
          <w:marBottom w:val="0"/>
          <w:divBdr>
            <w:top w:val="none" w:sz="0" w:space="0" w:color="auto"/>
            <w:left w:val="none" w:sz="0" w:space="0" w:color="auto"/>
            <w:bottom w:val="none" w:sz="0" w:space="0" w:color="auto"/>
            <w:right w:val="none" w:sz="0" w:space="0" w:color="auto"/>
          </w:divBdr>
        </w:div>
        <w:div w:id="2051412363">
          <w:marLeft w:val="0"/>
          <w:marRight w:val="0"/>
          <w:marTop w:val="0"/>
          <w:marBottom w:val="0"/>
          <w:divBdr>
            <w:top w:val="none" w:sz="0" w:space="0" w:color="auto"/>
            <w:left w:val="none" w:sz="0" w:space="0" w:color="auto"/>
            <w:bottom w:val="none" w:sz="0" w:space="0" w:color="auto"/>
            <w:right w:val="none" w:sz="0" w:space="0" w:color="auto"/>
          </w:divBdr>
        </w:div>
        <w:div w:id="2071877984">
          <w:marLeft w:val="0"/>
          <w:marRight w:val="0"/>
          <w:marTop w:val="0"/>
          <w:marBottom w:val="0"/>
          <w:divBdr>
            <w:top w:val="none" w:sz="0" w:space="0" w:color="auto"/>
            <w:left w:val="none" w:sz="0" w:space="0" w:color="auto"/>
            <w:bottom w:val="none" w:sz="0" w:space="0" w:color="auto"/>
            <w:right w:val="none" w:sz="0" w:space="0" w:color="auto"/>
          </w:divBdr>
        </w:div>
        <w:div w:id="2092119015">
          <w:marLeft w:val="0"/>
          <w:marRight w:val="0"/>
          <w:marTop w:val="0"/>
          <w:marBottom w:val="0"/>
          <w:divBdr>
            <w:top w:val="none" w:sz="0" w:space="0" w:color="auto"/>
            <w:left w:val="none" w:sz="0" w:space="0" w:color="auto"/>
            <w:bottom w:val="none" w:sz="0" w:space="0" w:color="auto"/>
            <w:right w:val="none" w:sz="0" w:space="0" w:color="auto"/>
          </w:divBdr>
        </w:div>
        <w:div w:id="2100976956">
          <w:marLeft w:val="0"/>
          <w:marRight w:val="0"/>
          <w:marTop w:val="0"/>
          <w:marBottom w:val="0"/>
          <w:divBdr>
            <w:top w:val="none" w:sz="0" w:space="0" w:color="auto"/>
            <w:left w:val="none" w:sz="0" w:space="0" w:color="auto"/>
            <w:bottom w:val="none" w:sz="0" w:space="0" w:color="auto"/>
            <w:right w:val="none" w:sz="0" w:space="0" w:color="auto"/>
          </w:divBdr>
        </w:div>
        <w:div w:id="2103408253">
          <w:marLeft w:val="0"/>
          <w:marRight w:val="0"/>
          <w:marTop w:val="0"/>
          <w:marBottom w:val="0"/>
          <w:divBdr>
            <w:top w:val="none" w:sz="0" w:space="0" w:color="auto"/>
            <w:left w:val="none" w:sz="0" w:space="0" w:color="auto"/>
            <w:bottom w:val="none" w:sz="0" w:space="0" w:color="auto"/>
            <w:right w:val="none" w:sz="0" w:space="0" w:color="auto"/>
          </w:divBdr>
        </w:div>
        <w:div w:id="2114007133">
          <w:marLeft w:val="0"/>
          <w:marRight w:val="0"/>
          <w:marTop w:val="0"/>
          <w:marBottom w:val="0"/>
          <w:divBdr>
            <w:top w:val="none" w:sz="0" w:space="0" w:color="auto"/>
            <w:left w:val="none" w:sz="0" w:space="0" w:color="auto"/>
            <w:bottom w:val="none" w:sz="0" w:space="0" w:color="auto"/>
            <w:right w:val="none" w:sz="0" w:space="0" w:color="auto"/>
          </w:divBdr>
        </w:div>
        <w:div w:id="2119059004">
          <w:marLeft w:val="0"/>
          <w:marRight w:val="0"/>
          <w:marTop w:val="0"/>
          <w:marBottom w:val="0"/>
          <w:divBdr>
            <w:top w:val="none" w:sz="0" w:space="0" w:color="auto"/>
            <w:left w:val="none" w:sz="0" w:space="0" w:color="auto"/>
            <w:bottom w:val="none" w:sz="0" w:space="0" w:color="auto"/>
            <w:right w:val="none" w:sz="0" w:space="0" w:color="auto"/>
          </w:divBdr>
        </w:div>
        <w:div w:id="2126537869">
          <w:marLeft w:val="0"/>
          <w:marRight w:val="0"/>
          <w:marTop w:val="0"/>
          <w:marBottom w:val="0"/>
          <w:divBdr>
            <w:top w:val="none" w:sz="0" w:space="0" w:color="auto"/>
            <w:left w:val="none" w:sz="0" w:space="0" w:color="auto"/>
            <w:bottom w:val="none" w:sz="0" w:space="0" w:color="auto"/>
            <w:right w:val="none" w:sz="0" w:space="0" w:color="auto"/>
          </w:divBdr>
        </w:div>
        <w:div w:id="2130128183">
          <w:marLeft w:val="0"/>
          <w:marRight w:val="0"/>
          <w:marTop w:val="0"/>
          <w:marBottom w:val="0"/>
          <w:divBdr>
            <w:top w:val="none" w:sz="0" w:space="0" w:color="auto"/>
            <w:left w:val="none" w:sz="0" w:space="0" w:color="auto"/>
            <w:bottom w:val="none" w:sz="0" w:space="0" w:color="auto"/>
            <w:right w:val="none" w:sz="0" w:space="0" w:color="auto"/>
          </w:divBdr>
        </w:div>
        <w:div w:id="2142915277">
          <w:marLeft w:val="0"/>
          <w:marRight w:val="0"/>
          <w:marTop w:val="0"/>
          <w:marBottom w:val="0"/>
          <w:divBdr>
            <w:top w:val="none" w:sz="0" w:space="0" w:color="auto"/>
            <w:left w:val="none" w:sz="0" w:space="0" w:color="auto"/>
            <w:bottom w:val="none" w:sz="0" w:space="0" w:color="auto"/>
            <w:right w:val="none" w:sz="0" w:space="0" w:color="auto"/>
          </w:divBdr>
        </w:div>
      </w:divsChild>
    </w:div>
    <w:div w:id="21429145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file:///C:\Users\tech\Dropbox\6.%20PROJECT-REPORT-PAPER_in%20progress\MMP%202014%20report\FINAL%20Report%202013-14%20June%202016\JCU_MMP_Flood%20monitoring%20report_2013_2014_V7_Final%20210616.docx" TargetMode="External"/><Relationship Id="rId21" Type="http://schemas.openxmlformats.org/officeDocument/2006/relationships/hyperlink" Target="http://creativecommons.org/licences/by/4.0" TargetMode="External"/><Relationship Id="rId42" Type="http://schemas.openxmlformats.org/officeDocument/2006/relationships/image" Target="media/image5.jpeg"/><Relationship Id="rId47" Type="http://schemas.openxmlformats.org/officeDocument/2006/relationships/hyperlink" Target="https://en.wikipedia.org/wiki/Cape_Flattery_%28Queensland%29" TargetMode="External"/><Relationship Id="rId63" Type="http://schemas.openxmlformats.org/officeDocument/2006/relationships/footer" Target="footer7.xml"/><Relationship Id="rId68" Type="http://schemas.openxmlformats.org/officeDocument/2006/relationships/image" Target="media/image13.png"/><Relationship Id="rId84" Type="http://schemas.openxmlformats.org/officeDocument/2006/relationships/image" Target="media/image24.jpeg"/><Relationship Id="rId89" Type="http://schemas.openxmlformats.org/officeDocument/2006/relationships/image" Target="media/image29.png"/><Relationship Id="rId112" Type="http://schemas.openxmlformats.org/officeDocument/2006/relationships/theme" Target="theme/theme1.xml"/><Relationship Id="rId16" Type="http://schemas.openxmlformats.org/officeDocument/2006/relationships/image" Target="cid:image001.jpg@01CDF4CF.D1F144F0" TargetMode="External"/><Relationship Id="rId107" Type="http://schemas.openxmlformats.org/officeDocument/2006/relationships/image" Target="media/image41.png"/><Relationship Id="rId11" Type="http://schemas.openxmlformats.org/officeDocument/2006/relationships/footnotes" Target="footnotes.xml"/><Relationship Id="rId32" Type="http://schemas.openxmlformats.org/officeDocument/2006/relationships/hyperlink" Target="https://en.wikipedia.org/wiki/Cape_Flattery_%28Queensland%29" TargetMode="External"/><Relationship Id="rId37" Type="http://schemas.openxmlformats.org/officeDocument/2006/relationships/hyperlink" Target="https://en.wikipedia.org/wiki/Daintree_River" TargetMode="External"/><Relationship Id="rId53" Type="http://schemas.openxmlformats.org/officeDocument/2006/relationships/hyperlink" Target="https://en.wikipedia.org/wiki/Mulgrave_River" TargetMode="External"/><Relationship Id="rId58" Type="http://schemas.openxmlformats.org/officeDocument/2006/relationships/image" Target="cid:6518C05D-FA54-465E-A48E-11094D7E8CAF" TargetMode="External"/><Relationship Id="rId74" Type="http://schemas.openxmlformats.org/officeDocument/2006/relationships/hyperlink" Target="http://watermonitoring.dnrm.qld.gov.au/host.htm" TargetMode="External"/><Relationship Id="rId79" Type="http://schemas.openxmlformats.org/officeDocument/2006/relationships/image" Target="media/image20.jpeg"/><Relationship Id="rId102" Type="http://schemas.openxmlformats.org/officeDocument/2006/relationships/image" Target="media/image36.png"/><Relationship Id="rId5" Type="http://schemas.openxmlformats.org/officeDocument/2006/relationships/customXml" Target="../customXml/item5.xml"/><Relationship Id="rId90" Type="http://schemas.openxmlformats.org/officeDocument/2006/relationships/image" Target="media/image30.jpeg"/><Relationship Id="rId95" Type="http://schemas.microsoft.com/office/2007/relationships/diagramDrawing" Target="diagrams/drawing1.xml"/><Relationship Id="rId22" Type="http://schemas.openxmlformats.org/officeDocument/2006/relationships/hyperlink" Target="mailto:tropwater@jcu.edu.au" TargetMode="External"/><Relationship Id="rId27" Type="http://schemas.openxmlformats.org/officeDocument/2006/relationships/header" Target="header2.xml"/><Relationship Id="rId43" Type="http://schemas.openxmlformats.org/officeDocument/2006/relationships/image" Target="media/image6.png"/><Relationship Id="rId48" Type="http://schemas.openxmlformats.org/officeDocument/2006/relationships/hyperlink" Target="https://en.wikipedia.org/wiki/Cardwell,_Queensland" TargetMode="External"/><Relationship Id="rId64" Type="http://schemas.openxmlformats.org/officeDocument/2006/relationships/image" Target="media/image9.png"/><Relationship Id="rId69" Type="http://schemas.openxmlformats.org/officeDocument/2006/relationships/image" Target="media/image14.jpeg"/><Relationship Id="rId80" Type="http://schemas.openxmlformats.org/officeDocument/2006/relationships/image" Target="media/image21.jpeg"/><Relationship Id="rId85" Type="http://schemas.openxmlformats.org/officeDocument/2006/relationships/image" Target="media/image25.jpeg"/><Relationship Id="rId12" Type="http://schemas.openxmlformats.org/officeDocument/2006/relationships/endnotes" Target="endnotes.xml"/><Relationship Id="rId17" Type="http://schemas.openxmlformats.org/officeDocument/2006/relationships/hyperlink" Target="http://creativecommons.org/licences/by/4.0" TargetMode="External"/><Relationship Id="rId33" Type="http://schemas.openxmlformats.org/officeDocument/2006/relationships/hyperlink" Target="https://en.wikipedia.org/wiki/Cardwell,_Queensland" TargetMode="External"/><Relationship Id="rId38" Type="http://schemas.openxmlformats.org/officeDocument/2006/relationships/hyperlink" Target="https://en.wikipedia.org/wiki/Mulgrave_River" TargetMode="External"/><Relationship Id="rId59" Type="http://schemas.openxmlformats.org/officeDocument/2006/relationships/hyperlink" Target="http://watermonitoring.dnrm.qld.gov.au/host.htm" TargetMode="External"/><Relationship Id="rId103" Type="http://schemas.openxmlformats.org/officeDocument/2006/relationships/image" Target="media/image37.png"/><Relationship Id="rId108" Type="http://schemas.openxmlformats.org/officeDocument/2006/relationships/image" Target="media/image42.png"/><Relationship Id="rId54" Type="http://schemas.openxmlformats.org/officeDocument/2006/relationships/hyperlink" Target="https://en.wikipedia.org/wiki/Haughton_River" TargetMode="External"/><Relationship Id="rId70" Type="http://schemas.openxmlformats.org/officeDocument/2006/relationships/image" Target="cid:3FBA711B-9A85-495E-89E6-FEDD98C63A27" TargetMode="External"/><Relationship Id="rId75" Type="http://schemas.openxmlformats.org/officeDocument/2006/relationships/image" Target="media/image17.png"/><Relationship Id="rId91" Type="http://schemas.openxmlformats.org/officeDocument/2006/relationships/diagramData" Target="diagrams/data1.xml"/><Relationship Id="rId96" Type="http://schemas.openxmlformats.org/officeDocument/2006/relationships/image" Target="media/image31.tiff"/><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image" Target="media/image3.jpeg"/><Relationship Id="rId23" Type="http://schemas.openxmlformats.org/officeDocument/2006/relationships/footer" Target="footer1.xml"/><Relationship Id="rId28" Type="http://schemas.openxmlformats.org/officeDocument/2006/relationships/footer" Target="footer3.xml"/><Relationship Id="rId36" Type="http://schemas.openxmlformats.org/officeDocument/2006/relationships/hyperlink" Target="https://en.wikipedia.org/wiki/Flash_flood" TargetMode="External"/><Relationship Id="rId49" Type="http://schemas.openxmlformats.org/officeDocument/2006/relationships/hyperlink" Target="https://en.wikipedia.org/wiki/Tully,_Queensland" TargetMode="External"/><Relationship Id="rId57" Type="http://schemas.openxmlformats.org/officeDocument/2006/relationships/image" Target="media/image8.jpeg"/><Relationship Id="rId106" Type="http://schemas.openxmlformats.org/officeDocument/2006/relationships/image" Target="media/image40.png"/><Relationship Id="rId10" Type="http://schemas.openxmlformats.org/officeDocument/2006/relationships/webSettings" Target="webSettings.xml"/><Relationship Id="rId31" Type="http://schemas.openxmlformats.org/officeDocument/2006/relationships/hyperlink" Target="https://en.wikipedia.org/wiki/Landfall_%28meteorology%29" TargetMode="External"/><Relationship Id="rId44" Type="http://schemas.openxmlformats.org/officeDocument/2006/relationships/image" Target="media/image7.jpeg"/><Relationship Id="rId52" Type="http://schemas.openxmlformats.org/officeDocument/2006/relationships/hyperlink" Target="https://en.wikipedia.org/wiki/Daintree_River" TargetMode="External"/><Relationship Id="rId60" Type="http://schemas.openxmlformats.org/officeDocument/2006/relationships/header" Target="header4.xml"/><Relationship Id="rId65" Type="http://schemas.openxmlformats.org/officeDocument/2006/relationships/image" Target="media/image10.png"/><Relationship Id="rId73" Type="http://schemas.openxmlformats.org/officeDocument/2006/relationships/image" Target="media/image16.png"/><Relationship Id="rId78" Type="http://schemas.openxmlformats.org/officeDocument/2006/relationships/image" Target="media/image19.jpeg"/><Relationship Id="rId81" Type="http://schemas.openxmlformats.org/officeDocument/2006/relationships/image" Target="media/image22.jpeg"/><Relationship Id="rId86" Type="http://schemas.openxmlformats.org/officeDocument/2006/relationships/image" Target="media/image26.jpeg"/><Relationship Id="rId94" Type="http://schemas.openxmlformats.org/officeDocument/2006/relationships/diagramColors" Target="diagrams/colors1.xml"/><Relationship Id="rId99" Type="http://schemas.openxmlformats.org/officeDocument/2006/relationships/image" Target="media/image34.png"/><Relationship Id="rId101" Type="http://schemas.openxmlformats.org/officeDocument/2006/relationships/image" Target="media/image35.tiff"/><Relationship Id="rId4" Type="http://schemas.openxmlformats.org/officeDocument/2006/relationships/customXml" Target="../customXml/item4.xml"/><Relationship Id="rId9" Type="http://schemas.openxmlformats.org/officeDocument/2006/relationships/settings" Target="settings.xml"/><Relationship Id="rId13" Type="http://schemas.openxmlformats.org/officeDocument/2006/relationships/image" Target="media/image1.jpeg"/><Relationship Id="rId18" Type="http://schemas.openxmlformats.org/officeDocument/2006/relationships/hyperlink" Target="http://creativecommons.org/licences/by/3.0/au" TargetMode="External"/><Relationship Id="rId39" Type="http://schemas.openxmlformats.org/officeDocument/2006/relationships/hyperlink" Target="https://en.wikipedia.org/wiki/Haughton_River" TargetMode="External"/><Relationship Id="rId109" Type="http://schemas.openxmlformats.org/officeDocument/2006/relationships/image" Target="media/image43.png"/><Relationship Id="rId34" Type="http://schemas.openxmlformats.org/officeDocument/2006/relationships/hyperlink" Target="https://en.wikipedia.org/wiki/Tully,_Queensland" TargetMode="External"/><Relationship Id="rId50" Type="http://schemas.openxmlformats.org/officeDocument/2006/relationships/hyperlink" Target="https://en.wikipedia.org/wiki/Bowen,_Queensland" TargetMode="External"/><Relationship Id="rId55" Type="http://schemas.openxmlformats.org/officeDocument/2006/relationships/hyperlink" Target="https://en.wikipedia.org/wiki/Herbert_River" TargetMode="External"/><Relationship Id="rId76" Type="http://schemas.openxmlformats.org/officeDocument/2006/relationships/footer" Target="footer8.xml"/><Relationship Id="rId97" Type="http://schemas.openxmlformats.org/officeDocument/2006/relationships/image" Target="media/image32.png"/><Relationship Id="rId104" Type="http://schemas.openxmlformats.org/officeDocument/2006/relationships/image" Target="media/image38.png"/><Relationship Id="rId7" Type="http://schemas.openxmlformats.org/officeDocument/2006/relationships/styles" Target="styles.xml"/><Relationship Id="rId71" Type="http://schemas.openxmlformats.org/officeDocument/2006/relationships/image" Target="media/image15.png"/><Relationship Id="rId92" Type="http://schemas.openxmlformats.org/officeDocument/2006/relationships/diagramLayout" Target="diagrams/layout1.xml"/><Relationship Id="rId2" Type="http://schemas.openxmlformats.org/officeDocument/2006/relationships/customXml" Target="../customXml/item2.xml"/><Relationship Id="rId29" Type="http://schemas.openxmlformats.org/officeDocument/2006/relationships/footer" Target="footer4.xml"/><Relationship Id="rId24" Type="http://schemas.openxmlformats.org/officeDocument/2006/relationships/header" Target="header1.xml"/><Relationship Id="rId40" Type="http://schemas.openxmlformats.org/officeDocument/2006/relationships/hyperlink" Target="https://en.wikipedia.org/wiki/Herbert_River" TargetMode="External"/><Relationship Id="rId45" Type="http://schemas.openxmlformats.org/officeDocument/2006/relationships/header" Target="header3.xml"/><Relationship Id="rId66" Type="http://schemas.openxmlformats.org/officeDocument/2006/relationships/image" Target="media/image11.png"/><Relationship Id="rId87" Type="http://schemas.openxmlformats.org/officeDocument/2006/relationships/image" Target="media/image27.png"/><Relationship Id="rId110" Type="http://schemas.openxmlformats.org/officeDocument/2006/relationships/hyperlink" Target="http://www.reefplan.qld.gov.au/about/scientific-consensus-statement/water-quality-risks.aspx" TargetMode="External"/><Relationship Id="rId61" Type="http://schemas.openxmlformats.org/officeDocument/2006/relationships/footer" Target="footer6.xml"/><Relationship Id="rId82" Type="http://schemas.openxmlformats.org/officeDocument/2006/relationships/footer" Target="footer9.xml"/><Relationship Id="rId19" Type="http://schemas.openxmlformats.org/officeDocument/2006/relationships/image" Target="media/image4.png"/><Relationship Id="rId14" Type="http://schemas.openxmlformats.org/officeDocument/2006/relationships/image" Target="media/image2.png"/><Relationship Id="rId30" Type="http://schemas.openxmlformats.org/officeDocument/2006/relationships/footer" Target="footer5.xml"/><Relationship Id="rId35" Type="http://schemas.openxmlformats.org/officeDocument/2006/relationships/hyperlink" Target="https://en.wikipedia.org/wiki/Bowen,_Queensland" TargetMode="External"/><Relationship Id="rId56" Type="http://schemas.openxmlformats.org/officeDocument/2006/relationships/hyperlink" Target="https://en.wikipedia.org/wiki/Townsville" TargetMode="External"/><Relationship Id="rId77" Type="http://schemas.openxmlformats.org/officeDocument/2006/relationships/image" Target="media/image18.jpeg"/><Relationship Id="rId100" Type="http://schemas.openxmlformats.org/officeDocument/2006/relationships/hyperlink" Target="http://www.seagrasswatch" TargetMode="External"/><Relationship Id="rId105" Type="http://schemas.openxmlformats.org/officeDocument/2006/relationships/image" Target="media/image39.png"/><Relationship Id="rId8" Type="http://schemas.microsoft.com/office/2007/relationships/stylesWithEffects" Target="stylesWithEffects.xml"/><Relationship Id="rId51" Type="http://schemas.openxmlformats.org/officeDocument/2006/relationships/hyperlink" Target="https://en.wikipedia.org/wiki/Flash_flood" TargetMode="External"/><Relationship Id="rId72" Type="http://schemas.openxmlformats.org/officeDocument/2006/relationships/hyperlink" Target="http://watermonitoring.dnrm.qld.gov.au/host.htm" TargetMode="External"/><Relationship Id="rId93" Type="http://schemas.openxmlformats.org/officeDocument/2006/relationships/diagramQuickStyle" Target="diagrams/quickStyle1.xml"/><Relationship Id="rId98" Type="http://schemas.openxmlformats.org/officeDocument/2006/relationships/image" Target="media/image33.png"/><Relationship Id="rId3" Type="http://schemas.openxmlformats.org/officeDocument/2006/relationships/customXml" Target="../customXml/item3.xml"/><Relationship Id="rId25" Type="http://schemas.openxmlformats.org/officeDocument/2006/relationships/footer" Target="footer2.xml"/><Relationship Id="rId46" Type="http://schemas.openxmlformats.org/officeDocument/2006/relationships/hyperlink" Target="https://en.wikipedia.org/wiki/Landfall_%28meteorology%29" TargetMode="External"/><Relationship Id="rId67" Type="http://schemas.openxmlformats.org/officeDocument/2006/relationships/image" Target="media/image12.png"/><Relationship Id="rId20" Type="http://schemas.openxmlformats.org/officeDocument/2006/relationships/hyperlink" Target="mailto:tropwater@jcu.edu.au" TargetMode="External"/><Relationship Id="rId41" Type="http://schemas.openxmlformats.org/officeDocument/2006/relationships/hyperlink" Target="https://en.wikipedia.org/wiki/Townsville" TargetMode="External"/><Relationship Id="rId62" Type="http://schemas.openxmlformats.org/officeDocument/2006/relationships/header" Target="header5.xml"/><Relationship Id="rId83" Type="http://schemas.openxmlformats.org/officeDocument/2006/relationships/image" Target="media/image23.jpeg"/><Relationship Id="rId88" Type="http://schemas.openxmlformats.org/officeDocument/2006/relationships/image" Target="media/image28.jpeg"/><Relationship Id="rId111"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5_1">
  <dgm:title val=""/>
  <dgm:desc val=""/>
  <dgm:catLst>
    <dgm:cat type="accent5" pri="11100"/>
  </dgm:catLst>
  <dgm:styleLbl name="node0">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5">
        <a:shade val="80000"/>
      </a:schemeClr>
    </dgm:linClrLst>
    <dgm:effectClrLst/>
    <dgm:txLinClrLst/>
    <dgm:txFillClrLst/>
    <dgm:txEffectClrLst/>
  </dgm:styleLbl>
  <dgm:styleLbl name="node2">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fgImgPlace1">
    <dgm:fillClrLst meth="repeat">
      <a:schemeClr val="accent5">
        <a:tint val="40000"/>
      </a:schemeClr>
    </dgm:fillClrLst>
    <dgm:linClrLst meth="repeat">
      <a:schemeClr val="accent5">
        <a:shade val="80000"/>
      </a:schemeClr>
    </dgm:linClrLst>
    <dgm:effectClrLst/>
    <dgm:txLinClrLst/>
    <dgm:txFillClrLst meth="repeat">
      <a:schemeClr val="lt1"/>
    </dgm:txFillClrLst>
    <dgm:txEffectClrLst/>
  </dgm:styleLbl>
  <dgm:styleLbl name="alignImgPlace1">
    <dgm:fillClrLst meth="repeat">
      <a:schemeClr val="accent5">
        <a:tint val="40000"/>
      </a:schemeClr>
    </dgm:fillClrLst>
    <dgm:linClrLst meth="repeat">
      <a:schemeClr val="accent5">
        <a:shade val="80000"/>
      </a:schemeClr>
    </dgm:linClrLst>
    <dgm:effectClrLst/>
    <dgm:txLinClrLst/>
    <dgm:txFillClrLst meth="repeat">
      <a:schemeClr val="lt1"/>
    </dgm:txFillClrLst>
    <dgm:txEffectClrLst/>
  </dgm:styleLbl>
  <dgm:styleLbl name="bgImgPlace1">
    <dgm:fillClrLst meth="repeat">
      <a:schemeClr val="accent5">
        <a:tint val="40000"/>
      </a:schemeClr>
    </dgm:fillClrLst>
    <dgm:linClrLst meth="repeat">
      <a:schemeClr val="accent5">
        <a:shade val="80000"/>
      </a:schemeClr>
    </dgm:linClrLst>
    <dgm:effectClrLst/>
    <dgm:txLinClrLst/>
    <dgm:txFillClrLst meth="repeat">
      <a:schemeClr val="lt1"/>
    </dgm:txFillClrLst>
    <dgm:txEffectClrLst/>
  </dgm:styleLbl>
  <dgm:styleLbl name="sibTrans2D1">
    <dgm:fillClrLst meth="repeat">
      <a:schemeClr val="accent5">
        <a:tint val="60000"/>
      </a:schemeClr>
    </dgm:fillClrLst>
    <dgm:linClrLst meth="repeat">
      <a:schemeClr val="accent5">
        <a:tint val="60000"/>
      </a:schemeClr>
    </dgm:linClrLst>
    <dgm:effectClrLst/>
    <dgm:txLinClrLst/>
    <dgm:txFillClrLst meth="repeat">
      <a:schemeClr val="dk1"/>
    </dgm:txFillClrLst>
    <dgm:txEffectClrLst/>
  </dgm:styleLbl>
  <dgm:styleLbl name="fgSibTrans2D1">
    <dgm:fillClrLst meth="repeat">
      <a:schemeClr val="accent5">
        <a:tint val="60000"/>
      </a:schemeClr>
    </dgm:fillClrLst>
    <dgm:linClrLst meth="repeat">
      <a:schemeClr val="accent5">
        <a:tint val="60000"/>
      </a:schemeClr>
    </dgm:linClrLst>
    <dgm:effectClrLst/>
    <dgm:txLinClrLst/>
    <dgm:txFillClrLst meth="repeat">
      <a:schemeClr val="dk1"/>
    </dgm:txFillClrLst>
    <dgm:txEffectClrLst/>
  </dgm:styleLbl>
  <dgm:styleLbl name="bgSibTrans2D1">
    <dgm:fillClrLst meth="repeat">
      <a:schemeClr val="accent5">
        <a:tint val="60000"/>
      </a:schemeClr>
    </dgm:fillClrLst>
    <dgm:linClrLst meth="repeat">
      <a:schemeClr val="accent5">
        <a:tint val="60000"/>
      </a:schemeClr>
    </dgm:linClrLst>
    <dgm:effectClrLst/>
    <dgm:txLinClrLst/>
    <dgm:txFillClrLst meth="repeat">
      <a:schemeClr val="dk1"/>
    </dgm:txFillClrLst>
    <dgm:txEffectClrLst/>
  </dgm:styleLbl>
  <dgm:styleLbl name="sibTrans1D1">
    <dgm:fillClrLst meth="repeat">
      <a:schemeClr val="accent5"/>
    </dgm:fillClrLst>
    <dgm:linClrLst meth="repeat">
      <a:schemeClr val="accent5"/>
    </dgm:linClrLst>
    <dgm:effectClrLst/>
    <dgm:txLinClrLst/>
    <dgm:txFillClrLst meth="repeat">
      <a:schemeClr val="tx1"/>
    </dgm:txFillClrLst>
    <dgm:txEffectClrLst/>
  </dgm:styleLbl>
  <dgm:styleLbl name="callout">
    <dgm:fillClrLst meth="repeat">
      <a:schemeClr val="accent5"/>
    </dgm:fillClrLst>
    <dgm:linClrLst meth="repeat">
      <a:schemeClr val="accent5"/>
    </dgm:linClrLst>
    <dgm:effectClrLst/>
    <dgm:txLinClrLst/>
    <dgm:txFillClrLst meth="repeat">
      <a:schemeClr val="tx1"/>
    </dgm:txFillClrLst>
    <dgm:txEffectClrLst/>
  </dgm:styleLbl>
  <dgm:styleLbl name="asst0">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parChTrans2D1">
    <dgm:fillClrLst meth="repeat">
      <a:schemeClr val="accent5">
        <a:tint val="60000"/>
      </a:schemeClr>
    </dgm:fillClrLst>
    <dgm:linClrLst meth="repeat">
      <a:schemeClr val="accent5">
        <a:tint val="60000"/>
      </a:schemeClr>
    </dgm:linClrLst>
    <dgm:effectClrLst/>
    <dgm:txLinClrLst/>
    <dgm:txFillClrLst/>
    <dgm:txEffectClrLst/>
  </dgm:styleLbl>
  <dgm:styleLbl name="parChTrans2D2">
    <dgm:fillClrLst meth="repeat">
      <a:schemeClr val="accent5"/>
    </dgm:fillClrLst>
    <dgm:linClrLst meth="repeat">
      <a:schemeClr val="accent5"/>
    </dgm:linClrLst>
    <dgm:effectClrLst/>
    <dgm:txLinClrLst/>
    <dgm:txFillClrLst/>
    <dgm:txEffectClrLst/>
  </dgm:styleLbl>
  <dgm:styleLbl name="parChTrans2D3">
    <dgm:fillClrLst meth="repeat">
      <a:schemeClr val="accent5"/>
    </dgm:fillClrLst>
    <dgm:linClrLst meth="repeat">
      <a:schemeClr val="accent5"/>
    </dgm:linClrLst>
    <dgm:effectClrLst/>
    <dgm:txLinClrLst/>
    <dgm:txFillClrLst/>
    <dgm:txEffectClrLst/>
  </dgm:styleLbl>
  <dgm:styleLbl name="parChTrans2D4">
    <dgm:fillClrLst meth="repeat">
      <a:schemeClr val="accent5"/>
    </dgm:fillClrLst>
    <dgm:linClrLst meth="repeat">
      <a:schemeClr val="accent5"/>
    </dgm:linClrLst>
    <dgm:effectClrLst/>
    <dgm:txLinClrLst/>
    <dgm:txFillClrLst meth="repeat">
      <a:schemeClr val="lt1"/>
    </dgm:txFillClrLst>
    <dgm:txEffectClrLst/>
  </dgm:styleLbl>
  <dgm:styleLbl name="parChTrans1D1">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2">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3">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parChTrans1D4">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fg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conFg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align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trAlignAcc1">
    <dgm:fillClrLst meth="repeat">
      <a:schemeClr val="accent5">
        <a:alpha val="40000"/>
        <a:tint val="40000"/>
      </a:schemeClr>
    </dgm:fillClrLst>
    <dgm:linClrLst meth="repeat">
      <a:schemeClr val="accent5"/>
    </dgm:linClrLst>
    <dgm:effectClrLst/>
    <dgm:txLinClrLst/>
    <dgm:txFillClrLst meth="repeat">
      <a:schemeClr val="dk1"/>
    </dgm:txFillClrLst>
    <dgm:txEffectClrLst/>
  </dgm:styleLbl>
  <dgm:styleLbl name="bg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solidFgAcc1">
    <dgm:fillClrLst meth="repeat">
      <a:schemeClr val="lt1"/>
    </dgm:fillClrLst>
    <dgm:linClrLst meth="repeat">
      <a:schemeClr val="accent5"/>
    </dgm:linClrLst>
    <dgm:effectClrLst/>
    <dgm:txLinClrLst/>
    <dgm:txFillClrLst meth="repeat">
      <a:schemeClr val="dk1"/>
    </dgm:txFillClrLst>
    <dgm:txEffectClrLst/>
  </dgm:styleLbl>
  <dgm:styleLbl name="solidAlignAcc1">
    <dgm:fillClrLst meth="repeat">
      <a:schemeClr val="lt1"/>
    </dgm:fillClrLst>
    <dgm:linClrLst meth="repeat">
      <a:schemeClr val="accent5"/>
    </dgm:linClrLst>
    <dgm:effectClrLst/>
    <dgm:txLinClrLst/>
    <dgm:txFillClrLst meth="repeat">
      <a:schemeClr val="dk1"/>
    </dgm:txFillClrLst>
    <dgm:txEffectClrLst/>
  </dgm:styleLbl>
  <dgm:styleLbl name="solidBgAcc1">
    <dgm:fillClrLst meth="repeat">
      <a:schemeClr val="lt1"/>
    </dgm:fillClrLst>
    <dgm:linClrLst meth="repeat">
      <a:schemeClr val="accent5"/>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5">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5">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5">
        <a:alpha val="90000"/>
      </a:schemeClr>
    </dgm:linClrLst>
    <dgm:effectClrLst/>
    <dgm:txLinClrLst/>
    <dgm:txFillClrLst meth="repeat">
      <a:schemeClr val="dk1"/>
    </dgm:txFillClrLst>
    <dgm:txEffectClrLst/>
  </dgm:styleLbl>
  <dgm:styleLbl name="fgAcc0">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fgAcc2">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fgAcc3">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fgAcc4">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accent5"/>
    </dgm:linClrLst>
    <dgm:effectClrLst/>
    <dgm:txLinClrLst/>
    <dgm:txFillClrLst meth="repeat">
      <a:schemeClr val="dk1"/>
    </dgm:txFillClrLst>
    <dgm:txEffectClrLst/>
  </dgm:styleLbl>
  <dgm:styleLbl name="dkBgShp">
    <dgm:fillClrLst meth="repeat">
      <a:schemeClr val="accent5">
        <a:shade val="80000"/>
      </a:schemeClr>
    </dgm:fillClrLst>
    <dgm:linClrLst meth="repeat">
      <a:schemeClr val="accent5"/>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954DD05-7E2E-4DF6-914E-3DE95DFE4A8D}" type="doc">
      <dgm:prSet loTypeId="urn:microsoft.com/office/officeart/2005/8/layout/radial6" loCatId="cycle" qsTypeId="urn:microsoft.com/office/officeart/2005/8/quickstyle/simple1" qsCatId="simple" csTypeId="urn:microsoft.com/office/officeart/2005/8/colors/accent5_1" csCatId="accent5" phldr="1"/>
      <dgm:spPr/>
      <dgm:t>
        <a:bodyPr/>
        <a:lstStyle/>
        <a:p>
          <a:endParaRPr lang="en-AU"/>
        </a:p>
      </dgm:t>
    </dgm:pt>
    <dgm:pt modelId="{5612881F-094D-4080-A50D-6522E768D788}">
      <dgm:prSet phldrT="[Text]" custT="1"/>
      <dgm:spPr/>
      <dgm:t>
        <a:bodyPr/>
        <a:lstStyle/>
        <a:p>
          <a:pPr algn="ctr"/>
          <a:r>
            <a:rPr lang="en-AU" sz="1100" b="1" dirty="0" smtClean="0"/>
            <a:t>Level of exposure of the coral reefs and seagrass meadows to river plumes and land-sourced contaminants </a:t>
          </a:r>
          <a:endParaRPr lang="en-AU" sz="1100" b="1" dirty="0"/>
        </a:p>
      </dgm:t>
    </dgm:pt>
    <dgm:pt modelId="{098542D2-1EC9-431E-BE5C-9C88F799D2C2}" type="parTrans" cxnId="{93E8BA83-0C05-495C-80EF-2B13369ACE58}">
      <dgm:prSet/>
      <dgm:spPr/>
      <dgm:t>
        <a:bodyPr/>
        <a:lstStyle/>
        <a:p>
          <a:pPr algn="ctr"/>
          <a:endParaRPr lang="en-AU" b="0"/>
        </a:p>
      </dgm:t>
    </dgm:pt>
    <dgm:pt modelId="{97FC8D31-593C-47AD-A942-C9B9BDD63497}" type="sibTrans" cxnId="{93E8BA83-0C05-495C-80EF-2B13369ACE58}">
      <dgm:prSet/>
      <dgm:spPr/>
      <dgm:t>
        <a:bodyPr/>
        <a:lstStyle/>
        <a:p>
          <a:pPr algn="ctr"/>
          <a:endParaRPr lang="en-AU" b="0"/>
        </a:p>
      </dgm:t>
    </dgm:pt>
    <dgm:pt modelId="{91616EF0-21B5-417D-A865-A5CB3487E503}">
      <dgm:prSet phldrT="[Text]" custT="1"/>
      <dgm:spPr/>
      <dgm:t>
        <a:bodyPr/>
        <a:lstStyle/>
        <a:p>
          <a:pPr algn="ctr"/>
          <a:r>
            <a:rPr lang="en-AU" sz="1100" b="0" dirty="0" smtClean="0"/>
            <a:t> River plume (full extent) maps</a:t>
          </a:r>
          <a:endParaRPr lang="en-AU" sz="1100" b="0" dirty="0"/>
        </a:p>
      </dgm:t>
    </dgm:pt>
    <dgm:pt modelId="{5267EEE2-CEDE-4F75-9378-491BE0337A9A}" type="parTrans" cxnId="{9323B194-F361-4042-98D8-C5907E226406}">
      <dgm:prSet/>
      <dgm:spPr/>
      <dgm:t>
        <a:bodyPr/>
        <a:lstStyle/>
        <a:p>
          <a:pPr algn="ctr"/>
          <a:endParaRPr lang="en-AU" b="0"/>
        </a:p>
      </dgm:t>
    </dgm:pt>
    <dgm:pt modelId="{4BCF7CE7-B381-4863-B558-00A945CA1E33}" type="sibTrans" cxnId="{9323B194-F361-4042-98D8-C5907E226406}">
      <dgm:prSet/>
      <dgm:spPr/>
      <dgm:t>
        <a:bodyPr/>
        <a:lstStyle/>
        <a:p>
          <a:pPr algn="ctr"/>
          <a:endParaRPr lang="en-AU" b="0"/>
        </a:p>
      </dgm:t>
    </dgm:pt>
    <dgm:pt modelId="{F71EC748-C089-4DBC-BB3E-6C5164031D17}">
      <dgm:prSet phldrT="[Text]" custT="1"/>
      <dgm:spPr/>
      <dgm:t>
        <a:bodyPr/>
        <a:lstStyle/>
        <a:p>
          <a:pPr algn="ctr"/>
          <a:r>
            <a:rPr lang="en-AU" sz="1100" b="0" dirty="0" smtClean="0"/>
            <a:t>Plume water type maps </a:t>
          </a:r>
          <a:endParaRPr lang="en-AU" sz="1100" b="0" dirty="0"/>
        </a:p>
      </dgm:t>
    </dgm:pt>
    <dgm:pt modelId="{E1F3CD11-F5F4-4249-8A37-05CB7C4ADEF2}" type="parTrans" cxnId="{C1EBFBB0-123A-4067-8150-AF70AD827953}">
      <dgm:prSet/>
      <dgm:spPr/>
      <dgm:t>
        <a:bodyPr/>
        <a:lstStyle/>
        <a:p>
          <a:pPr algn="ctr"/>
          <a:endParaRPr lang="en-AU" b="0"/>
        </a:p>
      </dgm:t>
    </dgm:pt>
    <dgm:pt modelId="{6A6649EB-154B-404A-B77A-1060BE4EADC7}" type="sibTrans" cxnId="{C1EBFBB0-123A-4067-8150-AF70AD827953}">
      <dgm:prSet/>
      <dgm:spPr/>
      <dgm:t>
        <a:bodyPr/>
        <a:lstStyle/>
        <a:p>
          <a:pPr algn="ctr"/>
          <a:endParaRPr lang="en-AU" b="0"/>
        </a:p>
      </dgm:t>
    </dgm:pt>
    <dgm:pt modelId="{CE243A6B-38D7-4C42-8BCF-485302FA3C85}">
      <dgm:prSet phldrT="[Text]" custT="1"/>
      <dgm:spPr/>
      <dgm:t>
        <a:bodyPr/>
        <a:lstStyle/>
        <a:p>
          <a:pPr algn="ctr"/>
          <a:r>
            <a:rPr lang="en-AU" sz="1100" b="0" dirty="0" smtClean="0"/>
            <a:t>Load maps of land-sourced pollutants</a:t>
          </a:r>
          <a:endParaRPr lang="en-AU" sz="1100" b="0" dirty="0"/>
        </a:p>
      </dgm:t>
    </dgm:pt>
    <dgm:pt modelId="{827DC248-62A4-4A4F-9C57-F63E1F37B217}" type="parTrans" cxnId="{4DA985A8-30E8-4BC3-87EA-CF5575596DAB}">
      <dgm:prSet/>
      <dgm:spPr/>
      <dgm:t>
        <a:bodyPr/>
        <a:lstStyle/>
        <a:p>
          <a:pPr algn="ctr"/>
          <a:endParaRPr lang="en-AU" b="0"/>
        </a:p>
      </dgm:t>
    </dgm:pt>
    <dgm:pt modelId="{0C1C74EB-0C11-4D45-B15D-BF4EDF68613F}" type="sibTrans" cxnId="{4DA985A8-30E8-4BC3-87EA-CF5575596DAB}">
      <dgm:prSet/>
      <dgm:spPr/>
      <dgm:t>
        <a:bodyPr/>
        <a:lstStyle/>
        <a:p>
          <a:pPr algn="ctr"/>
          <a:endParaRPr lang="en-AU" b="0"/>
        </a:p>
      </dgm:t>
    </dgm:pt>
    <dgm:pt modelId="{66146CA9-0F1F-4031-8E5F-280CF6D007D8}">
      <dgm:prSet phldrT="[Text]" custT="1"/>
      <dgm:spPr/>
      <dgm:t>
        <a:bodyPr/>
        <a:lstStyle/>
        <a:p>
          <a:pPr algn="ctr"/>
          <a:r>
            <a:rPr lang="en-US" sz="1100" b="0" dirty="0" smtClean="0"/>
            <a:t>Exposure (risk) maps</a:t>
          </a:r>
          <a:endParaRPr lang="en-AU" sz="1100" b="0" dirty="0"/>
        </a:p>
      </dgm:t>
    </dgm:pt>
    <dgm:pt modelId="{5073B20B-5FFD-4B29-9BD2-56B7BADE4EB9}" type="parTrans" cxnId="{9C9871AA-B40C-4211-ABE0-426ABBE84A88}">
      <dgm:prSet/>
      <dgm:spPr/>
      <dgm:t>
        <a:bodyPr/>
        <a:lstStyle/>
        <a:p>
          <a:pPr algn="ctr"/>
          <a:endParaRPr lang="en-AU" b="0"/>
        </a:p>
      </dgm:t>
    </dgm:pt>
    <dgm:pt modelId="{53305C10-ABD4-4730-A8A8-7265838B264C}" type="sibTrans" cxnId="{9C9871AA-B40C-4211-ABE0-426ABBE84A88}">
      <dgm:prSet/>
      <dgm:spPr/>
      <dgm:t>
        <a:bodyPr/>
        <a:lstStyle/>
        <a:p>
          <a:pPr algn="ctr"/>
          <a:endParaRPr lang="en-AU" b="0"/>
        </a:p>
      </dgm:t>
    </dgm:pt>
    <dgm:pt modelId="{006DB1CB-F37B-4438-A349-698E54A60C3C}" type="pres">
      <dgm:prSet presAssocID="{D954DD05-7E2E-4DF6-914E-3DE95DFE4A8D}" presName="Name0" presStyleCnt="0">
        <dgm:presLayoutVars>
          <dgm:chMax val="1"/>
          <dgm:dir/>
          <dgm:animLvl val="ctr"/>
          <dgm:resizeHandles val="exact"/>
        </dgm:presLayoutVars>
      </dgm:prSet>
      <dgm:spPr/>
      <dgm:t>
        <a:bodyPr/>
        <a:lstStyle/>
        <a:p>
          <a:endParaRPr lang="en-AU"/>
        </a:p>
      </dgm:t>
    </dgm:pt>
    <dgm:pt modelId="{914D7F14-EC3A-403E-A99C-EBDE7DB7F13F}" type="pres">
      <dgm:prSet presAssocID="{5612881F-094D-4080-A50D-6522E768D788}" presName="centerShape" presStyleLbl="node0" presStyleIdx="0" presStyleCnt="1"/>
      <dgm:spPr/>
      <dgm:t>
        <a:bodyPr/>
        <a:lstStyle/>
        <a:p>
          <a:endParaRPr lang="en-AU"/>
        </a:p>
      </dgm:t>
    </dgm:pt>
    <dgm:pt modelId="{C2DC0504-6495-42E2-B702-8C99FB6D7056}" type="pres">
      <dgm:prSet presAssocID="{91616EF0-21B5-417D-A865-A5CB3487E503}" presName="node" presStyleLbl="node1" presStyleIdx="0" presStyleCnt="4" custRadScaleRad="97412">
        <dgm:presLayoutVars>
          <dgm:bulletEnabled val="1"/>
        </dgm:presLayoutVars>
      </dgm:prSet>
      <dgm:spPr/>
      <dgm:t>
        <a:bodyPr/>
        <a:lstStyle/>
        <a:p>
          <a:endParaRPr lang="en-AU"/>
        </a:p>
      </dgm:t>
    </dgm:pt>
    <dgm:pt modelId="{68756E64-05D3-46FF-8FEB-1FE5B7CE7DE2}" type="pres">
      <dgm:prSet presAssocID="{91616EF0-21B5-417D-A865-A5CB3487E503}" presName="dummy" presStyleCnt="0"/>
      <dgm:spPr/>
    </dgm:pt>
    <dgm:pt modelId="{E11BEE20-BE86-49DB-8CF5-BA1406BF352D}" type="pres">
      <dgm:prSet presAssocID="{4BCF7CE7-B381-4863-B558-00A945CA1E33}" presName="sibTrans" presStyleLbl="sibTrans2D1" presStyleIdx="0" presStyleCnt="4"/>
      <dgm:spPr/>
      <dgm:t>
        <a:bodyPr/>
        <a:lstStyle/>
        <a:p>
          <a:endParaRPr lang="en-AU"/>
        </a:p>
      </dgm:t>
    </dgm:pt>
    <dgm:pt modelId="{052038BA-80F6-4B98-8EA2-1A7C51783A7C}" type="pres">
      <dgm:prSet presAssocID="{F71EC748-C089-4DBC-BB3E-6C5164031D17}" presName="node" presStyleLbl="node1" presStyleIdx="1" presStyleCnt="4">
        <dgm:presLayoutVars>
          <dgm:bulletEnabled val="1"/>
        </dgm:presLayoutVars>
      </dgm:prSet>
      <dgm:spPr/>
      <dgm:t>
        <a:bodyPr/>
        <a:lstStyle/>
        <a:p>
          <a:endParaRPr lang="en-AU"/>
        </a:p>
      </dgm:t>
    </dgm:pt>
    <dgm:pt modelId="{4365F853-25EF-48A6-A187-047C96DDE39C}" type="pres">
      <dgm:prSet presAssocID="{F71EC748-C089-4DBC-BB3E-6C5164031D17}" presName="dummy" presStyleCnt="0"/>
      <dgm:spPr/>
    </dgm:pt>
    <dgm:pt modelId="{F8461229-67AC-4C9E-AE21-78A4032B5134}" type="pres">
      <dgm:prSet presAssocID="{6A6649EB-154B-404A-B77A-1060BE4EADC7}" presName="sibTrans" presStyleLbl="sibTrans2D1" presStyleIdx="1" presStyleCnt="4"/>
      <dgm:spPr/>
      <dgm:t>
        <a:bodyPr/>
        <a:lstStyle/>
        <a:p>
          <a:endParaRPr lang="en-AU"/>
        </a:p>
      </dgm:t>
    </dgm:pt>
    <dgm:pt modelId="{A6471AF9-F420-40E9-B25A-B930876A0B09}" type="pres">
      <dgm:prSet presAssocID="{CE243A6B-38D7-4C42-8BCF-485302FA3C85}" presName="node" presStyleLbl="node1" presStyleIdx="2" presStyleCnt="4">
        <dgm:presLayoutVars>
          <dgm:bulletEnabled val="1"/>
        </dgm:presLayoutVars>
      </dgm:prSet>
      <dgm:spPr/>
      <dgm:t>
        <a:bodyPr/>
        <a:lstStyle/>
        <a:p>
          <a:endParaRPr lang="en-AU"/>
        </a:p>
      </dgm:t>
    </dgm:pt>
    <dgm:pt modelId="{98D5AD27-C545-4397-9CAF-B55170F02767}" type="pres">
      <dgm:prSet presAssocID="{CE243A6B-38D7-4C42-8BCF-485302FA3C85}" presName="dummy" presStyleCnt="0"/>
      <dgm:spPr/>
    </dgm:pt>
    <dgm:pt modelId="{ABA4EADA-CDE1-4A96-BCD9-0A5B5D328565}" type="pres">
      <dgm:prSet presAssocID="{0C1C74EB-0C11-4D45-B15D-BF4EDF68613F}" presName="sibTrans" presStyleLbl="sibTrans2D1" presStyleIdx="2" presStyleCnt="4"/>
      <dgm:spPr/>
      <dgm:t>
        <a:bodyPr/>
        <a:lstStyle/>
        <a:p>
          <a:endParaRPr lang="en-AU"/>
        </a:p>
      </dgm:t>
    </dgm:pt>
    <dgm:pt modelId="{FDED30AF-E37A-4EDB-ADAF-D939AB0BD229}" type="pres">
      <dgm:prSet presAssocID="{66146CA9-0F1F-4031-8E5F-280CF6D007D8}" presName="node" presStyleLbl="node1" presStyleIdx="3" presStyleCnt="4">
        <dgm:presLayoutVars>
          <dgm:bulletEnabled val="1"/>
        </dgm:presLayoutVars>
      </dgm:prSet>
      <dgm:spPr/>
      <dgm:t>
        <a:bodyPr/>
        <a:lstStyle/>
        <a:p>
          <a:endParaRPr lang="en-AU"/>
        </a:p>
      </dgm:t>
    </dgm:pt>
    <dgm:pt modelId="{ED21A855-6EC6-4CEA-9289-B15320D40C4D}" type="pres">
      <dgm:prSet presAssocID="{66146CA9-0F1F-4031-8E5F-280CF6D007D8}" presName="dummy" presStyleCnt="0"/>
      <dgm:spPr/>
    </dgm:pt>
    <dgm:pt modelId="{BB1FC895-C11D-416F-9A7E-7627C347CA4A}" type="pres">
      <dgm:prSet presAssocID="{53305C10-ABD4-4730-A8A8-7265838B264C}" presName="sibTrans" presStyleLbl="sibTrans2D1" presStyleIdx="3" presStyleCnt="4"/>
      <dgm:spPr/>
      <dgm:t>
        <a:bodyPr/>
        <a:lstStyle/>
        <a:p>
          <a:endParaRPr lang="en-AU"/>
        </a:p>
      </dgm:t>
    </dgm:pt>
  </dgm:ptLst>
  <dgm:cxnLst>
    <dgm:cxn modelId="{F6B24593-13FD-475D-A187-68894467396D}" type="presOf" srcId="{D954DD05-7E2E-4DF6-914E-3DE95DFE4A8D}" destId="{006DB1CB-F37B-4438-A349-698E54A60C3C}" srcOrd="0" destOrd="0" presId="urn:microsoft.com/office/officeart/2005/8/layout/radial6"/>
    <dgm:cxn modelId="{3081CB66-F690-45BF-885A-B4B634B2D408}" type="presOf" srcId="{66146CA9-0F1F-4031-8E5F-280CF6D007D8}" destId="{FDED30AF-E37A-4EDB-ADAF-D939AB0BD229}" srcOrd="0" destOrd="0" presId="urn:microsoft.com/office/officeart/2005/8/layout/radial6"/>
    <dgm:cxn modelId="{9323B194-F361-4042-98D8-C5907E226406}" srcId="{5612881F-094D-4080-A50D-6522E768D788}" destId="{91616EF0-21B5-417D-A865-A5CB3487E503}" srcOrd="0" destOrd="0" parTransId="{5267EEE2-CEDE-4F75-9378-491BE0337A9A}" sibTransId="{4BCF7CE7-B381-4863-B558-00A945CA1E33}"/>
    <dgm:cxn modelId="{4DA985A8-30E8-4BC3-87EA-CF5575596DAB}" srcId="{5612881F-094D-4080-A50D-6522E768D788}" destId="{CE243A6B-38D7-4C42-8BCF-485302FA3C85}" srcOrd="2" destOrd="0" parTransId="{827DC248-62A4-4A4F-9C57-F63E1F37B217}" sibTransId="{0C1C74EB-0C11-4D45-B15D-BF4EDF68613F}"/>
    <dgm:cxn modelId="{A16D7820-0B33-426B-A452-1752D2D1D1F4}" type="presOf" srcId="{91616EF0-21B5-417D-A865-A5CB3487E503}" destId="{C2DC0504-6495-42E2-B702-8C99FB6D7056}" srcOrd="0" destOrd="0" presId="urn:microsoft.com/office/officeart/2005/8/layout/radial6"/>
    <dgm:cxn modelId="{C1EBFBB0-123A-4067-8150-AF70AD827953}" srcId="{5612881F-094D-4080-A50D-6522E768D788}" destId="{F71EC748-C089-4DBC-BB3E-6C5164031D17}" srcOrd="1" destOrd="0" parTransId="{E1F3CD11-F5F4-4249-8A37-05CB7C4ADEF2}" sibTransId="{6A6649EB-154B-404A-B77A-1060BE4EADC7}"/>
    <dgm:cxn modelId="{149793A8-F309-494B-B333-4636ECDCD29A}" type="presOf" srcId="{F71EC748-C089-4DBC-BB3E-6C5164031D17}" destId="{052038BA-80F6-4B98-8EA2-1A7C51783A7C}" srcOrd="0" destOrd="0" presId="urn:microsoft.com/office/officeart/2005/8/layout/radial6"/>
    <dgm:cxn modelId="{AAA56841-1807-4DF5-B52C-00E78BAE90EC}" type="presOf" srcId="{0C1C74EB-0C11-4D45-B15D-BF4EDF68613F}" destId="{ABA4EADA-CDE1-4A96-BCD9-0A5B5D328565}" srcOrd="0" destOrd="0" presId="urn:microsoft.com/office/officeart/2005/8/layout/radial6"/>
    <dgm:cxn modelId="{E4E9BD31-7911-4BA4-A32F-55D3C57D020C}" type="presOf" srcId="{53305C10-ABD4-4730-A8A8-7265838B264C}" destId="{BB1FC895-C11D-416F-9A7E-7627C347CA4A}" srcOrd="0" destOrd="0" presId="urn:microsoft.com/office/officeart/2005/8/layout/radial6"/>
    <dgm:cxn modelId="{93E8BA83-0C05-495C-80EF-2B13369ACE58}" srcId="{D954DD05-7E2E-4DF6-914E-3DE95DFE4A8D}" destId="{5612881F-094D-4080-A50D-6522E768D788}" srcOrd="0" destOrd="0" parTransId="{098542D2-1EC9-431E-BE5C-9C88F799D2C2}" sibTransId="{97FC8D31-593C-47AD-A942-C9B9BDD63497}"/>
    <dgm:cxn modelId="{E70A59A9-582E-419A-BE77-4DBD263BFA25}" type="presOf" srcId="{4BCF7CE7-B381-4863-B558-00A945CA1E33}" destId="{E11BEE20-BE86-49DB-8CF5-BA1406BF352D}" srcOrd="0" destOrd="0" presId="urn:microsoft.com/office/officeart/2005/8/layout/radial6"/>
    <dgm:cxn modelId="{9C9871AA-B40C-4211-ABE0-426ABBE84A88}" srcId="{5612881F-094D-4080-A50D-6522E768D788}" destId="{66146CA9-0F1F-4031-8E5F-280CF6D007D8}" srcOrd="3" destOrd="0" parTransId="{5073B20B-5FFD-4B29-9BD2-56B7BADE4EB9}" sibTransId="{53305C10-ABD4-4730-A8A8-7265838B264C}"/>
    <dgm:cxn modelId="{58F7155F-53F9-4D13-90FD-0003A176B4C7}" type="presOf" srcId="{5612881F-094D-4080-A50D-6522E768D788}" destId="{914D7F14-EC3A-403E-A99C-EBDE7DB7F13F}" srcOrd="0" destOrd="0" presId="urn:microsoft.com/office/officeart/2005/8/layout/radial6"/>
    <dgm:cxn modelId="{B9F63A5D-5A66-403D-B513-DCAB7B90A534}" type="presOf" srcId="{6A6649EB-154B-404A-B77A-1060BE4EADC7}" destId="{F8461229-67AC-4C9E-AE21-78A4032B5134}" srcOrd="0" destOrd="0" presId="urn:microsoft.com/office/officeart/2005/8/layout/radial6"/>
    <dgm:cxn modelId="{796016C4-587C-4936-9DF7-CA4135E917FF}" type="presOf" srcId="{CE243A6B-38D7-4C42-8BCF-485302FA3C85}" destId="{A6471AF9-F420-40E9-B25A-B930876A0B09}" srcOrd="0" destOrd="0" presId="urn:microsoft.com/office/officeart/2005/8/layout/radial6"/>
    <dgm:cxn modelId="{E1FFF0B5-B4EA-4687-A3B6-9D2929FEA983}" type="presParOf" srcId="{006DB1CB-F37B-4438-A349-698E54A60C3C}" destId="{914D7F14-EC3A-403E-A99C-EBDE7DB7F13F}" srcOrd="0" destOrd="0" presId="urn:microsoft.com/office/officeart/2005/8/layout/radial6"/>
    <dgm:cxn modelId="{90A9D496-2058-411D-B903-32AABD037641}" type="presParOf" srcId="{006DB1CB-F37B-4438-A349-698E54A60C3C}" destId="{C2DC0504-6495-42E2-B702-8C99FB6D7056}" srcOrd="1" destOrd="0" presId="urn:microsoft.com/office/officeart/2005/8/layout/radial6"/>
    <dgm:cxn modelId="{25574CE8-9FB0-400E-A74F-4F5506A2BF87}" type="presParOf" srcId="{006DB1CB-F37B-4438-A349-698E54A60C3C}" destId="{68756E64-05D3-46FF-8FEB-1FE5B7CE7DE2}" srcOrd="2" destOrd="0" presId="urn:microsoft.com/office/officeart/2005/8/layout/radial6"/>
    <dgm:cxn modelId="{8723764E-6E50-4DBB-9675-2B7246AAEF7C}" type="presParOf" srcId="{006DB1CB-F37B-4438-A349-698E54A60C3C}" destId="{E11BEE20-BE86-49DB-8CF5-BA1406BF352D}" srcOrd="3" destOrd="0" presId="urn:microsoft.com/office/officeart/2005/8/layout/radial6"/>
    <dgm:cxn modelId="{416A65CF-6D37-46EE-BD3B-3B5F6CCB286B}" type="presParOf" srcId="{006DB1CB-F37B-4438-A349-698E54A60C3C}" destId="{052038BA-80F6-4B98-8EA2-1A7C51783A7C}" srcOrd="4" destOrd="0" presId="urn:microsoft.com/office/officeart/2005/8/layout/radial6"/>
    <dgm:cxn modelId="{0DE3F85C-22C0-4092-A4DF-B575A63C2D37}" type="presParOf" srcId="{006DB1CB-F37B-4438-A349-698E54A60C3C}" destId="{4365F853-25EF-48A6-A187-047C96DDE39C}" srcOrd="5" destOrd="0" presId="urn:microsoft.com/office/officeart/2005/8/layout/radial6"/>
    <dgm:cxn modelId="{DC3DA6D8-7124-4443-8C40-F0FBF54D18C2}" type="presParOf" srcId="{006DB1CB-F37B-4438-A349-698E54A60C3C}" destId="{F8461229-67AC-4C9E-AE21-78A4032B5134}" srcOrd="6" destOrd="0" presId="urn:microsoft.com/office/officeart/2005/8/layout/radial6"/>
    <dgm:cxn modelId="{FD3EFA3D-270D-4119-AF4C-114D5B5624AD}" type="presParOf" srcId="{006DB1CB-F37B-4438-A349-698E54A60C3C}" destId="{A6471AF9-F420-40E9-B25A-B930876A0B09}" srcOrd="7" destOrd="0" presId="urn:microsoft.com/office/officeart/2005/8/layout/radial6"/>
    <dgm:cxn modelId="{50B7FF82-AD7D-442C-B6A2-7567C8300194}" type="presParOf" srcId="{006DB1CB-F37B-4438-A349-698E54A60C3C}" destId="{98D5AD27-C545-4397-9CAF-B55170F02767}" srcOrd="8" destOrd="0" presId="urn:microsoft.com/office/officeart/2005/8/layout/radial6"/>
    <dgm:cxn modelId="{EDDC1DEC-8AEC-4D0C-ACC7-2FBA6F4B39FB}" type="presParOf" srcId="{006DB1CB-F37B-4438-A349-698E54A60C3C}" destId="{ABA4EADA-CDE1-4A96-BCD9-0A5B5D328565}" srcOrd="9" destOrd="0" presId="urn:microsoft.com/office/officeart/2005/8/layout/radial6"/>
    <dgm:cxn modelId="{EC92FD51-ECD5-4188-B816-B47269652668}" type="presParOf" srcId="{006DB1CB-F37B-4438-A349-698E54A60C3C}" destId="{FDED30AF-E37A-4EDB-ADAF-D939AB0BD229}" srcOrd="10" destOrd="0" presId="urn:microsoft.com/office/officeart/2005/8/layout/radial6"/>
    <dgm:cxn modelId="{0BE8963E-6F10-4813-B9A1-B92B66547E81}" type="presParOf" srcId="{006DB1CB-F37B-4438-A349-698E54A60C3C}" destId="{ED21A855-6EC6-4CEA-9289-B15320D40C4D}" srcOrd="11" destOrd="0" presId="urn:microsoft.com/office/officeart/2005/8/layout/radial6"/>
    <dgm:cxn modelId="{5FE97FAC-B68D-4D08-B5E6-B97C263B3076}" type="presParOf" srcId="{006DB1CB-F37B-4438-A349-698E54A60C3C}" destId="{BB1FC895-C11D-416F-9A7E-7627C347CA4A}" srcOrd="12" destOrd="0" presId="urn:microsoft.com/office/officeart/2005/8/layout/radial6"/>
  </dgm:cxnLst>
  <dgm:bg/>
  <dgm:whole/>
  <dgm:extLst>
    <a:ext uri="http://schemas.microsoft.com/office/drawing/2008/diagram">
      <dsp:dataModelExt xmlns:dsp="http://schemas.microsoft.com/office/drawing/2008/diagram" relId="rId9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B1FC895-C11D-416F-9A7E-7627C347CA4A}">
      <dsp:nvSpPr>
        <dsp:cNvPr id="0" name=""/>
        <dsp:cNvSpPr/>
      </dsp:nvSpPr>
      <dsp:spPr>
        <a:xfrm>
          <a:off x="1220803" y="546159"/>
          <a:ext cx="3362669" cy="3362669"/>
        </a:xfrm>
        <a:prstGeom prst="blockArc">
          <a:avLst>
            <a:gd name="adj1" fmla="val 10888979"/>
            <a:gd name="adj2" fmla="val 16201151"/>
            <a:gd name="adj3" fmla="val 4639"/>
          </a:avLst>
        </a:prstGeom>
        <a:solidFill>
          <a:schemeClr val="accent5">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ABA4EADA-CDE1-4A96-BCD9-0A5B5D328565}">
      <dsp:nvSpPr>
        <dsp:cNvPr id="0" name=""/>
        <dsp:cNvSpPr/>
      </dsp:nvSpPr>
      <dsp:spPr>
        <a:xfrm>
          <a:off x="1221353" y="503655"/>
          <a:ext cx="3362669" cy="3362669"/>
        </a:xfrm>
        <a:prstGeom prst="blockArc">
          <a:avLst>
            <a:gd name="adj1" fmla="val 5400000"/>
            <a:gd name="adj2" fmla="val 10800000"/>
            <a:gd name="adj3" fmla="val 4639"/>
          </a:avLst>
        </a:prstGeom>
        <a:solidFill>
          <a:schemeClr val="accent5">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F8461229-67AC-4C9E-AE21-78A4032B5134}">
      <dsp:nvSpPr>
        <dsp:cNvPr id="0" name=""/>
        <dsp:cNvSpPr/>
      </dsp:nvSpPr>
      <dsp:spPr>
        <a:xfrm>
          <a:off x="1221353" y="503655"/>
          <a:ext cx="3362669" cy="3362669"/>
        </a:xfrm>
        <a:prstGeom prst="blockArc">
          <a:avLst>
            <a:gd name="adj1" fmla="val 0"/>
            <a:gd name="adj2" fmla="val 5400000"/>
            <a:gd name="adj3" fmla="val 4639"/>
          </a:avLst>
        </a:prstGeom>
        <a:solidFill>
          <a:schemeClr val="accent5">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E11BEE20-BE86-49DB-8CF5-BA1406BF352D}">
      <dsp:nvSpPr>
        <dsp:cNvPr id="0" name=""/>
        <dsp:cNvSpPr/>
      </dsp:nvSpPr>
      <dsp:spPr>
        <a:xfrm>
          <a:off x="1221903" y="546159"/>
          <a:ext cx="3362669" cy="3362669"/>
        </a:xfrm>
        <a:prstGeom prst="blockArc">
          <a:avLst>
            <a:gd name="adj1" fmla="val 16198849"/>
            <a:gd name="adj2" fmla="val 21511021"/>
            <a:gd name="adj3" fmla="val 4639"/>
          </a:avLst>
        </a:prstGeom>
        <a:solidFill>
          <a:schemeClr val="accent5">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14D7F14-EC3A-403E-A99C-EBDE7DB7F13F}">
      <dsp:nvSpPr>
        <dsp:cNvPr id="0" name=""/>
        <dsp:cNvSpPr/>
      </dsp:nvSpPr>
      <dsp:spPr>
        <a:xfrm>
          <a:off x="2128827" y="1411129"/>
          <a:ext cx="1547722" cy="1547722"/>
        </a:xfrm>
        <a:prstGeom prst="ellipse">
          <a:avLst/>
        </a:prstGeom>
        <a:solidFill>
          <a:schemeClr val="lt1">
            <a:hueOff val="0"/>
            <a:satOff val="0"/>
            <a:lumOff val="0"/>
            <a:alphaOff val="0"/>
          </a:schemeClr>
        </a:solidFill>
        <a:ln w="25400" cap="flat" cmpd="sng" algn="ctr">
          <a:solidFill>
            <a:schemeClr val="accent5">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AU" sz="1100" b="1" kern="1200" dirty="0" smtClean="0"/>
            <a:t>Level of exposure of the coral reefs and seagrass meadows to river plumes and land-sourced contaminants </a:t>
          </a:r>
          <a:endParaRPr lang="en-AU" sz="1100" b="1" kern="1200" dirty="0"/>
        </a:p>
      </dsp:txBody>
      <dsp:txXfrm>
        <a:off x="2355486" y="1637788"/>
        <a:ext cx="1094404" cy="1094404"/>
      </dsp:txXfrm>
    </dsp:sp>
    <dsp:sp modelId="{C2DC0504-6495-42E2-B702-8C99FB6D7056}">
      <dsp:nvSpPr>
        <dsp:cNvPr id="0" name=""/>
        <dsp:cNvSpPr/>
      </dsp:nvSpPr>
      <dsp:spPr>
        <a:xfrm>
          <a:off x="2360985" y="43458"/>
          <a:ext cx="1083405" cy="1083405"/>
        </a:xfrm>
        <a:prstGeom prst="ellipse">
          <a:avLst/>
        </a:prstGeom>
        <a:solidFill>
          <a:schemeClr val="lt1">
            <a:hueOff val="0"/>
            <a:satOff val="0"/>
            <a:lumOff val="0"/>
            <a:alphaOff val="0"/>
          </a:schemeClr>
        </a:solidFill>
        <a:ln w="25400" cap="flat" cmpd="sng" algn="ctr">
          <a:solidFill>
            <a:schemeClr val="accent5">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AU" sz="1100" b="0" kern="1200" dirty="0" smtClean="0"/>
            <a:t> River plume (full extent) maps</a:t>
          </a:r>
          <a:endParaRPr lang="en-AU" sz="1100" b="0" kern="1200" dirty="0"/>
        </a:p>
      </dsp:txBody>
      <dsp:txXfrm>
        <a:off x="2519646" y="202119"/>
        <a:ext cx="766083" cy="766083"/>
      </dsp:txXfrm>
    </dsp:sp>
    <dsp:sp modelId="{052038BA-80F6-4B98-8EA2-1A7C51783A7C}">
      <dsp:nvSpPr>
        <dsp:cNvPr id="0" name=""/>
        <dsp:cNvSpPr/>
      </dsp:nvSpPr>
      <dsp:spPr>
        <a:xfrm>
          <a:off x="4003317" y="1643287"/>
          <a:ext cx="1083405" cy="1083405"/>
        </a:xfrm>
        <a:prstGeom prst="ellipse">
          <a:avLst/>
        </a:prstGeom>
        <a:solidFill>
          <a:schemeClr val="lt1">
            <a:hueOff val="0"/>
            <a:satOff val="0"/>
            <a:lumOff val="0"/>
            <a:alphaOff val="0"/>
          </a:schemeClr>
        </a:solidFill>
        <a:ln w="25400" cap="flat" cmpd="sng" algn="ctr">
          <a:solidFill>
            <a:schemeClr val="accent5">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AU" sz="1100" b="0" kern="1200" dirty="0" smtClean="0"/>
            <a:t>Plume water type maps </a:t>
          </a:r>
          <a:endParaRPr lang="en-AU" sz="1100" b="0" kern="1200" dirty="0"/>
        </a:p>
      </dsp:txBody>
      <dsp:txXfrm>
        <a:off x="4161978" y="1801948"/>
        <a:ext cx="766083" cy="766083"/>
      </dsp:txXfrm>
    </dsp:sp>
    <dsp:sp modelId="{A6471AF9-F420-40E9-B25A-B930876A0B09}">
      <dsp:nvSpPr>
        <dsp:cNvPr id="0" name=""/>
        <dsp:cNvSpPr/>
      </dsp:nvSpPr>
      <dsp:spPr>
        <a:xfrm>
          <a:off x="2360985" y="3285619"/>
          <a:ext cx="1083405" cy="1083405"/>
        </a:xfrm>
        <a:prstGeom prst="ellipse">
          <a:avLst/>
        </a:prstGeom>
        <a:solidFill>
          <a:schemeClr val="lt1">
            <a:hueOff val="0"/>
            <a:satOff val="0"/>
            <a:lumOff val="0"/>
            <a:alphaOff val="0"/>
          </a:schemeClr>
        </a:solidFill>
        <a:ln w="25400" cap="flat" cmpd="sng" algn="ctr">
          <a:solidFill>
            <a:schemeClr val="accent5">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AU" sz="1100" b="0" kern="1200" dirty="0" smtClean="0"/>
            <a:t>Load maps of land-sourced pollutants</a:t>
          </a:r>
          <a:endParaRPr lang="en-AU" sz="1100" b="0" kern="1200" dirty="0"/>
        </a:p>
      </dsp:txBody>
      <dsp:txXfrm>
        <a:off x="2519646" y="3444280"/>
        <a:ext cx="766083" cy="766083"/>
      </dsp:txXfrm>
    </dsp:sp>
    <dsp:sp modelId="{FDED30AF-E37A-4EDB-ADAF-D939AB0BD229}">
      <dsp:nvSpPr>
        <dsp:cNvPr id="0" name=""/>
        <dsp:cNvSpPr/>
      </dsp:nvSpPr>
      <dsp:spPr>
        <a:xfrm>
          <a:off x="718653" y="1643287"/>
          <a:ext cx="1083405" cy="1083405"/>
        </a:xfrm>
        <a:prstGeom prst="ellipse">
          <a:avLst/>
        </a:prstGeom>
        <a:solidFill>
          <a:schemeClr val="lt1">
            <a:hueOff val="0"/>
            <a:satOff val="0"/>
            <a:lumOff val="0"/>
            <a:alphaOff val="0"/>
          </a:schemeClr>
        </a:solidFill>
        <a:ln w="25400" cap="flat" cmpd="sng" algn="ctr">
          <a:solidFill>
            <a:schemeClr val="accent5">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US" sz="1100" b="0" kern="1200" dirty="0" smtClean="0"/>
            <a:t>Exposure (risk) maps</a:t>
          </a:r>
          <a:endParaRPr lang="en-AU" sz="1100" b="0" kern="1200" dirty="0"/>
        </a:p>
      </dsp:txBody>
      <dsp:txXfrm>
        <a:off x="877314" y="1801948"/>
        <a:ext cx="766083" cy="766083"/>
      </dsp:txXfrm>
    </dsp:sp>
  </dsp:spTree>
</dsp:drawing>
</file>

<file path=word/diagrams/layout1.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8ccc4631-9afc-4718-b120-5e2e37a03cc7">PROJ-213-402</_dlc_DocId>
    <_dlc_DocIdUrl xmlns="8ccc4631-9afc-4718-b120-5e2e37a03cc7">
      <Url>http://thedock.gbrmpa.gov.au/sites/Projects/P000056/_layouts/DocIdRedir.aspx?ID=PROJ-213-402</Url>
      <Description>PROJ-213-402</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0D9715CDE278E54B8097413768F46C65" ma:contentTypeVersion="8" ma:contentTypeDescription="" ma:contentTypeScope="" ma:versionID="eb06a32313be1d113718e4d36bbbd415">
  <xsd:schema xmlns:xsd="http://www.w3.org/2001/XMLSchema" xmlns:xs="http://www.w3.org/2001/XMLSchema" xmlns:p="http://schemas.microsoft.com/office/2006/metadata/properties" xmlns:ns2="8ccc4631-9afc-4718-b120-5e2e37a03cc7" targetNamespace="http://schemas.microsoft.com/office/2006/metadata/properties" ma:root="true" ma:fieldsID="676c2c3fb3e7d9b4847bdd76abd09fb5" ns2:_="">
    <xsd:import namespace="8ccc4631-9afc-4718-b120-5e2e37a03cc7"/>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F4A65A-18CF-4AB0-A655-69F511CDBA93}">
  <ds:schemaRefs>
    <ds:schemaRef ds:uri="http://www.w3.org/XML/1998/namespace"/>
    <ds:schemaRef ds:uri="http://schemas.microsoft.com/office/2006/documentManagement/types"/>
    <ds:schemaRef ds:uri="http://purl.org/dc/terms/"/>
    <ds:schemaRef ds:uri="http://schemas.openxmlformats.org/package/2006/metadata/core-properties"/>
    <ds:schemaRef ds:uri="8ccc4631-9afc-4718-b120-5e2e37a03cc7"/>
    <ds:schemaRef ds:uri="http://purl.org/dc/elements/1.1/"/>
    <ds:schemaRef ds:uri="http://purl.org/dc/dcmitype/"/>
    <ds:schemaRef ds:uri="http://schemas.microsoft.com/office/infopath/2007/PartnerControls"/>
    <ds:schemaRef ds:uri="http://schemas.microsoft.com/office/2006/metadata/properties"/>
  </ds:schemaRefs>
</ds:datastoreItem>
</file>

<file path=customXml/itemProps2.xml><?xml version="1.0" encoding="utf-8"?>
<ds:datastoreItem xmlns:ds="http://schemas.openxmlformats.org/officeDocument/2006/customXml" ds:itemID="{05740FB4-AD7A-4457-9485-A1B34E3F5AD5}">
  <ds:schemaRefs>
    <ds:schemaRef ds:uri="http://schemas.microsoft.com/sharepoint/v3/contenttype/forms"/>
  </ds:schemaRefs>
</ds:datastoreItem>
</file>

<file path=customXml/itemProps3.xml><?xml version="1.0" encoding="utf-8"?>
<ds:datastoreItem xmlns:ds="http://schemas.openxmlformats.org/officeDocument/2006/customXml" ds:itemID="{67B94BEB-D52C-4584-BA6E-5E538DDC388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ED360AC-D141-42F9-8534-1A87EBD0995D}">
  <ds:schemaRefs>
    <ds:schemaRef ds:uri="http://schemas.microsoft.com/sharepoint/events"/>
  </ds:schemaRefs>
</ds:datastoreItem>
</file>

<file path=customXml/itemProps5.xml><?xml version="1.0" encoding="utf-8"?>
<ds:datastoreItem xmlns:ds="http://schemas.openxmlformats.org/officeDocument/2006/customXml" ds:itemID="{3B59B847-BC1A-46E2-A26A-81020F6DA1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86</Pages>
  <Words>41241</Words>
  <Characters>235074</Characters>
  <Application>Microsoft Office Word</Application>
  <DocSecurity>0</DocSecurity>
  <Lines>1958</Lines>
  <Paragraphs>551</Paragraphs>
  <ScaleCrop>false</ScaleCrop>
  <HeadingPairs>
    <vt:vector size="2" baseType="variant">
      <vt:variant>
        <vt:lpstr>Title</vt:lpstr>
      </vt:variant>
      <vt:variant>
        <vt:i4>1</vt:i4>
      </vt:variant>
    </vt:vector>
  </HeadingPairs>
  <TitlesOfParts>
    <vt:vector size="1" baseType="lpstr">
      <vt:lpstr>JCU_MMP_Flood monitoring report_2013_2014_V7_Final 210616</vt:lpstr>
    </vt:vector>
  </TitlesOfParts>
  <Company>JCU</Company>
  <LinksUpToDate>false</LinksUpToDate>
  <CharactersWithSpaces>275764</CharactersWithSpaces>
  <SharedDoc>false</SharedDoc>
  <HLinks>
    <vt:vector size="6" baseType="variant">
      <vt:variant>
        <vt:i4>7012360</vt:i4>
      </vt:variant>
      <vt:variant>
        <vt:i4>0</vt:i4>
      </vt:variant>
      <vt:variant>
        <vt:i4>0</vt:i4>
      </vt:variant>
      <vt:variant>
        <vt:i4>5</vt:i4>
      </vt:variant>
      <vt:variant>
        <vt:lpwstr>mailto:actfr@jcu.edu.au</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JCU_MMP_Flood monitoring report_2013_2014_V7_Final 210616</dc:title>
  <dc:creator>Barry Butler</dc:creator>
  <cp:lastModifiedBy>Carol Marshall</cp:lastModifiedBy>
  <cp:revision>2</cp:revision>
  <cp:lastPrinted>2016-06-21T10:36:00Z</cp:lastPrinted>
  <dcterms:created xsi:type="dcterms:W3CDTF">2017-04-04T01:12:00Z</dcterms:created>
  <dcterms:modified xsi:type="dcterms:W3CDTF">2017-04-04T01:12:00Z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zotero-version="4.0.28.10"&gt;&lt;session id="4sztwD5e"/&gt;&lt;style id="http://www.zotero.org/styles/estuarine-coastal-and-shelf-science" hasBibliography="1" bibliographyStyleHasBeenSet="1"/&gt;&lt;prefs&gt;&lt;pref name="fieldType" value="Field"/&gt;&lt;pref </vt:lpwstr>
  </property>
  <property fmtid="{D5CDD505-2E9C-101B-9397-08002B2CF9AE}" pid="3" name="ZOTERO_PREF_2">
    <vt:lpwstr>name="storeReferences" value="true"/&gt;&lt;pref name="automaticJournalAbbreviations" value="true"/&gt;&lt;pref name="noteType" value=""/&gt;&lt;/prefs&gt;&lt;/data&gt;</vt:lpwstr>
  </property>
  <property fmtid="{D5CDD505-2E9C-101B-9397-08002B2CF9AE}" pid="4" name="ContentTypeId">
    <vt:lpwstr>0x010100441936E5D27A4AF2935B3316DA024CF2000D9715CDE278E54B8097413768F46C65</vt:lpwstr>
  </property>
  <property fmtid="{D5CDD505-2E9C-101B-9397-08002B2CF9AE}" pid="5" name="_dlc_DocIdItemGuid">
    <vt:lpwstr>3ee64b22-50a2-4920-8733-3790d7c8b313</vt:lpwstr>
  </property>
  <property fmtid="{D5CDD505-2E9C-101B-9397-08002B2CF9AE}" pid="6" name="Order">
    <vt:r8>40200</vt:r8>
  </property>
  <property fmtid="{D5CDD505-2E9C-101B-9397-08002B2CF9AE}" pid="7" name="TaxCatchAll">
    <vt:lpwstr/>
  </property>
  <property fmtid="{D5CDD505-2E9C-101B-9397-08002B2CF9AE}" pid="8" name="ProjectPhase">
    <vt:lpwstr/>
  </property>
  <property fmtid="{D5CDD505-2E9C-101B-9397-08002B2CF9AE}" pid="9" name="RecordPoint_WorkflowType">
    <vt:lpwstr>ActiveSubmit</vt:lpwstr>
  </property>
  <property fmtid="{D5CDD505-2E9C-101B-9397-08002B2CF9AE}" pid="10" name="RecordPoint_ActiveItemSiteId">
    <vt:lpwstr>{8ce9eba2-d4a5-4da0-9276-1d47a92e9210}</vt:lpwstr>
  </property>
  <property fmtid="{D5CDD505-2E9C-101B-9397-08002B2CF9AE}" pid="11" name="RecordPoint_ActiveItemListId">
    <vt:lpwstr>{4b37b1f1-1864-45c7-8f8d-9f91400467f1}</vt:lpwstr>
  </property>
  <property fmtid="{D5CDD505-2E9C-101B-9397-08002B2CF9AE}" pid="12" name="RecordPoint_ActiveItemUniqueId">
    <vt:lpwstr>{3ee64b22-50a2-4920-8733-3790d7c8b313}</vt:lpwstr>
  </property>
  <property fmtid="{D5CDD505-2E9C-101B-9397-08002B2CF9AE}" pid="13" name="RecordPoint_ActiveItemWebId">
    <vt:lpwstr>{e7821751-c451-45dc-b45e-82cfe574dc6e}</vt:lpwstr>
  </property>
  <property fmtid="{D5CDD505-2E9C-101B-9397-08002B2CF9AE}" pid="14" name="RecordPoint_RecordNumberSubmitted">
    <vt:lpwstr>R0000388110</vt:lpwstr>
  </property>
  <property fmtid="{D5CDD505-2E9C-101B-9397-08002B2CF9AE}" pid="15" name="IconOverlay">
    <vt:lpwstr/>
  </property>
  <property fmtid="{D5CDD505-2E9C-101B-9397-08002B2CF9AE}" pid="16" name="RecordPoint_SubmissionCompleted">
    <vt:lpwstr>2017-04-04T08:59:18.5258327+10:00</vt:lpwstr>
  </property>
  <property fmtid="{D5CDD505-2E9C-101B-9397-08002B2CF9AE}" pid="17" name="a2118650a77a4a97b805ceb1a6b3e3dc">
    <vt:lpwstr/>
  </property>
</Properties>
</file>