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bookmarkStart w:id="1" w:name="ContentPlaceHolder" w:displacedByCustomXml="next"/>
    <w:bookmarkEnd w:id="1" w:displacedByCustomXml="next"/>
    <w:sdt>
      <w:sdtPr>
        <w:id w:val="-1503740175"/>
        <w:docPartObj>
          <w:docPartGallery w:val="Cover Pages"/>
          <w:docPartUnique/>
        </w:docPartObj>
      </w:sdtPr>
      <w:sdtEndPr/>
      <w:sdtContent>
        <w:tbl>
          <w:tblPr>
            <w:tblW w:w="0" w:type="auto"/>
            <w:shd w:val="clear" w:color="auto" w:fill="939598"/>
            <w:tblCellMar>
              <w:left w:w="0" w:type="dxa"/>
              <w:right w:w="0" w:type="dxa"/>
            </w:tblCellMar>
            <w:tblLook w:val="04A0" w:firstRow="1" w:lastRow="0" w:firstColumn="1" w:lastColumn="0" w:noHBand="0" w:noVBand="1"/>
          </w:tblPr>
          <w:tblGrid>
            <w:gridCol w:w="10767"/>
          </w:tblGrid>
          <w:tr w:rsidR="00622A3C" w:rsidRPr="00E5000B" w:rsidTr="006F59B2">
            <w:trPr>
              <w:trHeight w:hRule="exact" w:val="567"/>
            </w:trPr>
            <w:tc>
              <w:tcPr>
                <w:tcW w:w="10767" w:type="dxa"/>
                <w:shd w:val="clear" w:color="auto" w:fill="939598"/>
              </w:tcPr>
              <w:p w:rsidR="00622A3C" w:rsidRPr="00E5000B" w:rsidRDefault="00622A3C" w:rsidP="00E72E26">
                <w:pPr>
                  <w:pStyle w:val="Para0"/>
                </w:pPr>
              </w:p>
            </w:tc>
          </w:tr>
          <w:tr w:rsidR="00622A3C" w:rsidRPr="00E5000B" w:rsidTr="006F59B2">
            <w:tblPrEx>
              <w:shd w:val="clear" w:color="auto" w:fill="auto"/>
            </w:tblPrEx>
            <w:trPr>
              <w:trHeight w:hRule="exact" w:val="4536"/>
            </w:trPr>
            <w:tc>
              <w:tcPr>
                <w:tcW w:w="10767" w:type="dxa"/>
                <w:shd w:val="clear" w:color="auto" w:fill="42145F"/>
                <w:vAlign w:val="center"/>
              </w:tcPr>
              <w:p w:rsidR="00622A3C" w:rsidRPr="00E5000B" w:rsidRDefault="0024328B" w:rsidP="001E4D1E">
                <w:pPr>
                  <w:pStyle w:val="CoverHeading"/>
                </w:pPr>
                <w:r>
                  <w:t xml:space="preserve">Great Barrier Reef </w:t>
                </w:r>
                <w:r w:rsidR="000B3A99">
                  <w:t>Region</w:t>
                </w:r>
                <w:r>
                  <w:t xml:space="preserve"> Strategic Assessment</w:t>
                </w:r>
              </w:p>
              <w:p w:rsidR="00622A3C" w:rsidRPr="00E5000B" w:rsidRDefault="0024328B" w:rsidP="001E4D1E">
                <w:pPr>
                  <w:pStyle w:val="CoverSubheading"/>
                </w:pPr>
                <w:r>
                  <w:t>independent review report</w:t>
                </w:r>
              </w:p>
              <w:p w:rsidR="00622A3C" w:rsidRPr="00E5000B" w:rsidRDefault="000B3A99" w:rsidP="00C47949">
                <w:pPr>
                  <w:pStyle w:val="CoverDate"/>
                </w:pPr>
                <w:r>
                  <w:t>QE06852</w:t>
                </w:r>
                <w:r w:rsidR="00622A3C">
                  <w:t xml:space="preserve"> </w:t>
                </w:r>
                <w:r w:rsidR="00622A3C" w:rsidRPr="00E5000B">
                  <w:t>|</w:t>
                </w:r>
                <w:r w:rsidR="00DC0827">
                  <w:t xml:space="preserve"> </w:t>
                </w:r>
                <w:r w:rsidR="00C47949">
                  <w:t>3</w:t>
                </w:r>
                <w:r>
                  <w:t xml:space="preserve"> </w:t>
                </w:r>
                <w:r w:rsidR="00C47949">
                  <w:t>February</w:t>
                </w:r>
                <w:r>
                  <w:t xml:space="preserve"> 2014</w:t>
                </w:r>
              </w:p>
            </w:tc>
          </w:tr>
          <w:tr w:rsidR="00622A3C" w:rsidRPr="00E5000B" w:rsidTr="006F59B2">
            <w:tblPrEx>
              <w:shd w:val="clear" w:color="auto" w:fill="auto"/>
            </w:tblPrEx>
            <w:trPr>
              <w:trHeight w:hRule="exact" w:val="7938"/>
            </w:trPr>
            <w:tc>
              <w:tcPr>
                <w:tcW w:w="10767" w:type="dxa"/>
              </w:tcPr>
              <w:p w:rsidR="00622A3C" w:rsidRPr="00E5000B" w:rsidRDefault="00622A3C" w:rsidP="00DB2372">
                <w:pPr>
                  <w:pStyle w:val="Image"/>
                </w:pPr>
                <w:r w:rsidRPr="00E5000B">
                  <w:rPr>
                    <w:noProof/>
                    <w:lang w:eastAsia="en-AU"/>
                  </w:rPr>
                  <w:drawing>
                    <wp:inline distT="0" distB="0" distL="0" distR="0">
                      <wp:extent cx="6836410" cy="5067300"/>
                      <wp:effectExtent l="19050" t="0" r="254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M_Titanium.jpg"/>
                              <pic:cNvPicPr/>
                            </pic:nvPicPr>
                            <pic:blipFill>
                              <a:blip r:embed="rId9"/>
                              <a:stretch>
                                <a:fillRect/>
                              </a:stretch>
                            </pic:blipFill>
                            <pic:spPr>
                              <a:xfrm>
                                <a:off x="0" y="0"/>
                                <a:ext cx="6836410" cy="5067300"/>
                              </a:xfrm>
                              <a:prstGeom prst="rect">
                                <a:avLst/>
                              </a:prstGeom>
                              <a:noFill/>
                              <a:ln>
                                <a:noFill/>
                              </a:ln>
                            </pic:spPr>
                          </pic:pic>
                        </a:graphicData>
                      </a:graphic>
                    </wp:inline>
                  </w:drawing>
                </w:r>
              </w:p>
            </w:tc>
          </w:tr>
          <w:tr w:rsidR="00622A3C" w:rsidRPr="00E5000B" w:rsidTr="00FD10FB">
            <w:tblPrEx>
              <w:shd w:val="clear" w:color="auto" w:fill="auto"/>
            </w:tblPrEx>
            <w:trPr>
              <w:trHeight w:hRule="exact" w:val="291"/>
            </w:trPr>
            <w:tc>
              <w:tcPr>
                <w:tcW w:w="10767" w:type="dxa"/>
                <w:vAlign w:val="bottom"/>
              </w:tcPr>
              <w:p w:rsidR="00622A3C" w:rsidRPr="00E5000B" w:rsidRDefault="00622A3C" w:rsidP="000F2DCD">
                <w:pPr>
                  <w:pStyle w:val="Para0"/>
                </w:pPr>
                <w:r>
                  <w:rPr>
                    <w:noProof/>
                    <w:lang w:eastAsia="en-AU"/>
                  </w:rPr>
                  <w:drawing>
                    <wp:anchor distT="0" distB="0" distL="114300" distR="114300" simplePos="0" relativeHeight="251661312" behindDoc="0" locked="0" layoutInCell="1" allowOverlap="1">
                      <wp:simplePos x="0" y="0"/>
                      <wp:positionH relativeFrom="page">
                        <wp:posOffset>3744595</wp:posOffset>
                      </wp:positionH>
                      <wp:positionV relativeFrom="page">
                        <wp:posOffset>532765</wp:posOffset>
                      </wp:positionV>
                      <wp:extent cx="2552065" cy="952500"/>
                      <wp:effectExtent l="19050" t="0" r="635" b="0"/>
                      <wp:wrapNone/>
                      <wp:docPr id="39" name="SKM Cover Logo 2" descr="D:\Projects\SKM\Marketing June 2012\New templates\SKM Proposal 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rojects\SKM\Marketing June 2012\New templates\SKM Proposal Cover.jpg"/>
                              <pic:cNvPicPr>
                                <a:picLocks noChangeAspect="1" noChangeArrowheads="1"/>
                              </pic:cNvPicPr>
                            </pic:nvPicPr>
                            <pic:blipFill>
                              <a:blip r:embed="rId10"/>
                              <a:srcRect/>
                              <a:stretch>
                                <a:fillRect/>
                              </a:stretch>
                            </pic:blipFill>
                            <pic:spPr bwMode="auto">
                              <a:xfrm>
                                <a:off x="0" y="0"/>
                                <a:ext cx="2552065" cy="952500"/>
                              </a:xfrm>
                              <a:prstGeom prst="rect">
                                <a:avLst/>
                              </a:prstGeom>
                              <a:noFill/>
                              <a:ln w="9525">
                                <a:noFill/>
                                <a:miter lim="800000"/>
                                <a:headEnd/>
                                <a:tailEnd/>
                              </a:ln>
                            </pic:spPr>
                          </pic:pic>
                        </a:graphicData>
                      </a:graphic>
                    </wp:anchor>
                  </w:drawing>
                </w:r>
                <w:r>
                  <w:rPr>
                    <w:noProof/>
                    <w:lang w:eastAsia="en-AU"/>
                  </w:rPr>
                  <w:drawing>
                    <wp:anchor distT="0" distB="0" distL="114300" distR="114300" simplePos="0" relativeHeight="251659264" behindDoc="0" locked="0" layoutInCell="1" allowOverlap="1">
                      <wp:simplePos x="0" y="0"/>
                      <wp:positionH relativeFrom="page">
                        <wp:posOffset>3744595</wp:posOffset>
                      </wp:positionH>
                      <wp:positionV relativeFrom="page">
                        <wp:posOffset>532765</wp:posOffset>
                      </wp:positionV>
                      <wp:extent cx="2552065" cy="952500"/>
                      <wp:effectExtent l="19050" t="0" r="635" b="0"/>
                      <wp:wrapNone/>
                      <wp:docPr id="16" name="SKM Cover Logo 2" descr="D:\Projects\SKM\Marketing June 2012\New templates\SKM Proposal 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rojects\SKM\Marketing June 2012\New templates\SKM Proposal Cover.jpg"/>
                              <pic:cNvPicPr>
                                <a:picLocks noChangeAspect="1" noChangeArrowheads="1"/>
                              </pic:cNvPicPr>
                            </pic:nvPicPr>
                            <pic:blipFill>
                              <a:blip r:embed="rId10"/>
                              <a:srcRect/>
                              <a:stretch>
                                <a:fillRect/>
                              </a:stretch>
                            </pic:blipFill>
                            <pic:spPr bwMode="auto">
                              <a:xfrm>
                                <a:off x="0" y="0"/>
                                <a:ext cx="2552065" cy="952500"/>
                              </a:xfrm>
                              <a:prstGeom prst="rect">
                                <a:avLst/>
                              </a:prstGeom>
                              <a:noFill/>
                              <a:ln w="9525">
                                <a:noFill/>
                                <a:miter lim="800000"/>
                                <a:headEnd/>
                                <a:tailEnd/>
                              </a:ln>
                            </pic:spPr>
                          </pic:pic>
                        </a:graphicData>
                      </a:graphic>
                    </wp:anchor>
                  </w:drawing>
                </w:r>
              </w:p>
            </w:tc>
          </w:tr>
        </w:tbl>
        <w:p w:rsidR="00622A3C" w:rsidRPr="00E5000B" w:rsidRDefault="00201582" w:rsidP="000F2DCD">
          <w:pPr>
            <w:pStyle w:val="Para0"/>
            <w:sectPr w:rsidR="00622A3C" w:rsidRPr="00E5000B" w:rsidSect="00622A3C">
              <w:headerReference w:type="default" r:id="rId11"/>
              <w:footerReference w:type="default" r:id="rId12"/>
              <w:footerReference w:type="first" r:id="rId13"/>
              <w:pgSz w:w="11901" w:h="16840" w:code="9"/>
              <w:pgMar w:top="567" w:right="567" w:bottom="567" w:left="567" w:header="567" w:footer="369" w:gutter="0"/>
              <w:pgNumType w:start="1"/>
              <w:cols w:space="0"/>
              <w:formProt w:val="0"/>
              <w:titlePg/>
              <w:docGrid w:linePitch="360"/>
            </w:sectPr>
          </w:pPr>
        </w:p>
      </w:sdtContent>
    </w:sdt>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1983"/>
        <w:gridCol w:w="7933"/>
      </w:tblGrid>
      <w:tr w:rsidR="00622A3C" w:rsidRPr="00E5000B" w:rsidTr="00FD10FB">
        <w:trPr>
          <w:trHeight w:hRule="exact" w:val="1985"/>
        </w:trPr>
        <w:tc>
          <w:tcPr>
            <w:tcW w:w="5000" w:type="pct"/>
            <w:gridSpan w:val="2"/>
          </w:tcPr>
          <w:p w:rsidR="00622A3C" w:rsidRPr="00E5000B" w:rsidRDefault="0024328B" w:rsidP="000B3A99">
            <w:pPr>
              <w:pStyle w:val="ProjectName"/>
            </w:pPr>
            <w:r>
              <w:lastRenderedPageBreak/>
              <w:t xml:space="preserve">Great Barrier Reef </w:t>
            </w:r>
            <w:r w:rsidR="000B3A99">
              <w:t>Region</w:t>
            </w:r>
            <w:r>
              <w:t xml:space="preserve"> Strategic Assessment</w:t>
            </w:r>
          </w:p>
        </w:tc>
      </w:tr>
      <w:tr w:rsidR="00622A3C" w:rsidRPr="00E5000B" w:rsidTr="00FD10FB">
        <w:trPr>
          <w:trHeight w:val="567"/>
        </w:trPr>
        <w:tc>
          <w:tcPr>
            <w:tcW w:w="1000" w:type="pct"/>
          </w:tcPr>
          <w:p w:rsidR="00622A3C" w:rsidRPr="00E5000B" w:rsidRDefault="00622A3C" w:rsidP="00FD10FB">
            <w:pPr>
              <w:pStyle w:val="Tabletext"/>
            </w:pPr>
            <w:r w:rsidRPr="00E5000B">
              <w:t>Document title:</w:t>
            </w:r>
          </w:p>
        </w:tc>
        <w:tc>
          <w:tcPr>
            <w:tcW w:w="4000" w:type="pct"/>
          </w:tcPr>
          <w:p w:rsidR="00622A3C" w:rsidRPr="005271BE" w:rsidRDefault="0024328B" w:rsidP="000B3A99">
            <w:pPr>
              <w:pStyle w:val="DocumentTitle"/>
            </w:pPr>
            <w:bookmarkStart w:id="2" w:name="OLE_LINK1"/>
            <w:bookmarkStart w:id="3" w:name="OLE_LINK2"/>
            <w:r>
              <w:t>Independent Review Report</w:t>
            </w:r>
            <w:r w:rsidR="005E797E">
              <w:t xml:space="preserve"> – Great Barrier Reef </w:t>
            </w:r>
            <w:r w:rsidR="000B3A99">
              <w:t xml:space="preserve">Region </w:t>
            </w:r>
            <w:r w:rsidR="005E797E">
              <w:t>Strategic Assessment</w:t>
            </w:r>
            <w:bookmarkEnd w:id="2"/>
            <w:bookmarkEnd w:id="3"/>
            <w:r w:rsidR="00E954B8">
              <w:fldChar w:fldCharType="begin"/>
            </w:r>
            <w:r w:rsidR="00971FF5">
              <w:instrText xml:space="preserve"> DOCPROPERTY  "Document Title"  \* MERGEFORMAT </w:instrText>
            </w:r>
            <w:r w:rsidR="00E954B8">
              <w:fldChar w:fldCharType="end"/>
            </w:r>
          </w:p>
        </w:tc>
      </w:tr>
      <w:tr w:rsidR="00622A3C" w:rsidRPr="00E5000B" w:rsidTr="00FD10FB">
        <w:trPr>
          <w:trHeight w:val="567"/>
        </w:trPr>
        <w:tc>
          <w:tcPr>
            <w:tcW w:w="1000" w:type="pct"/>
          </w:tcPr>
          <w:p w:rsidR="00622A3C" w:rsidRPr="00E5000B" w:rsidRDefault="00622A3C" w:rsidP="00FD10FB">
            <w:pPr>
              <w:pStyle w:val="Tabletext"/>
            </w:pPr>
            <w:r w:rsidRPr="00E5000B">
              <w:t>Version:</w:t>
            </w:r>
          </w:p>
        </w:tc>
        <w:tc>
          <w:tcPr>
            <w:tcW w:w="4000" w:type="pct"/>
          </w:tcPr>
          <w:p w:rsidR="00622A3C" w:rsidRPr="00E5000B" w:rsidRDefault="0024328B" w:rsidP="0063698D">
            <w:pPr>
              <w:pStyle w:val="Tabletext"/>
            </w:pPr>
            <w:r>
              <w:t xml:space="preserve">Revision </w:t>
            </w:r>
            <w:r w:rsidR="00880A76">
              <w:t>1</w:t>
            </w:r>
            <w:r w:rsidR="00C47949">
              <w:t>.1</w:t>
            </w:r>
          </w:p>
        </w:tc>
      </w:tr>
      <w:tr w:rsidR="00622A3C" w:rsidRPr="00E5000B" w:rsidTr="00FD10FB">
        <w:trPr>
          <w:trHeight w:val="567"/>
        </w:trPr>
        <w:tc>
          <w:tcPr>
            <w:tcW w:w="1000" w:type="pct"/>
          </w:tcPr>
          <w:p w:rsidR="00622A3C" w:rsidRPr="00E5000B" w:rsidRDefault="00622A3C" w:rsidP="00FD10FB">
            <w:pPr>
              <w:pStyle w:val="Tabletext"/>
            </w:pPr>
            <w:r w:rsidRPr="00E5000B">
              <w:t>Date:</w:t>
            </w:r>
          </w:p>
        </w:tc>
        <w:tc>
          <w:tcPr>
            <w:tcW w:w="4000" w:type="pct"/>
          </w:tcPr>
          <w:p w:rsidR="00622A3C" w:rsidRPr="00E5000B" w:rsidRDefault="00E72B49" w:rsidP="00E72B49">
            <w:pPr>
              <w:pStyle w:val="Tabletext"/>
            </w:pPr>
            <w:r>
              <w:t>3</w:t>
            </w:r>
            <w:r w:rsidR="000B3A99">
              <w:t xml:space="preserve"> </w:t>
            </w:r>
            <w:r>
              <w:t>February</w:t>
            </w:r>
            <w:r w:rsidR="000B3A99">
              <w:t xml:space="preserve"> 2014</w:t>
            </w:r>
          </w:p>
        </w:tc>
      </w:tr>
      <w:tr w:rsidR="00622A3C" w:rsidRPr="00E5000B" w:rsidTr="00FD10FB">
        <w:trPr>
          <w:trHeight w:val="567"/>
        </w:trPr>
        <w:tc>
          <w:tcPr>
            <w:tcW w:w="1000" w:type="pct"/>
          </w:tcPr>
          <w:p w:rsidR="00622A3C" w:rsidRPr="00E5000B" w:rsidRDefault="00622A3C" w:rsidP="00FD10FB">
            <w:pPr>
              <w:pStyle w:val="Tabletext"/>
            </w:pPr>
            <w:r w:rsidRPr="00E5000B">
              <w:t>Prepared by:</w:t>
            </w:r>
          </w:p>
        </w:tc>
        <w:tc>
          <w:tcPr>
            <w:tcW w:w="4000" w:type="pct"/>
          </w:tcPr>
          <w:p w:rsidR="00622A3C" w:rsidRPr="00E5000B" w:rsidRDefault="00201582" w:rsidP="00265AA8">
            <w:pPr>
              <w:pStyle w:val="Tabletext"/>
            </w:pPr>
            <w:r>
              <w:fldChar w:fldCharType="begin"/>
            </w:r>
            <w:r>
              <w:instrText xml:space="preserve"> DOCPROPERTY  "Prepared By"  \* MERGEFORMAT </w:instrText>
            </w:r>
            <w:r>
              <w:fldChar w:fldCharType="separate"/>
            </w:r>
            <w:r w:rsidR="0024328B">
              <w:t>Miles Yeates</w:t>
            </w:r>
            <w:r>
              <w:fldChar w:fldCharType="end"/>
            </w:r>
            <w:r w:rsidR="0091557A">
              <w:t xml:space="preserve">, </w:t>
            </w:r>
            <w:r w:rsidR="00265AA8">
              <w:t xml:space="preserve">Michael Huber, </w:t>
            </w:r>
            <w:r w:rsidR="000B3A99">
              <w:t xml:space="preserve">John Gunn (AIMS), Peter Valentine (JCU) and </w:t>
            </w:r>
            <w:r w:rsidR="0091557A">
              <w:t>Susanne Cooper</w:t>
            </w:r>
            <w:r w:rsidR="000B3A99">
              <w:t>.</w:t>
            </w:r>
          </w:p>
        </w:tc>
      </w:tr>
      <w:tr w:rsidR="00622A3C" w:rsidRPr="00E5000B" w:rsidTr="00FD10FB">
        <w:trPr>
          <w:trHeight w:val="567"/>
        </w:trPr>
        <w:tc>
          <w:tcPr>
            <w:tcW w:w="1000" w:type="pct"/>
          </w:tcPr>
          <w:p w:rsidR="00622A3C" w:rsidRPr="00E5000B" w:rsidRDefault="00622A3C" w:rsidP="00FD10FB">
            <w:pPr>
              <w:pStyle w:val="Tabletext"/>
            </w:pPr>
            <w:r w:rsidRPr="00E5000B">
              <w:t>Approved by:</w:t>
            </w:r>
          </w:p>
        </w:tc>
        <w:tc>
          <w:tcPr>
            <w:tcW w:w="4000" w:type="pct"/>
          </w:tcPr>
          <w:p w:rsidR="00622A3C" w:rsidRPr="00E5000B" w:rsidRDefault="0099152B" w:rsidP="0024328B">
            <w:pPr>
              <w:pStyle w:val="Tabletext"/>
            </w:pPr>
            <w:r>
              <w:t>Gavin Elphinstone</w:t>
            </w:r>
          </w:p>
        </w:tc>
      </w:tr>
      <w:tr w:rsidR="00622A3C" w:rsidRPr="00694F4B" w:rsidTr="00FD10FB">
        <w:tc>
          <w:tcPr>
            <w:tcW w:w="5000" w:type="pct"/>
            <w:gridSpan w:val="2"/>
          </w:tcPr>
          <w:p w:rsidR="004F72B4" w:rsidRPr="000F3062" w:rsidRDefault="004F72B4" w:rsidP="004F72B4">
            <w:pPr>
              <w:pStyle w:val="Tabletext"/>
            </w:pPr>
            <w:r w:rsidRPr="000F3062">
              <w:t>Document history and status</w:t>
            </w:r>
          </w:p>
          <w:tbl>
            <w:tblPr>
              <w:tblW w:w="0" w:type="auto"/>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left w:w="113" w:type="dxa"/>
                <w:right w:w="113" w:type="dxa"/>
              </w:tblCellMar>
              <w:tblLook w:val="0000" w:firstRow="0" w:lastRow="0" w:firstColumn="0" w:lastColumn="0" w:noHBand="0" w:noVBand="0"/>
            </w:tblPr>
            <w:tblGrid>
              <w:gridCol w:w="1134"/>
              <w:gridCol w:w="1300"/>
              <w:gridCol w:w="1701"/>
              <w:gridCol w:w="1559"/>
              <w:gridCol w:w="1276"/>
              <w:gridCol w:w="2551"/>
            </w:tblGrid>
            <w:tr w:rsidR="004F72B4" w:rsidRPr="000F3062" w:rsidTr="0099152B">
              <w:trPr>
                <w:trHeight w:val="260"/>
              </w:trPr>
              <w:tc>
                <w:tcPr>
                  <w:tcW w:w="1134" w:type="dxa"/>
                  <w:shd w:val="pct12" w:color="000000" w:fill="auto"/>
                  <w:vAlign w:val="center"/>
                </w:tcPr>
                <w:p w:rsidR="004F72B4" w:rsidRPr="000F3062" w:rsidRDefault="004F72B4" w:rsidP="007B0B6B">
                  <w:pPr>
                    <w:pStyle w:val="DocStatusH"/>
                    <w:rPr>
                      <w:rFonts w:cs="Arial"/>
                      <w:szCs w:val="16"/>
                      <w:lang w:val="en-AU"/>
                    </w:rPr>
                  </w:pPr>
                  <w:r w:rsidRPr="000F3062">
                    <w:rPr>
                      <w:rFonts w:cs="Arial"/>
                      <w:szCs w:val="16"/>
                      <w:lang w:val="en-AU"/>
                    </w:rPr>
                    <w:t>Revision</w:t>
                  </w:r>
                </w:p>
              </w:tc>
              <w:tc>
                <w:tcPr>
                  <w:tcW w:w="1300" w:type="dxa"/>
                  <w:shd w:val="pct12" w:color="000000" w:fill="auto"/>
                  <w:vAlign w:val="center"/>
                </w:tcPr>
                <w:p w:rsidR="004F72B4" w:rsidRPr="000F3062" w:rsidRDefault="004F72B4" w:rsidP="007B0B6B">
                  <w:pPr>
                    <w:pStyle w:val="DocStatusH"/>
                    <w:rPr>
                      <w:rFonts w:cs="Arial"/>
                      <w:szCs w:val="16"/>
                      <w:lang w:val="en-AU"/>
                    </w:rPr>
                  </w:pPr>
                  <w:r w:rsidRPr="000F3062">
                    <w:rPr>
                      <w:rFonts w:cs="Arial"/>
                      <w:szCs w:val="16"/>
                      <w:lang w:val="en-AU"/>
                    </w:rPr>
                    <w:t>Date issued</w:t>
                  </w:r>
                </w:p>
              </w:tc>
              <w:tc>
                <w:tcPr>
                  <w:tcW w:w="1701" w:type="dxa"/>
                  <w:shd w:val="pct12" w:color="000000" w:fill="auto"/>
                  <w:vAlign w:val="center"/>
                </w:tcPr>
                <w:p w:rsidR="004F72B4" w:rsidRPr="000F3062" w:rsidRDefault="004F72B4" w:rsidP="007B0B6B">
                  <w:pPr>
                    <w:pStyle w:val="DocStatusH"/>
                    <w:rPr>
                      <w:rFonts w:cs="Arial"/>
                      <w:szCs w:val="16"/>
                      <w:lang w:val="en-AU"/>
                    </w:rPr>
                  </w:pPr>
                  <w:r w:rsidRPr="000F3062">
                    <w:rPr>
                      <w:rFonts w:cs="Arial"/>
                      <w:szCs w:val="16"/>
                      <w:lang w:val="en-AU"/>
                    </w:rPr>
                    <w:t>Reviewed by</w:t>
                  </w:r>
                </w:p>
              </w:tc>
              <w:tc>
                <w:tcPr>
                  <w:tcW w:w="1559" w:type="dxa"/>
                  <w:shd w:val="pct12" w:color="000000" w:fill="auto"/>
                  <w:vAlign w:val="center"/>
                </w:tcPr>
                <w:p w:rsidR="004F72B4" w:rsidRPr="000F3062" w:rsidRDefault="004F72B4" w:rsidP="007B0B6B">
                  <w:pPr>
                    <w:pStyle w:val="DocStatusH"/>
                    <w:rPr>
                      <w:rFonts w:cs="Arial"/>
                      <w:szCs w:val="16"/>
                      <w:lang w:val="en-AU"/>
                    </w:rPr>
                  </w:pPr>
                  <w:r w:rsidRPr="000F3062">
                    <w:rPr>
                      <w:rFonts w:cs="Arial"/>
                      <w:szCs w:val="16"/>
                      <w:lang w:val="en-AU"/>
                    </w:rPr>
                    <w:t>Approved by</w:t>
                  </w:r>
                </w:p>
              </w:tc>
              <w:tc>
                <w:tcPr>
                  <w:tcW w:w="1276" w:type="dxa"/>
                  <w:shd w:val="pct12" w:color="000000" w:fill="auto"/>
                  <w:vAlign w:val="center"/>
                </w:tcPr>
                <w:p w:rsidR="004F72B4" w:rsidRPr="000F3062" w:rsidRDefault="004F72B4" w:rsidP="007B0B6B">
                  <w:pPr>
                    <w:pStyle w:val="DocStatusH"/>
                    <w:rPr>
                      <w:rFonts w:cs="Arial"/>
                      <w:szCs w:val="16"/>
                      <w:lang w:val="en-AU"/>
                    </w:rPr>
                  </w:pPr>
                  <w:r w:rsidRPr="000F3062">
                    <w:rPr>
                      <w:rFonts w:cs="Arial"/>
                      <w:szCs w:val="16"/>
                      <w:lang w:val="en-AU"/>
                    </w:rPr>
                    <w:t>Date approved</w:t>
                  </w:r>
                </w:p>
              </w:tc>
              <w:tc>
                <w:tcPr>
                  <w:tcW w:w="2551" w:type="dxa"/>
                  <w:shd w:val="pct12" w:color="000000" w:fill="auto"/>
                  <w:vAlign w:val="center"/>
                </w:tcPr>
                <w:p w:rsidR="004F72B4" w:rsidRPr="000F3062" w:rsidRDefault="004F72B4" w:rsidP="007B0B6B">
                  <w:pPr>
                    <w:pStyle w:val="DocStatusH"/>
                    <w:rPr>
                      <w:rFonts w:cs="Arial"/>
                      <w:szCs w:val="16"/>
                      <w:lang w:val="en-AU"/>
                    </w:rPr>
                  </w:pPr>
                  <w:r w:rsidRPr="000F3062">
                    <w:rPr>
                      <w:rFonts w:cs="Arial"/>
                      <w:szCs w:val="16"/>
                      <w:lang w:val="en-AU"/>
                    </w:rPr>
                    <w:t>Revision type</w:t>
                  </w:r>
                </w:p>
              </w:tc>
            </w:tr>
            <w:tr w:rsidR="004F72B4" w:rsidRPr="000F3062" w:rsidTr="0099152B">
              <w:tc>
                <w:tcPr>
                  <w:tcW w:w="1134" w:type="dxa"/>
                </w:tcPr>
                <w:p w:rsidR="004F72B4" w:rsidRPr="000F3062" w:rsidRDefault="004F72B4" w:rsidP="007B0B6B">
                  <w:pPr>
                    <w:pStyle w:val="DocStatus"/>
                    <w:rPr>
                      <w:rFonts w:cs="Arial"/>
                      <w:szCs w:val="16"/>
                      <w:lang w:val="en-AU"/>
                    </w:rPr>
                  </w:pPr>
                  <w:r w:rsidRPr="000F3062">
                    <w:rPr>
                      <w:rFonts w:cs="Arial"/>
                      <w:szCs w:val="16"/>
                      <w:lang w:val="en-AU"/>
                    </w:rPr>
                    <w:t>A</w:t>
                  </w:r>
                </w:p>
              </w:tc>
              <w:tc>
                <w:tcPr>
                  <w:tcW w:w="1300" w:type="dxa"/>
                </w:tcPr>
                <w:p w:rsidR="004F72B4" w:rsidRPr="000F3062" w:rsidRDefault="0063698D" w:rsidP="007B0B6B">
                  <w:pPr>
                    <w:pStyle w:val="DocStatus"/>
                    <w:rPr>
                      <w:rFonts w:cs="Arial"/>
                      <w:szCs w:val="16"/>
                      <w:lang w:val="en-AU"/>
                    </w:rPr>
                  </w:pPr>
                  <w:r>
                    <w:rPr>
                      <w:rFonts w:cs="Arial"/>
                      <w:szCs w:val="16"/>
                      <w:lang w:val="en-AU"/>
                    </w:rPr>
                    <w:t>20/01/14</w:t>
                  </w:r>
                </w:p>
              </w:tc>
              <w:tc>
                <w:tcPr>
                  <w:tcW w:w="1701" w:type="dxa"/>
                </w:tcPr>
                <w:p w:rsidR="004F72B4" w:rsidRPr="000F3062" w:rsidRDefault="000B3A99" w:rsidP="007B0B6B">
                  <w:pPr>
                    <w:pStyle w:val="DocStatus"/>
                    <w:rPr>
                      <w:rFonts w:cs="Arial"/>
                      <w:szCs w:val="16"/>
                      <w:lang w:val="en-AU"/>
                    </w:rPr>
                  </w:pPr>
                  <w:r>
                    <w:rPr>
                      <w:rFonts w:cs="Arial"/>
                      <w:szCs w:val="16"/>
                      <w:lang w:val="en-AU"/>
                    </w:rPr>
                    <w:t>Craig Clifton</w:t>
                  </w:r>
                </w:p>
              </w:tc>
              <w:tc>
                <w:tcPr>
                  <w:tcW w:w="1559" w:type="dxa"/>
                </w:tcPr>
                <w:p w:rsidR="004F72B4" w:rsidRPr="000F3062" w:rsidRDefault="0063698D" w:rsidP="007B0B6B">
                  <w:pPr>
                    <w:pStyle w:val="DocStatus"/>
                    <w:rPr>
                      <w:rFonts w:cs="Arial"/>
                      <w:szCs w:val="16"/>
                      <w:lang w:val="en-AU"/>
                    </w:rPr>
                  </w:pPr>
                  <w:r>
                    <w:rPr>
                      <w:rFonts w:cs="Arial"/>
                      <w:szCs w:val="16"/>
                      <w:lang w:val="en-AU"/>
                    </w:rPr>
                    <w:t>Miles Yeates</w:t>
                  </w:r>
                </w:p>
              </w:tc>
              <w:tc>
                <w:tcPr>
                  <w:tcW w:w="1276" w:type="dxa"/>
                </w:tcPr>
                <w:p w:rsidR="004F72B4" w:rsidRPr="000F3062" w:rsidRDefault="0063698D" w:rsidP="007B0B6B">
                  <w:pPr>
                    <w:pStyle w:val="DocStatus"/>
                    <w:rPr>
                      <w:rFonts w:cs="Arial"/>
                      <w:szCs w:val="16"/>
                      <w:lang w:val="en-AU"/>
                    </w:rPr>
                  </w:pPr>
                  <w:r>
                    <w:rPr>
                      <w:rFonts w:cs="Arial"/>
                      <w:szCs w:val="16"/>
                      <w:lang w:val="en-AU"/>
                    </w:rPr>
                    <w:t>20/01/14</w:t>
                  </w:r>
                </w:p>
              </w:tc>
              <w:tc>
                <w:tcPr>
                  <w:tcW w:w="2551" w:type="dxa"/>
                </w:tcPr>
                <w:p w:rsidR="004F72B4" w:rsidRPr="000F3062" w:rsidRDefault="00702601" w:rsidP="007B0B6B">
                  <w:pPr>
                    <w:pStyle w:val="DocStatus"/>
                    <w:rPr>
                      <w:rFonts w:cs="Arial"/>
                      <w:szCs w:val="16"/>
                      <w:lang w:val="en-AU"/>
                    </w:rPr>
                  </w:pPr>
                  <w:r>
                    <w:rPr>
                      <w:rFonts w:cs="Arial"/>
                      <w:szCs w:val="16"/>
                      <w:lang w:val="en-AU"/>
                    </w:rPr>
                    <w:t>Draft</w:t>
                  </w:r>
                </w:p>
              </w:tc>
            </w:tr>
            <w:tr w:rsidR="004F72B4" w:rsidRPr="000F3062" w:rsidTr="0099152B">
              <w:tc>
                <w:tcPr>
                  <w:tcW w:w="1134" w:type="dxa"/>
                </w:tcPr>
                <w:p w:rsidR="004F72B4" w:rsidRPr="000F3062" w:rsidRDefault="0076634C" w:rsidP="007B0B6B">
                  <w:pPr>
                    <w:pStyle w:val="DocStatus"/>
                    <w:rPr>
                      <w:rFonts w:cs="Arial"/>
                      <w:szCs w:val="16"/>
                      <w:lang w:val="en-AU"/>
                    </w:rPr>
                  </w:pPr>
                  <w:r>
                    <w:rPr>
                      <w:rFonts w:cs="Arial"/>
                      <w:szCs w:val="16"/>
                      <w:lang w:val="en-AU"/>
                    </w:rPr>
                    <w:t>B</w:t>
                  </w:r>
                </w:p>
              </w:tc>
              <w:tc>
                <w:tcPr>
                  <w:tcW w:w="1300" w:type="dxa"/>
                </w:tcPr>
                <w:p w:rsidR="004F72B4" w:rsidRPr="000F3062" w:rsidRDefault="0076634C" w:rsidP="007B0B6B">
                  <w:pPr>
                    <w:pStyle w:val="DocStatus"/>
                    <w:rPr>
                      <w:rFonts w:cs="Arial"/>
                      <w:szCs w:val="16"/>
                      <w:lang w:val="en-AU"/>
                    </w:rPr>
                  </w:pPr>
                  <w:r>
                    <w:rPr>
                      <w:rFonts w:cs="Arial"/>
                      <w:szCs w:val="16"/>
                      <w:lang w:val="en-AU"/>
                    </w:rPr>
                    <w:t>23/01/14</w:t>
                  </w:r>
                </w:p>
              </w:tc>
              <w:tc>
                <w:tcPr>
                  <w:tcW w:w="1701" w:type="dxa"/>
                </w:tcPr>
                <w:p w:rsidR="004F72B4" w:rsidRPr="000F3062" w:rsidRDefault="0076634C" w:rsidP="007B0B6B">
                  <w:pPr>
                    <w:pStyle w:val="DocStatus"/>
                    <w:rPr>
                      <w:rFonts w:cs="Arial"/>
                      <w:szCs w:val="16"/>
                      <w:lang w:val="en-AU"/>
                    </w:rPr>
                  </w:pPr>
                  <w:r>
                    <w:rPr>
                      <w:rFonts w:cs="Arial"/>
                      <w:szCs w:val="16"/>
                      <w:lang w:val="en-AU"/>
                    </w:rPr>
                    <w:t>Gavin Elphinstone</w:t>
                  </w:r>
                </w:p>
              </w:tc>
              <w:tc>
                <w:tcPr>
                  <w:tcW w:w="1559" w:type="dxa"/>
                </w:tcPr>
                <w:p w:rsidR="004F72B4" w:rsidRPr="000F3062" w:rsidRDefault="0076634C" w:rsidP="007B0B6B">
                  <w:pPr>
                    <w:pStyle w:val="DocStatus"/>
                    <w:rPr>
                      <w:rFonts w:cs="Arial"/>
                      <w:szCs w:val="16"/>
                      <w:lang w:val="en-AU"/>
                    </w:rPr>
                  </w:pPr>
                  <w:r>
                    <w:rPr>
                      <w:rFonts w:cs="Arial"/>
                      <w:szCs w:val="16"/>
                      <w:lang w:val="en-AU"/>
                    </w:rPr>
                    <w:t>Miles Yeates</w:t>
                  </w:r>
                </w:p>
              </w:tc>
              <w:tc>
                <w:tcPr>
                  <w:tcW w:w="1276" w:type="dxa"/>
                </w:tcPr>
                <w:p w:rsidR="004F72B4" w:rsidRPr="000F3062" w:rsidRDefault="0076634C" w:rsidP="007B0B6B">
                  <w:pPr>
                    <w:pStyle w:val="DocStatus"/>
                    <w:rPr>
                      <w:rFonts w:cs="Arial"/>
                      <w:szCs w:val="16"/>
                      <w:lang w:val="en-AU"/>
                    </w:rPr>
                  </w:pPr>
                  <w:r>
                    <w:rPr>
                      <w:rFonts w:cs="Arial"/>
                      <w:szCs w:val="16"/>
                      <w:lang w:val="en-AU"/>
                    </w:rPr>
                    <w:t>23/01/14</w:t>
                  </w:r>
                </w:p>
              </w:tc>
              <w:tc>
                <w:tcPr>
                  <w:tcW w:w="2551" w:type="dxa"/>
                </w:tcPr>
                <w:p w:rsidR="004F72B4" w:rsidRPr="000F3062" w:rsidRDefault="00AE6F5D" w:rsidP="007B0B6B">
                  <w:pPr>
                    <w:pStyle w:val="DocStatus"/>
                    <w:rPr>
                      <w:rFonts w:cs="Arial"/>
                      <w:szCs w:val="16"/>
                      <w:lang w:val="en-AU"/>
                    </w:rPr>
                  </w:pPr>
                  <w:r>
                    <w:rPr>
                      <w:rFonts w:cs="Arial"/>
                      <w:szCs w:val="16"/>
                      <w:lang w:val="en-AU"/>
                    </w:rPr>
                    <w:t xml:space="preserve">Revised </w:t>
                  </w:r>
                  <w:r w:rsidR="0076634C">
                    <w:rPr>
                      <w:rFonts w:cs="Arial"/>
                      <w:szCs w:val="16"/>
                      <w:lang w:val="en-AU"/>
                    </w:rPr>
                    <w:t>Draft</w:t>
                  </w:r>
                </w:p>
              </w:tc>
            </w:tr>
            <w:tr w:rsidR="004F72B4" w:rsidRPr="000F3062" w:rsidTr="0099152B">
              <w:tc>
                <w:tcPr>
                  <w:tcW w:w="1134" w:type="dxa"/>
                  <w:shd w:val="clear" w:color="auto" w:fill="auto"/>
                </w:tcPr>
                <w:p w:rsidR="004F72B4" w:rsidRPr="000F3062" w:rsidRDefault="00B64EF1" w:rsidP="007B0B6B">
                  <w:pPr>
                    <w:pStyle w:val="DocStatus"/>
                    <w:rPr>
                      <w:rFonts w:cs="Arial"/>
                      <w:szCs w:val="16"/>
                      <w:lang w:val="en-AU"/>
                    </w:rPr>
                  </w:pPr>
                  <w:r>
                    <w:rPr>
                      <w:rFonts w:cs="Arial"/>
                      <w:szCs w:val="16"/>
                      <w:lang w:val="en-AU"/>
                    </w:rPr>
                    <w:t>C</w:t>
                  </w:r>
                </w:p>
              </w:tc>
              <w:tc>
                <w:tcPr>
                  <w:tcW w:w="1300" w:type="dxa"/>
                  <w:shd w:val="clear" w:color="auto" w:fill="auto"/>
                </w:tcPr>
                <w:p w:rsidR="004F72B4" w:rsidRPr="000F3062" w:rsidRDefault="00B64EF1" w:rsidP="007B0B6B">
                  <w:pPr>
                    <w:pStyle w:val="DocStatus"/>
                    <w:rPr>
                      <w:rFonts w:cs="Arial"/>
                      <w:szCs w:val="16"/>
                      <w:lang w:val="en-AU"/>
                    </w:rPr>
                  </w:pPr>
                  <w:r>
                    <w:rPr>
                      <w:rFonts w:cs="Arial"/>
                      <w:szCs w:val="16"/>
                      <w:lang w:val="en-AU"/>
                    </w:rPr>
                    <w:t>24/01/14</w:t>
                  </w:r>
                </w:p>
              </w:tc>
              <w:tc>
                <w:tcPr>
                  <w:tcW w:w="1701" w:type="dxa"/>
                  <w:shd w:val="clear" w:color="auto" w:fill="auto"/>
                </w:tcPr>
                <w:p w:rsidR="004F72B4" w:rsidRPr="000F3062" w:rsidRDefault="00B64EF1" w:rsidP="007B0B6B">
                  <w:pPr>
                    <w:pStyle w:val="DocStatus"/>
                    <w:rPr>
                      <w:rFonts w:cs="Arial"/>
                      <w:szCs w:val="16"/>
                      <w:lang w:val="en-AU"/>
                    </w:rPr>
                  </w:pPr>
                  <w:r>
                    <w:rPr>
                      <w:rFonts w:cs="Arial"/>
                      <w:szCs w:val="16"/>
                      <w:lang w:val="en-AU"/>
                    </w:rPr>
                    <w:t>Miles Yeates</w:t>
                  </w:r>
                </w:p>
              </w:tc>
              <w:tc>
                <w:tcPr>
                  <w:tcW w:w="1559" w:type="dxa"/>
                  <w:shd w:val="clear" w:color="auto" w:fill="auto"/>
                </w:tcPr>
                <w:p w:rsidR="004F72B4" w:rsidRPr="000F3062" w:rsidRDefault="00B64EF1" w:rsidP="007B0B6B">
                  <w:pPr>
                    <w:pStyle w:val="DocStatus"/>
                    <w:rPr>
                      <w:rFonts w:cs="Arial"/>
                      <w:szCs w:val="16"/>
                      <w:lang w:val="en-AU"/>
                    </w:rPr>
                  </w:pPr>
                  <w:r>
                    <w:rPr>
                      <w:rFonts w:cs="Arial"/>
                      <w:szCs w:val="16"/>
                      <w:lang w:val="en-AU"/>
                    </w:rPr>
                    <w:t>Miles Yeates</w:t>
                  </w:r>
                </w:p>
              </w:tc>
              <w:tc>
                <w:tcPr>
                  <w:tcW w:w="1276" w:type="dxa"/>
                  <w:shd w:val="clear" w:color="auto" w:fill="auto"/>
                </w:tcPr>
                <w:p w:rsidR="004F72B4" w:rsidRPr="000F3062" w:rsidRDefault="00B64EF1" w:rsidP="007B0B6B">
                  <w:pPr>
                    <w:pStyle w:val="DocStatus"/>
                    <w:rPr>
                      <w:rFonts w:cs="Arial"/>
                      <w:szCs w:val="16"/>
                      <w:lang w:val="en-AU"/>
                    </w:rPr>
                  </w:pPr>
                  <w:r>
                    <w:rPr>
                      <w:rFonts w:cs="Arial"/>
                      <w:szCs w:val="16"/>
                      <w:lang w:val="en-AU"/>
                    </w:rPr>
                    <w:t>24/01/14</w:t>
                  </w:r>
                </w:p>
              </w:tc>
              <w:tc>
                <w:tcPr>
                  <w:tcW w:w="2551" w:type="dxa"/>
                </w:tcPr>
                <w:p w:rsidR="004F72B4" w:rsidRPr="000F3062" w:rsidRDefault="00B64EF1" w:rsidP="007B0B6B">
                  <w:pPr>
                    <w:pStyle w:val="DocStatus"/>
                    <w:rPr>
                      <w:rFonts w:cs="Arial"/>
                      <w:szCs w:val="16"/>
                      <w:lang w:val="en-AU"/>
                    </w:rPr>
                  </w:pPr>
                  <w:r>
                    <w:rPr>
                      <w:rFonts w:cs="Arial"/>
                      <w:szCs w:val="16"/>
                      <w:lang w:val="en-AU"/>
                    </w:rPr>
                    <w:t>Final Draft</w:t>
                  </w:r>
                </w:p>
              </w:tc>
            </w:tr>
            <w:tr w:rsidR="004F72B4" w:rsidRPr="000F3062" w:rsidTr="0099152B">
              <w:tc>
                <w:tcPr>
                  <w:tcW w:w="1134" w:type="dxa"/>
                  <w:shd w:val="clear" w:color="auto" w:fill="auto"/>
                </w:tcPr>
                <w:p w:rsidR="004F72B4" w:rsidRPr="000F3062" w:rsidRDefault="002C4C80" w:rsidP="007B0B6B">
                  <w:pPr>
                    <w:pStyle w:val="DocStatus"/>
                    <w:rPr>
                      <w:rFonts w:cs="Arial"/>
                      <w:szCs w:val="16"/>
                      <w:lang w:val="en-AU"/>
                    </w:rPr>
                  </w:pPr>
                  <w:r>
                    <w:rPr>
                      <w:rFonts w:cs="Arial"/>
                      <w:szCs w:val="16"/>
                      <w:lang w:val="en-AU"/>
                    </w:rPr>
                    <w:t>0</w:t>
                  </w:r>
                </w:p>
              </w:tc>
              <w:tc>
                <w:tcPr>
                  <w:tcW w:w="1300" w:type="dxa"/>
                  <w:shd w:val="clear" w:color="auto" w:fill="auto"/>
                </w:tcPr>
                <w:p w:rsidR="004F72B4" w:rsidRPr="000F3062" w:rsidRDefault="002C4C80" w:rsidP="007B0B6B">
                  <w:pPr>
                    <w:pStyle w:val="DocStatus"/>
                    <w:rPr>
                      <w:rFonts w:cs="Arial"/>
                      <w:szCs w:val="16"/>
                      <w:lang w:val="en-AU"/>
                    </w:rPr>
                  </w:pPr>
                  <w:r>
                    <w:rPr>
                      <w:rFonts w:cs="Arial"/>
                      <w:szCs w:val="16"/>
                      <w:lang w:val="en-AU"/>
                    </w:rPr>
                    <w:t>24/01/14</w:t>
                  </w:r>
                </w:p>
              </w:tc>
              <w:tc>
                <w:tcPr>
                  <w:tcW w:w="1701" w:type="dxa"/>
                  <w:shd w:val="clear" w:color="auto" w:fill="auto"/>
                </w:tcPr>
                <w:p w:rsidR="004F72B4" w:rsidRPr="000F3062" w:rsidRDefault="002C4C80" w:rsidP="007B0B6B">
                  <w:pPr>
                    <w:pStyle w:val="DocStatus"/>
                    <w:rPr>
                      <w:rFonts w:cs="Arial"/>
                      <w:szCs w:val="16"/>
                      <w:lang w:val="en-AU"/>
                    </w:rPr>
                  </w:pPr>
                  <w:r>
                    <w:rPr>
                      <w:rFonts w:cs="Arial"/>
                      <w:szCs w:val="16"/>
                      <w:lang w:val="en-AU"/>
                    </w:rPr>
                    <w:t>Department of the Environment</w:t>
                  </w:r>
                </w:p>
              </w:tc>
              <w:tc>
                <w:tcPr>
                  <w:tcW w:w="1559" w:type="dxa"/>
                  <w:shd w:val="clear" w:color="auto" w:fill="auto"/>
                </w:tcPr>
                <w:p w:rsidR="004F72B4" w:rsidRPr="000F3062" w:rsidRDefault="002C4C80" w:rsidP="007B0B6B">
                  <w:pPr>
                    <w:pStyle w:val="DocStatus"/>
                    <w:rPr>
                      <w:rFonts w:cs="Arial"/>
                      <w:szCs w:val="16"/>
                      <w:lang w:val="en-AU"/>
                    </w:rPr>
                  </w:pPr>
                  <w:r>
                    <w:rPr>
                      <w:rFonts w:cs="Arial"/>
                      <w:szCs w:val="16"/>
                      <w:lang w:val="en-AU"/>
                    </w:rPr>
                    <w:t>Miles Yeates</w:t>
                  </w:r>
                </w:p>
              </w:tc>
              <w:tc>
                <w:tcPr>
                  <w:tcW w:w="1276" w:type="dxa"/>
                  <w:shd w:val="clear" w:color="auto" w:fill="auto"/>
                </w:tcPr>
                <w:p w:rsidR="004F72B4" w:rsidRPr="000F3062" w:rsidRDefault="002C4C80" w:rsidP="007B0B6B">
                  <w:pPr>
                    <w:pStyle w:val="DocStatus"/>
                    <w:rPr>
                      <w:rFonts w:cs="Arial"/>
                      <w:szCs w:val="16"/>
                      <w:lang w:val="en-AU"/>
                    </w:rPr>
                  </w:pPr>
                  <w:r>
                    <w:rPr>
                      <w:rFonts w:cs="Arial"/>
                      <w:szCs w:val="16"/>
                      <w:lang w:val="en-AU"/>
                    </w:rPr>
                    <w:t>24/01/14</w:t>
                  </w:r>
                </w:p>
              </w:tc>
              <w:tc>
                <w:tcPr>
                  <w:tcW w:w="2551" w:type="dxa"/>
                </w:tcPr>
                <w:p w:rsidR="004F72B4" w:rsidRPr="000F3062" w:rsidRDefault="002C4C80" w:rsidP="007B0B6B">
                  <w:pPr>
                    <w:pStyle w:val="DocStatus"/>
                    <w:rPr>
                      <w:rFonts w:cs="Arial"/>
                      <w:szCs w:val="16"/>
                      <w:lang w:val="en-AU"/>
                    </w:rPr>
                  </w:pPr>
                  <w:r>
                    <w:rPr>
                      <w:rFonts w:cs="Arial"/>
                      <w:szCs w:val="16"/>
                      <w:lang w:val="en-AU"/>
                    </w:rPr>
                    <w:t>Draft for client comment</w:t>
                  </w:r>
                </w:p>
              </w:tc>
            </w:tr>
            <w:tr w:rsidR="008C7923" w:rsidRPr="000F3062" w:rsidTr="0099152B">
              <w:tc>
                <w:tcPr>
                  <w:tcW w:w="1134" w:type="dxa"/>
                  <w:shd w:val="clear" w:color="auto" w:fill="auto"/>
                </w:tcPr>
                <w:p w:rsidR="008C7923" w:rsidRDefault="00880A76" w:rsidP="007B0B6B">
                  <w:pPr>
                    <w:pStyle w:val="DocStatus"/>
                    <w:rPr>
                      <w:rFonts w:cs="Arial"/>
                      <w:szCs w:val="16"/>
                      <w:lang w:val="en-AU"/>
                    </w:rPr>
                  </w:pPr>
                  <w:r>
                    <w:rPr>
                      <w:rFonts w:cs="Arial"/>
                      <w:szCs w:val="16"/>
                      <w:lang w:val="en-AU"/>
                    </w:rPr>
                    <w:t>1</w:t>
                  </w:r>
                </w:p>
              </w:tc>
              <w:tc>
                <w:tcPr>
                  <w:tcW w:w="1300" w:type="dxa"/>
                  <w:shd w:val="clear" w:color="auto" w:fill="auto"/>
                </w:tcPr>
                <w:p w:rsidR="008C7923" w:rsidRDefault="00880A76" w:rsidP="007B0B6B">
                  <w:pPr>
                    <w:pStyle w:val="DocStatus"/>
                    <w:rPr>
                      <w:rFonts w:cs="Arial"/>
                      <w:szCs w:val="16"/>
                      <w:lang w:val="en-AU"/>
                    </w:rPr>
                  </w:pPr>
                  <w:r>
                    <w:rPr>
                      <w:rFonts w:cs="Arial"/>
                      <w:szCs w:val="16"/>
                      <w:lang w:val="en-AU"/>
                    </w:rPr>
                    <w:t>31/01/14</w:t>
                  </w:r>
                </w:p>
              </w:tc>
              <w:tc>
                <w:tcPr>
                  <w:tcW w:w="1701" w:type="dxa"/>
                  <w:shd w:val="clear" w:color="auto" w:fill="auto"/>
                </w:tcPr>
                <w:p w:rsidR="008C7923" w:rsidRDefault="00880A76" w:rsidP="007B0B6B">
                  <w:pPr>
                    <w:pStyle w:val="DocStatus"/>
                    <w:rPr>
                      <w:rFonts w:cs="Arial"/>
                      <w:szCs w:val="16"/>
                      <w:lang w:val="en-AU"/>
                    </w:rPr>
                  </w:pPr>
                  <w:r>
                    <w:rPr>
                      <w:rFonts w:cs="Arial"/>
                      <w:szCs w:val="16"/>
                      <w:lang w:val="en-AU"/>
                    </w:rPr>
                    <w:t>Department of the Environment</w:t>
                  </w:r>
                </w:p>
              </w:tc>
              <w:tc>
                <w:tcPr>
                  <w:tcW w:w="1559" w:type="dxa"/>
                  <w:shd w:val="clear" w:color="auto" w:fill="auto"/>
                </w:tcPr>
                <w:p w:rsidR="008C7923" w:rsidRDefault="00880A76" w:rsidP="007B0B6B">
                  <w:pPr>
                    <w:pStyle w:val="DocStatus"/>
                    <w:rPr>
                      <w:rFonts w:cs="Arial"/>
                      <w:szCs w:val="16"/>
                      <w:lang w:val="en-AU"/>
                    </w:rPr>
                  </w:pPr>
                  <w:r>
                    <w:rPr>
                      <w:rFonts w:cs="Arial"/>
                      <w:szCs w:val="16"/>
                      <w:lang w:val="en-AU"/>
                    </w:rPr>
                    <w:t>Miles Yeates</w:t>
                  </w:r>
                </w:p>
              </w:tc>
              <w:tc>
                <w:tcPr>
                  <w:tcW w:w="1276" w:type="dxa"/>
                  <w:shd w:val="clear" w:color="auto" w:fill="auto"/>
                </w:tcPr>
                <w:p w:rsidR="008C7923" w:rsidRDefault="00880A76" w:rsidP="007B0B6B">
                  <w:pPr>
                    <w:pStyle w:val="DocStatus"/>
                    <w:rPr>
                      <w:rFonts w:cs="Arial"/>
                      <w:szCs w:val="16"/>
                      <w:lang w:val="en-AU"/>
                    </w:rPr>
                  </w:pPr>
                  <w:r>
                    <w:rPr>
                      <w:rFonts w:cs="Arial"/>
                      <w:szCs w:val="16"/>
                      <w:lang w:val="en-AU"/>
                    </w:rPr>
                    <w:t>31/01/14</w:t>
                  </w:r>
                </w:p>
              </w:tc>
              <w:tc>
                <w:tcPr>
                  <w:tcW w:w="2551" w:type="dxa"/>
                </w:tcPr>
                <w:p w:rsidR="008C7923" w:rsidRDefault="00880A76" w:rsidP="007B0B6B">
                  <w:pPr>
                    <w:pStyle w:val="DocStatus"/>
                    <w:rPr>
                      <w:rFonts w:cs="Arial"/>
                      <w:szCs w:val="16"/>
                      <w:lang w:val="en-AU"/>
                    </w:rPr>
                  </w:pPr>
                  <w:r>
                    <w:rPr>
                      <w:rFonts w:cs="Arial"/>
                      <w:szCs w:val="16"/>
                      <w:lang w:val="en-AU"/>
                    </w:rPr>
                    <w:t>Final</w:t>
                  </w:r>
                </w:p>
              </w:tc>
            </w:tr>
            <w:tr w:rsidR="00C47949" w:rsidRPr="000F3062" w:rsidTr="0099152B">
              <w:tc>
                <w:tcPr>
                  <w:tcW w:w="1134" w:type="dxa"/>
                  <w:shd w:val="clear" w:color="auto" w:fill="auto"/>
                </w:tcPr>
                <w:p w:rsidR="00C47949" w:rsidRDefault="00C47949" w:rsidP="007B0B6B">
                  <w:pPr>
                    <w:pStyle w:val="DocStatus"/>
                    <w:rPr>
                      <w:rFonts w:cs="Arial"/>
                      <w:szCs w:val="16"/>
                      <w:lang w:val="en-AU"/>
                    </w:rPr>
                  </w:pPr>
                  <w:r>
                    <w:rPr>
                      <w:rFonts w:cs="Arial"/>
                      <w:szCs w:val="16"/>
                      <w:lang w:val="en-AU"/>
                    </w:rPr>
                    <w:t>1.1</w:t>
                  </w:r>
                </w:p>
              </w:tc>
              <w:tc>
                <w:tcPr>
                  <w:tcW w:w="1300" w:type="dxa"/>
                  <w:shd w:val="clear" w:color="auto" w:fill="auto"/>
                </w:tcPr>
                <w:p w:rsidR="00C47949" w:rsidRDefault="00C47949" w:rsidP="007B0B6B">
                  <w:pPr>
                    <w:pStyle w:val="DocStatus"/>
                    <w:rPr>
                      <w:rFonts w:cs="Arial"/>
                      <w:szCs w:val="16"/>
                      <w:lang w:val="en-AU"/>
                    </w:rPr>
                  </w:pPr>
                  <w:r>
                    <w:rPr>
                      <w:rFonts w:cs="Arial"/>
                      <w:szCs w:val="16"/>
                      <w:lang w:val="en-AU"/>
                    </w:rPr>
                    <w:t>03/02/14</w:t>
                  </w:r>
                </w:p>
              </w:tc>
              <w:tc>
                <w:tcPr>
                  <w:tcW w:w="1701" w:type="dxa"/>
                  <w:shd w:val="clear" w:color="auto" w:fill="auto"/>
                </w:tcPr>
                <w:p w:rsidR="00C47949" w:rsidRDefault="00C47949" w:rsidP="00233787">
                  <w:pPr>
                    <w:pStyle w:val="DocStatus"/>
                    <w:rPr>
                      <w:rFonts w:cs="Arial"/>
                      <w:szCs w:val="16"/>
                      <w:lang w:val="en-AU"/>
                    </w:rPr>
                  </w:pPr>
                  <w:r>
                    <w:rPr>
                      <w:rFonts w:cs="Arial"/>
                      <w:szCs w:val="16"/>
                      <w:lang w:val="en-AU"/>
                    </w:rPr>
                    <w:t>Department of the Environment</w:t>
                  </w:r>
                </w:p>
              </w:tc>
              <w:tc>
                <w:tcPr>
                  <w:tcW w:w="1559" w:type="dxa"/>
                  <w:shd w:val="clear" w:color="auto" w:fill="auto"/>
                </w:tcPr>
                <w:p w:rsidR="00C47949" w:rsidRDefault="00C47949" w:rsidP="00233787">
                  <w:pPr>
                    <w:pStyle w:val="DocStatus"/>
                    <w:rPr>
                      <w:rFonts w:cs="Arial"/>
                      <w:szCs w:val="16"/>
                      <w:lang w:val="en-AU"/>
                    </w:rPr>
                  </w:pPr>
                  <w:r>
                    <w:rPr>
                      <w:rFonts w:cs="Arial"/>
                      <w:szCs w:val="16"/>
                      <w:lang w:val="en-AU"/>
                    </w:rPr>
                    <w:t>Miles Yeates</w:t>
                  </w:r>
                </w:p>
              </w:tc>
              <w:tc>
                <w:tcPr>
                  <w:tcW w:w="1276" w:type="dxa"/>
                  <w:shd w:val="clear" w:color="auto" w:fill="auto"/>
                </w:tcPr>
                <w:p w:rsidR="00C47949" w:rsidRDefault="00C47949" w:rsidP="00233787">
                  <w:pPr>
                    <w:pStyle w:val="DocStatus"/>
                    <w:rPr>
                      <w:rFonts w:cs="Arial"/>
                      <w:szCs w:val="16"/>
                      <w:lang w:val="en-AU"/>
                    </w:rPr>
                  </w:pPr>
                  <w:r>
                    <w:rPr>
                      <w:rFonts w:cs="Arial"/>
                      <w:szCs w:val="16"/>
                      <w:lang w:val="en-AU"/>
                    </w:rPr>
                    <w:t>03/02/14</w:t>
                  </w:r>
                </w:p>
              </w:tc>
              <w:tc>
                <w:tcPr>
                  <w:tcW w:w="2551" w:type="dxa"/>
                </w:tcPr>
                <w:p w:rsidR="00C47949" w:rsidRDefault="00C47949" w:rsidP="00233787">
                  <w:pPr>
                    <w:pStyle w:val="DocStatus"/>
                    <w:rPr>
                      <w:rFonts w:cs="Arial"/>
                      <w:szCs w:val="16"/>
                      <w:lang w:val="en-AU"/>
                    </w:rPr>
                  </w:pPr>
                  <w:r>
                    <w:rPr>
                      <w:rFonts w:cs="Arial"/>
                      <w:szCs w:val="16"/>
                      <w:lang w:val="en-AU"/>
                    </w:rPr>
                    <w:t>Revised Final</w:t>
                  </w:r>
                </w:p>
              </w:tc>
            </w:tr>
          </w:tbl>
          <w:p w:rsidR="007B0B6B" w:rsidRDefault="007B0B6B" w:rsidP="004F72B4">
            <w:pPr>
              <w:pStyle w:val="Tabletext"/>
            </w:pPr>
          </w:p>
          <w:p w:rsidR="004F72B4" w:rsidRPr="000F3062" w:rsidRDefault="004F72B4" w:rsidP="004F72B4">
            <w:pPr>
              <w:pStyle w:val="Tabletext"/>
            </w:pPr>
            <w:r w:rsidRPr="000F3062">
              <w:t>Distribution of copies</w:t>
            </w:r>
          </w:p>
          <w:tbl>
            <w:tblPr>
              <w:tblW w:w="0" w:type="auto"/>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left w:w="113" w:type="dxa"/>
                <w:right w:w="113" w:type="dxa"/>
              </w:tblCellMar>
              <w:tblLook w:val="0000" w:firstRow="0" w:lastRow="0" w:firstColumn="0" w:lastColumn="0" w:noHBand="0" w:noVBand="0"/>
            </w:tblPr>
            <w:tblGrid>
              <w:gridCol w:w="1061"/>
              <w:gridCol w:w="1771"/>
              <w:gridCol w:w="1451"/>
              <w:gridCol w:w="3679"/>
              <w:gridCol w:w="1559"/>
            </w:tblGrid>
            <w:tr w:rsidR="004F72B4" w:rsidRPr="000F3062" w:rsidTr="00DD7C6F">
              <w:trPr>
                <w:trHeight w:val="260"/>
              </w:trPr>
              <w:tc>
                <w:tcPr>
                  <w:tcW w:w="1061" w:type="dxa"/>
                  <w:shd w:val="pct12" w:color="000000" w:fill="auto"/>
                  <w:vAlign w:val="center"/>
                </w:tcPr>
                <w:p w:rsidR="004F72B4" w:rsidRPr="000F3062" w:rsidRDefault="004F72B4" w:rsidP="00DD7C6F">
                  <w:pPr>
                    <w:pStyle w:val="DocStatusH"/>
                    <w:rPr>
                      <w:rFonts w:cs="Arial"/>
                      <w:szCs w:val="16"/>
                      <w:lang w:val="en-AU"/>
                    </w:rPr>
                  </w:pPr>
                  <w:r w:rsidRPr="000F3062">
                    <w:rPr>
                      <w:rFonts w:cs="Arial"/>
                      <w:szCs w:val="16"/>
                      <w:lang w:val="en-AU"/>
                    </w:rPr>
                    <w:t>Revision</w:t>
                  </w:r>
                </w:p>
              </w:tc>
              <w:tc>
                <w:tcPr>
                  <w:tcW w:w="1771" w:type="dxa"/>
                  <w:shd w:val="pct12" w:color="000000" w:fill="auto"/>
                  <w:vAlign w:val="center"/>
                </w:tcPr>
                <w:p w:rsidR="004F72B4" w:rsidRPr="000F3062" w:rsidRDefault="004F72B4" w:rsidP="00DD7C6F">
                  <w:pPr>
                    <w:pStyle w:val="DocStatusH"/>
                    <w:rPr>
                      <w:rFonts w:cs="Arial"/>
                      <w:szCs w:val="16"/>
                      <w:lang w:val="en-AU"/>
                    </w:rPr>
                  </w:pPr>
                  <w:r w:rsidRPr="000F3062">
                    <w:rPr>
                      <w:rFonts w:cs="Arial"/>
                      <w:szCs w:val="16"/>
                      <w:lang w:val="en-AU"/>
                    </w:rPr>
                    <w:t>Copy no</w:t>
                  </w:r>
                </w:p>
              </w:tc>
              <w:tc>
                <w:tcPr>
                  <w:tcW w:w="1451" w:type="dxa"/>
                  <w:shd w:val="pct12" w:color="000000" w:fill="auto"/>
                  <w:vAlign w:val="center"/>
                </w:tcPr>
                <w:p w:rsidR="004F72B4" w:rsidRPr="000F3062" w:rsidRDefault="004F72B4" w:rsidP="00DD7C6F">
                  <w:pPr>
                    <w:pStyle w:val="DocStatusH"/>
                    <w:rPr>
                      <w:rFonts w:cs="Arial"/>
                      <w:szCs w:val="16"/>
                      <w:lang w:val="en-AU"/>
                    </w:rPr>
                  </w:pPr>
                  <w:r w:rsidRPr="000F3062">
                    <w:rPr>
                      <w:rFonts w:cs="Arial"/>
                      <w:szCs w:val="16"/>
                      <w:lang w:val="en-AU"/>
                    </w:rPr>
                    <w:t>Quantity</w:t>
                  </w:r>
                </w:p>
              </w:tc>
              <w:tc>
                <w:tcPr>
                  <w:tcW w:w="3679" w:type="dxa"/>
                  <w:shd w:val="pct12" w:color="000000" w:fill="auto"/>
                  <w:vAlign w:val="center"/>
                </w:tcPr>
                <w:p w:rsidR="004F72B4" w:rsidRPr="000F3062" w:rsidRDefault="004F72B4" w:rsidP="00DD7C6F">
                  <w:pPr>
                    <w:pStyle w:val="DocStatusH"/>
                    <w:rPr>
                      <w:rFonts w:cs="Arial"/>
                      <w:szCs w:val="16"/>
                      <w:lang w:val="en-AU"/>
                    </w:rPr>
                  </w:pPr>
                  <w:r w:rsidRPr="000F3062">
                    <w:rPr>
                      <w:rFonts w:cs="Arial"/>
                      <w:szCs w:val="16"/>
                      <w:lang w:val="en-AU"/>
                    </w:rPr>
                    <w:t>Issued to</w:t>
                  </w:r>
                </w:p>
              </w:tc>
              <w:tc>
                <w:tcPr>
                  <w:tcW w:w="1559" w:type="dxa"/>
                  <w:shd w:val="pct12" w:color="000000" w:fill="auto"/>
                </w:tcPr>
                <w:p w:rsidR="004F72B4" w:rsidRPr="000F3062" w:rsidRDefault="004F72B4" w:rsidP="00DD7C6F">
                  <w:pPr>
                    <w:pStyle w:val="DocStatusH"/>
                    <w:rPr>
                      <w:rFonts w:cs="Arial"/>
                      <w:szCs w:val="16"/>
                      <w:lang w:val="en-AU"/>
                    </w:rPr>
                  </w:pPr>
                  <w:r w:rsidRPr="000F3062">
                    <w:rPr>
                      <w:rFonts w:cs="Arial"/>
                      <w:szCs w:val="16"/>
                      <w:lang w:val="en-AU"/>
                    </w:rPr>
                    <w:t>Date</w:t>
                  </w:r>
                </w:p>
              </w:tc>
            </w:tr>
            <w:tr w:rsidR="004F72B4" w:rsidRPr="000F3062" w:rsidTr="00DD7C6F">
              <w:tc>
                <w:tcPr>
                  <w:tcW w:w="1061" w:type="dxa"/>
                </w:tcPr>
                <w:p w:rsidR="004F72B4" w:rsidRPr="000F3062" w:rsidRDefault="00702601" w:rsidP="00DD7C6F">
                  <w:pPr>
                    <w:pStyle w:val="DocStatus"/>
                    <w:rPr>
                      <w:rFonts w:cs="Arial"/>
                      <w:szCs w:val="16"/>
                      <w:lang w:val="en-AU"/>
                    </w:rPr>
                  </w:pPr>
                  <w:r>
                    <w:rPr>
                      <w:rFonts w:cs="Arial"/>
                      <w:szCs w:val="16"/>
                      <w:lang w:val="en-AU"/>
                    </w:rPr>
                    <w:t>A</w:t>
                  </w:r>
                </w:p>
              </w:tc>
              <w:tc>
                <w:tcPr>
                  <w:tcW w:w="1771" w:type="dxa"/>
                </w:tcPr>
                <w:p w:rsidR="004F72B4" w:rsidRPr="000F3062" w:rsidRDefault="00702601" w:rsidP="00DD7C6F">
                  <w:pPr>
                    <w:pStyle w:val="DocStatus"/>
                    <w:rPr>
                      <w:rFonts w:cs="Arial"/>
                      <w:szCs w:val="16"/>
                      <w:lang w:val="en-AU"/>
                    </w:rPr>
                  </w:pPr>
                  <w:r>
                    <w:rPr>
                      <w:rFonts w:cs="Arial"/>
                      <w:szCs w:val="16"/>
                      <w:lang w:val="en-AU"/>
                    </w:rPr>
                    <w:t>1</w:t>
                  </w:r>
                </w:p>
              </w:tc>
              <w:tc>
                <w:tcPr>
                  <w:tcW w:w="1451" w:type="dxa"/>
                </w:tcPr>
                <w:p w:rsidR="004F72B4" w:rsidRPr="000F3062" w:rsidRDefault="00702601" w:rsidP="00DD7C6F">
                  <w:pPr>
                    <w:pStyle w:val="DocStatus"/>
                    <w:rPr>
                      <w:rFonts w:cs="Arial"/>
                      <w:szCs w:val="16"/>
                      <w:lang w:val="en-AU"/>
                    </w:rPr>
                  </w:pPr>
                  <w:r>
                    <w:rPr>
                      <w:rFonts w:cs="Arial"/>
                      <w:szCs w:val="16"/>
                      <w:lang w:val="en-AU"/>
                    </w:rPr>
                    <w:t>1</w:t>
                  </w:r>
                </w:p>
              </w:tc>
              <w:tc>
                <w:tcPr>
                  <w:tcW w:w="3679" w:type="dxa"/>
                </w:tcPr>
                <w:p w:rsidR="004F72B4" w:rsidRPr="000F3062" w:rsidRDefault="00702601" w:rsidP="00DD7C6F">
                  <w:pPr>
                    <w:pStyle w:val="DocStatus"/>
                    <w:rPr>
                      <w:rFonts w:cs="Arial"/>
                      <w:szCs w:val="16"/>
                      <w:lang w:val="en-AU"/>
                    </w:rPr>
                  </w:pPr>
                  <w:r>
                    <w:rPr>
                      <w:rFonts w:cs="Arial"/>
                      <w:szCs w:val="16"/>
                      <w:lang w:val="en-AU"/>
                    </w:rPr>
                    <w:t>C. Clifton (technical reviewer)</w:t>
                  </w:r>
                </w:p>
              </w:tc>
              <w:tc>
                <w:tcPr>
                  <w:tcW w:w="1559" w:type="dxa"/>
                </w:tcPr>
                <w:p w:rsidR="004F72B4" w:rsidRPr="000F3062" w:rsidRDefault="0076634C" w:rsidP="00DD7C6F">
                  <w:pPr>
                    <w:pStyle w:val="DocStatus"/>
                    <w:rPr>
                      <w:rFonts w:cs="Arial"/>
                      <w:szCs w:val="16"/>
                      <w:lang w:val="en-AU"/>
                    </w:rPr>
                  </w:pPr>
                  <w:r>
                    <w:rPr>
                      <w:rFonts w:cs="Arial"/>
                      <w:szCs w:val="16"/>
                      <w:lang w:val="en-AU"/>
                    </w:rPr>
                    <w:t>20/01/14</w:t>
                  </w:r>
                </w:p>
              </w:tc>
            </w:tr>
            <w:tr w:rsidR="004F72B4" w:rsidRPr="000F3062" w:rsidTr="00DD7C6F">
              <w:tc>
                <w:tcPr>
                  <w:tcW w:w="1061" w:type="dxa"/>
                </w:tcPr>
                <w:p w:rsidR="004F72B4" w:rsidRPr="000F3062" w:rsidRDefault="0076634C" w:rsidP="00DD7C6F">
                  <w:pPr>
                    <w:pStyle w:val="DocStatus"/>
                    <w:rPr>
                      <w:rFonts w:cs="Arial"/>
                      <w:szCs w:val="16"/>
                      <w:lang w:val="en-AU"/>
                    </w:rPr>
                  </w:pPr>
                  <w:r>
                    <w:rPr>
                      <w:rFonts w:cs="Arial"/>
                      <w:szCs w:val="16"/>
                      <w:lang w:val="en-AU"/>
                    </w:rPr>
                    <w:t>B</w:t>
                  </w:r>
                </w:p>
              </w:tc>
              <w:tc>
                <w:tcPr>
                  <w:tcW w:w="1771" w:type="dxa"/>
                </w:tcPr>
                <w:p w:rsidR="004F72B4" w:rsidRPr="000F3062" w:rsidRDefault="0076634C" w:rsidP="00DD7C6F">
                  <w:pPr>
                    <w:pStyle w:val="DocStatus"/>
                    <w:rPr>
                      <w:rFonts w:cs="Arial"/>
                      <w:szCs w:val="16"/>
                      <w:lang w:val="en-AU"/>
                    </w:rPr>
                  </w:pPr>
                  <w:r>
                    <w:rPr>
                      <w:rFonts w:cs="Arial"/>
                      <w:szCs w:val="16"/>
                      <w:lang w:val="en-AU"/>
                    </w:rPr>
                    <w:t>1</w:t>
                  </w:r>
                </w:p>
              </w:tc>
              <w:tc>
                <w:tcPr>
                  <w:tcW w:w="1451" w:type="dxa"/>
                </w:tcPr>
                <w:p w:rsidR="004F72B4" w:rsidRPr="000F3062" w:rsidRDefault="0076634C" w:rsidP="00DD7C6F">
                  <w:pPr>
                    <w:pStyle w:val="DocStatus"/>
                    <w:rPr>
                      <w:rFonts w:cs="Arial"/>
                      <w:szCs w:val="16"/>
                      <w:lang w:val="en-AU"/>
                    </w:rPr>
                  </w:pPr>
                  <w:r>
                    <w:rPr>
                      <w:rFonts w:cs="Arial"/>
                      <w:szCs w:val="16"/>
                      <w:lang w:val="en-AU"/>
                    </w:rPr>
                    <w:t>1</w:t>
                  </w:r>
                </w:p>
              </w:tc>
              <w:tc>
                <w:tcPr>
                  <w:tcW w:w="3679" w:type="dxa"/>
                  <w:shd w:val="clear" w:color="auto" w:fill="auto"/>
                </w:tcPr>
                <w:p w:rsidR="004F72B4" w:rsidRPr="000F3062" w:rsidRDefault="0076634C" w:rsidP="00DD7C6F">
                  <w:pPr>
                    <w:pStyle w:val="DocStatus"/>
                    <w:rPr>
                      <w:rFonts w:cs="Arial"/>
                      <w:szCs w:val="16"/>
                      <w:lang w:val="en-AU"/>
                    </w:rPr>
                  </w:pPr>
                  <w:r>
                    <w:rPr>
                      <w:rFonts w:cs="Arial"/>
                      <w:szCs w:val="16"/>
                      <w:lang w:val="en-AU"/>
                    </w:rPr>
                    <w:t>G. Elphinstone (project director)</w:t>
                  </w:r>
                </w:p>
              </w:tc>
              <w:tc>
                <w:tcPr>
                  <w:tcW w:w="1559" w:type="dxa"/>
                </w:tcPr>
                <w:p w:rsidR="004F72B4" w:rsidRPr="000F3062" w:rsidRDefault="0076634C" w:rsidP="00DD7C6F">
                  <w:pPr>
                    <w:pStyle w:val="DocStatus"/>
                    <w:rPr>
                      <w:rFonts w:cs="Arial"/>
                      <w:szCs w:val="16"/>
                      <w:lang w:val="en-AU"/>
                    </w:rPr>
                  </w:pPr>
                  <w:r>
                    <w:rPr>
                      <w:rFonts w:cs="Arial"/>
                      <w:szCs w:val="16"/>
                      <w:lang w:val="en-AU"/>
                    </w:rPr>
                    <w:t>23/01/1</w:t>
                  </w:r>
                  <w:r w:rsidR="00880A76">
                    <w:rPr>
                      <w:rFonts w:cs="Arial"/>
                      <w:szCs w:val="16"/>
                      <w:lang w:val="en-AU"/>
                    </w:rPr>
                    <w:t>4</w:t>
                  </w:r>
                </w:p>
              </w:tc>
            </w:tr>
            <w:tr w:rsidR="004F72B4" w:rsidRPr="000F3062" w:rsidTr="00DD7C6F">
              <w:trPr>
                <w:trHeight w:val="64"/>
              </w:trPr>
              <w:tc>
                <w:tcPr>
                  <w:tcW w:w="1061" w:type="dxa"/>
                </w:tcPr>
                <w:p w:rsidR="004F72B4" w:rsidRPr="000F3062" w:rsidRDefault="00AE6F5D" w:rsidP="00DD7C6F">
                  <w:pPr>
                    <w:pStyle w:val="DocStatus"/>
                    <w:rPr>
                      <w:rFonts w:cs="Arial"/>
                      <w:szCs w:val="16"/>
                      <w:lang w:val="en-AU"/>
                    </w:rPr>
                  </w:pPr>
                  <w:r>
                    <w:rPr>
                      <w:rFonts w:cs="Arial"/>
                      <w:szCs w:val="16"/>
                      <w:lang w:val="en-AU"/>
                    </w:rPr>
                    <w:t>C</w:t>
                  </w:r>
                </w:p>
              </w:tc>
              <w:tc>
                <w:tcPr>
                  <w:tcW w:w="1771" w:type="dxa"/>
                </w:tcPr>
                <w:p w:rsidR="004F72B4" w:rsidRPr="000F3062" w:rsidRDefault="00AE6F5D" w:rsidP="00DD7C6F">
                  <w:pPr>
                    <w:pStyle w:val="DocStatus"/>
                    <w:rPr>
                      <w:rFonts w:cs="Arial"/>
                      <w:szCs w:val="16"/>
                      <w:lang w:val="en-AU"/>
                    </w:rPr>
                  </w:pPr>
                  <w:r>
                    <w:rPr>
                      <w:rFonts w:cs="Arial"/>
                      <w:szCs w:val="16"/>
                      <w:lang w:val="en-AU"/>
                    </w:rPr>
                    <w:t>1</w:t>
                  </w:r>
                </w:p>
              </w:tc>
              <w:tc>
                <w:tcPr>
                  <w:tcW w:w="1451" w:type="dxa"/>
                </w:tcPr>
                <w:p w:rsidR="004F72B4" w:rsidRPr="000F3062" w:rsidRDefault="00AE6F5D" w:rsidP="00DD7C6F">
                  <w:pPr>
                    <w:pStyle w:val="DocStatus"/>
                    <w:rPr>
                      <w:rFonts w:cs="Arial"/>
                      <w:szCs w:val="16"/>
                      <w:lang w:val="en-AU"/>
                    </w:rPr>
                  </w:pPr>
                  <w:r>
                    <w:rPr>
                      <w:rFonts w:cs="Arial"/>
                      <w:szCs w:val="16"/>
                      <w:lang w:val="en-AU"/>
                    </w:rPr>
                    <w:t>1</w:t>
                  </w:r>
                </w:p>
              </w:tc>
              <w:tc>
                <w:tcPr>
                  <w:tcW w:w="3679" w:type="dxa"/>
                </w:tcPr>
                <w:p w:rsidR="004F72B4" w:rsidRPr="000F3062" w:rsidRDefault="00AE6F5D" w:rsidP="00DD7C6F">
                  <w:pPr>
                    <w:pStyle w:val="DocStatus"/>
                    <w:rPr>
                      <w:rFonts w:cs="Arial"/>
                      <w:szCs w:val="16"/>
                      <w:lang w:val="en-AU"/>
                    </w:rPr>
                  </w:pPr>
                  <w:r>
                    <w:rPr>
                      <w:rFonts w:cs="Arial"/>
                      <w:szCs w:val="16"/>
                      <w:lang w:val="en-AU"/>
                    </w:rPr>
                    <w:t>M. Yeates (project manager)</w:t>
                  </w:r>
                </w:p>
              </w:tc>
              <w:tc>
                <w:tcPr>
                  <w:tcW w:w="1559" w:type="dxa"/>
                </w:tcPr>
                <w:p w:rsidR="004F72B4" w:rsidRPr="000F3062" w:rsidRDefault="00AE6F5D" w:rsidP="00DD7C6F">
                  <w:pPr>
                    <w:pStyle w:val="DocStatus"/>
                    <w:rPr>
                      <w:rFonts w:cs="Arial"/>
                      <w:szCs w:val="16"/>
                      <w:lang w:val="en-AU"/>
                    </w:rPr>
                  </w:pPr>
                  <w:r>
                    <w:rPr>
                      <w:rFonts w:cs="Arial"/>
                      <w:szCs w:val="16"/>
                      <w:lang w:val="en-AU"/>
                    </w:rPr>
                    <w:t>24/01/14</w:t>
                  </w:r>
                </w:p>
              </w:tc>
            </w:tr>
            <w:tr w:rsidR="004F72B4" w:rsidRPr="000F3062" w:rsidTr="00DD7C6F">
              <w:tc>
                <w:tcPr>
                  <w:tcW w:w="1061" w:type="dxa"/>
                </w:tcPr>
                <w:p w:rsidR="004F72B4" w:rsidRPr="000F3062" w:rsidRDefault="00466485" w:rsidP="00DD7C6F">
                  <w:pPr>
                    <w:pStyle w:val="DocStatus"/>
                    <w:rPr>
                      <w:rFonts w:cs="Arial"/>
                      <w:szCs w:val="16"/>
                      <w:lang w:val="en-AU"/>
                    </w:rPr>
                  </w:pPr>
                  <w:r>
                    <w:rPr>
                      <w:rFonts w:cs="Arial"/>
                      <w:szCs w:val="16"/>
                      <w:lang w:val="en-AU"/>
                    </w:rPr>
                    <w:t>0</w:t>
                  </w:r>
                </w:p>
              </w:tc>
              <w:tc>
                <w:tcPr>
                  <w:tcW w:w="1771" w:type="dxa"/>
                </w:tcPr>
                <w:p w:rsidR="004F72B4" w:rsidRPr="000F3062" w:rsidRDefault="00466485" w:rsidP="00DD7C6F">
                  <w:pPr>
                    <w:pStyle w:val="DocStatus"/>
                    <w:rPr>
                      <w:rFonts w:cs="Arial"/>
                      <w:szCs w:val="16"/>
                      <w:lang w:val="en-AU"/>
                    </w:rPr>
                  </w:pPr>
                  <w:r>
                    <w:rPr>
                      <w:rFonts w:cs="Arial"/>
                      <w:szCs w:val="16"/>
                      <w:lang w:val="en-AU"/>
                    </w:rPr>
                    <w:t>1</w:t>
                  </w:r>
                </w:p>
              </w:tc>
              <w:tc>
                <w:tcPr>
                  <w:tcW w:w="1451" w:type="dxa"/>
                </w:tcPr>
                <w:p w:rsidR="004F72B4" w:rsidRPr="000F3062" w:rsidRDefault="00466485" w:rsidP="00DD7C6F">
                  <w:pPr>
                    <w:pStyle w:val="DocStatus"/>
                    <w:rPr>
                      <w:rFonts w:cs="Arial"/>
                      <w:szCs w:val="16"/>
                      <w:lang w:val="en-AU"/>
                    </w:rPr>
                  </w:pPr>
                  <w:r>
                    <w:rPr>
                      <w:rFonts w:cs="Arial"/>
                      <w:szCs w:val="16"/>
                      <w:lang w:val="en-AU"/>
                    </w:rPr>
                    <w:t>1</w:t>
                  </w:r>
                </w:p>
              </w:tc>
              <w:tc>
                <w:tcPr>
                  <w:tcW w:w="3679" w:type="dxa"/>
                </w:tcPr>
                <w:p w:rsidR="004F72B4" w:rsidRPr="000F3062" w:rsidRDefault="00466485" w:rsidP="00DD7C6F">
                  <w:pPr>
                    <w:pStyle w:val="DocStatus"/>
                    <w:rPr>
                      <w:rFonts w:cs="Arial"/>
                      <w:szCs w:val="16"/>
                      <w:lang w:val="en-AU"/>
                    </w:rPr>
                  </w:pPr>
                  <w:r>
                    <w:rPr>
                      <w:rFonts w:cs="Arial"/>
                      <w:szCs w:val="16"/>
                      <w:lang w:val="en-AU"/>
                    </w:rPr>
                    <w:t>E. Oliver (Department of the Environment)</w:t>
                  </w:r>
                </w:p>
              </w:tc>
              <w:tc>
                <w:tcPr>
                  <w:tcW w:w="1559" w:type="dxa"/>
                </w:tcPr>
                <w:p w:rsidR="004F72B4" w:rsidRPr="000F3062" w:rsidRDefault="00466485" w:rsidP="00DD7C6F">
                  <w:pPr>
                    <w:pStyle w:val="DocStatus"/>
                    <w:rPr>
                      <w:rFonts w:cs="Arial"/>
                      <w:szCs w:val="16"/>
                      <w:lang w:val="en-AU"/>
                    </w:rPr>
                  </w:pPr>
                  <w:r>
                    <w:rPr>
                      <w:rFonts w:cs="Arial"/>
                      <w:szCs w:val="16"/>
                      <w:lang w:val="en-AU"/>
                    </w:rPr>
                    <w:t>24/01/14</w:t>
                  </w:r>
                </w:p>
              </w:tc>
            </w:tr>
            <w:tr w:rsidR="008C7923" w:rsidRPr="000F3062" w:rsidTr="00DD7C6F">
              <w:tc>
                <w:tcPr>
                  <w:tcW w:w="1061" w:type="dxa"/>
                </w:tcPr>
                <w:p w:rsidR="008C7923" w:rsidRDefault="00880A76" w:rsidP="00DD7C6F">
                  <w:pPr>
                    <w:pStyle w:val="DocStatus"/>
                    <w:rPr>
                      <w:rFonts w:cs="Arial"/>
                      <w:szCs w:val="16"/>
                      <w:lang w:val="en-AU"/>
                    </w:rPr>
                  </w:pPr>
                  <w:r>
                    <w:rPr>
                      <w:rFonts w:cs="Arial"/>
                      <w:szCs w:val="16"/>
                      <w:lang w:val="en-AU"/>
                    </w:rPr>
                    <w:t>1</w:t>
                  </w:r>
                </w:p>
              </w:tc>
              <w:tc>
                <w:tcPr>
                  <w:tcW w:w="1771" w:type="dxa"/>
                </w:tcPr>
                <w:p w:rsidR="008C7923" w:rsidRDefault="00880A76" w:rsidP="00DD7C6F">
                  <w:pPr>
                    <w:pStyle w:val="DocStatus"/>
                    <w:rPr>
                      <w:rFonts w:cs="Arial"/>
                      <w:szCs w:val="16"/>
                      <w:lang w:val="en-AU"/>
                    </w:rPr>
                  </w:pPr>
                  <w:r>
                    <w:rPr>
                      <w:rFonts w:cs="Arial"/>
                      <w:szCs w:val="16"/>
                      <w:lang w:val="en-AU"/>
                    </w:rPr>
                    <w:t>1</w:t>
                  </w:r>
                </w:p>
              </w:tc>
              <w:tc>
                <w:tcPr>
                  <w:tcW w:w="1451" w:type="dxa"/>
                </w:tcPr>
                <w:p w:rsidR="008C7923" w:rsidRDefault="00880A76" w:rsidP="00DD7C6F">
                  <w:pPr>
                    <w:pStyle w:val="DocStatus"/>
                    <w:rPr>
                      <w:rFonts w:cs="Arial"/>
                      <w:szCs w:val="16"/>
                      <w:lang w:val="en-AU"/>
                    </w:rPr>
                  </w:pPr>
                  <w:r>
                    <w:rPr>
                      <w:rFonts w:cs="Arial"/>
                      <w:szCs w:val="16"/>
                      <w:lang w:val="en-AU"/>
                    </w:rPr>
                    <w:t>1</w:t>
                  </w:r>
                </w:p>
              </w:tc>
              <w:tc>
                <w:tcPr>
                  <w:tcW w:w="3679" w:type="dxa"/>
                </w:tcPr>
                <w:p w:rsidR="008C7923" w:rsidRDefault="00880A76" w:rsidP="00DD7C6F">
                  <w:pPr>
                    <w:pStyle w:val="DocStatus"/>
                    <w:rPr>
                      <w:rFonts w:cs="Arial"/>
                      <w:szCs w:val="16"/>
                      <w:lang w:val="en-AU"/>
                    </w:rPr>
                  </w:pPr>
                  <w:r>
                    <w:rPr>
                      <w:rFonts w:cs="Arial"/>
                      <w:szCs w:val="16"/>
                      <w:lang w:val="en-AU"/>
                    </w:rPr>
                    <w:t>E. Oliver (Department of the Environment)</w:t>
                  </w:r>
                </w:p>
              </w:tc>
              <w:tc>
                <w:tcPr>
                  <w:tcW w:w="1559" w:type="dxa"/>
                </w:tcPr>
                <w:p w:rsidR="008C7923" w:rsidRDefault="00880A76" w:rsidP="00DD7C6F">
                  <w:pPr>
                    <w:pStyle w:val="DocStatus"/>
                    <w:rPr>
                      <w:rFonts w:cs="Arial"/>
                      <w:szCs w:val="16"/>
                      <w:lang w:val="en-AU"/>
                    </w:rPr>
                  </w:pPr>
                  <w:r>
                    <w:rPr>
                      <w:rFonts w:cs="Arial"/>
                      <w:szCs w:val="16"/>
                      <w:lang w:val="en-AU"/>
                    </w:rPr>
                    <w:t>31/01/14</w:t>
                  </w:r>
                </w:p>
              </w:tc>
            </w:tr>
            <w:tr w:rsidR="00C47949" w:rsidRPr="000F3062" w:rsidTr="00DD7C6F">
              <w:tc>
                <w:tcPr>
                  <w:tcW w:w="1061" w:type="dxa"/>
                </w:tcPr>
                <w:p w:rsidR="00C47949" w:rsidRDefault="00C47949" w:rsidP="00DD7C6F">
                  <w:pPr>
                    <w:pStyle w:val="DocStatus"/>
                    <w:rPr>
                      <w:rFonts w:cs="Arial"/>
                      <w:szCs w:val="16"/>
                      <w:lang w:val="en-AU"/>
                    </w:rPr>
                  </w:pPr>
                  <w:r>
                    <w:rPr>
                      <w:rFonts w:cs="Arial"/>
                      <w:szCs w:val="16"/>
                      <w:lang w:val="en-AU"/>
                    </w:rPr>
                    <w:t>1.1</w:t>
                  </w:r>
                </w:p>
              </w:tc>
              <w:tc>
                <w:tcPr>
                  <w:tcW w:w="1771" w:type="dxa"/>
                </w:tcPr>
                <w:p w:rsidR="00C47949" w:rsidRDefault="00C47949" w:rsidP="00DD7C6F">
                  <w:pPr>
                    <w:pStyle w:val="DocStatus"/>
                    <w:rPr>
                      <w:rFonts w:cs="Arial"/>
                      <w:szCs w:val="16"/>
                      <w:lang w:val="en-AU"/>
                    </w:rPr>
                  </w:pPr>
                  <w:r>
                    <w:rPr>
                      <w:rFonts w:cs="Arial"/>
                      <w:szCs w:val="16"/>
                      <w:lang w:val="en-AU"/>
                    </w:rPr>
                    <w:t>1</w:t>
                  </w:r>
                </w:p>
              </w:tc>
              <w:tc>
                <w:tcPr>
                  <w:tcW w:w="1451" w:type="dxa"/>
                </w:tcPr>
                <w:p w:rsidR="00C47949" w:rsidRDefault="00C47949" w:rsidP="00DD7C6F">
                  <w:pPr>
                    <w:pStyle w:val="DocStatus"/>
                    <w:rPr>
                      <w:rFonts w:cs="Arial"/>
                      <w:szCs w:val="16"/>
                      <w:lang w:val="en-AU"/>
                    </w:rPr>
                  </w:pPr>
                  <w:r>
                    <w:rPr>
                      <w:rFonts w:cs="Arial"/>
                      <w:szCs w:val="16"/>
                      <w:lang w:val="en-AU"/>
                    </w:rPr>
                    <w:t>1</w:t>
                  </w:r>
                </w:p>
              </w:tc>
              <w:tc>
                <w:tcPr>
                  <w:tcW w:w="3679" w:type="dxa"/>
                </w:tcPr>
                <w:p w:rsidR="00C47949" w:rsidRDefault="00C47949" w:rsidP="00233787">
                  <w:pPr>
                    <w:pStyle w:val="DocStatus"/>
                    <w:rPr>
                      <w:rFonts w:cs="Arial"/>
                      <w:szCs w:val="16"/>
                      <w:lang w:val="en-AU"/>
                    </w:rPr>
                  </w:pPr>
                  <w:r>
                    <w:rPr>
                      <w:rFonts w:cs="Arial"/>
                      <w:szCs w:val="16"/>
                      <w:lang w:val="en-AU"/>
                    </w:rPr>
                    <w:t>E. Oliver (Department of the Environment)</w:t>
                  </w:r>
                </w:p>
              </w:tc>
              <w:tc>
                <w:tcPr>
                  <w:tcW w:w="1559" w:type="dxa"/>
                </w:tcPr>
                <w:p w:rsidR="00C47949" w:rsidRDefault="00C47949" w:rsidP="00233787">
                  <w:pPr>
                    <w:pStyle w:val="DocStatus"/>
                    <w:rPr>
                      <w:rFonts w:cs="Arial"/>
                      <w:szCs w:val="16"/>
                      <w:lang w:val="en-AU"/>
                    </w:rPr>
                  </w:pPr>
                  <w:r>
                    <w:rPr>
                      <w:rFonts w:cs="Arial"/>
                      <w:szCs w:val="16"/>
                      <w:lang w:val="en-AU"/>
                    </w:rPr>
                    <w:t>03/02/14</w:t>
                  </w:r>
                </w:p>
              </w:tc>
            </w:tr>
          </w:tbl>
          <w:p w:rsidR="001315A1" w:rsidRDefault="001315A1" w:rsidP="007B0B6B">
            <w:pPr>
              <w:pStyle w:val="Tabletext"/>
              <w:spacing w:before="120" w:after="0"/>
            </w:pPr>
          </w:p>
          <w:p w:rsidR="00694F4B" w:rsidRDefault="00E954B8" w:rsidP="007B0B6B">
            <w:pPr>
              <w:pStyle w:val="Tabletext"/>
              <w:spacing w:before="120" w:after="0"/>
            </w:pPr>
            <w:r>
              <w:fldChar w:fldCharType="begin"/>
            </w:r>
            <w:r w:rsidR="008978F8">
              <w:instrText xml:space="preserve"> DOCVARIABLE  Add1  \* MERGEFORMAT </w:instrText>
            </w:r>
            <w:r>
              <w:fldChar w:fldCharType="separate"/>
            </w:r>
            <w:r w:rsidR="00622A3C">
              <w:t>Sinclair Knight Merz</w:t>
            </w:r>
            <w:r>
              <w:fldChar w:fldCharType="end"/>
            </w:r>
            <w:r w:rsidR="00622A3C" w:rsidRPr="00E5000B">
              <w:br/>
            </w:r>
            <w:r w:rsidR="00201582">
              <w:fldChar w:fldCharType="begin"/>
            </w:r>
            <w:r w:rsidR="00201582">
              <w:instrText xml:space="preserve"> DOCVARIABLE  CoverBusinessRegoNo  \* MERGEFORMAT </w:instrText>
            </w:r>
            <w:r w:rsidR="00201582">
              <w:fldChar w:fldCharType="separate"/>
            </w:r>
            <w:r w:rsidR="00622A3C">
              <w:t>ABN 37 001 024 095</w:t>
            </w:r>
            <w:r w:rsidR="00201582">
              <w:fldChar w:fldCharType="end"/>
            </w:r>
          </w:p>
          <w:p w:rsidR="00694F4B" w:rsidRDefault="00694F4B" w:rsidP="00FD10FB">
            <w:pPr>
              <w:pStyle w:val="Tabletext"/>
              <w:spacing w:before="0" w:after="0"/>
            </w:pPr>
            <w:r>
              <w:t>32 Cordelia Street</w:t>
            </w:r>
            <w:r w:rsidR="008C7923">
              <w:t xml:space="preserve">, </w:t>
            </w:r>
            <w:r>
              <w:t>(PO Box 3848)</w:t>
            </w:r>
          </w:p>
          <w:p w:rsidR="007B0B6B" w:rsidRDefault="00694F4B" w:rsidP="007B0B6B">
            <w:pPr>
              <w:pStyle w:val="Tabletext"/>
            </w:pPr>
            <w:r>
              <w:t>South Brisbane QLD 4101 Australia</w:t>
            </w:r>
          </w:p>
          <w:p w:rsidR="007B0B6B" w:rsidRDefault="00694F4B" w:rsidP="007B0B6B">
            <w:pPr>
              <w:pStyle w:val="Tabletext"/>
            </w:pPr>
            <w:r w:rsidRPr="004F72B4">
              <w:t>T +61 7 3026 7</w:t>
            </w:r>
            <w:r w:rsidR="00DC0827">
              <w:t>100</w:t>
            </w:r>
            <w:r w:rsidR="007B0B6B">
              <w:t xml:space="preserve"> </w:t>
            </w:r>
          </w:p>
          <w:p w:rsidR="00694F4B" w:rsidRPr="004F72B4" w:rsidRDefault="00201582" w:rsidP="007B0B6B">
            <w:pPr>
              <w:pStyle w:val="Tabletext"/>
            </w:pPr>
            <w:r>
              <w:fldChar w:fldCharType="begin"/>
            </w:r>
            <w:r>
              <w:instrText xml:space="preserve"> DOCVARIABLE  Web  \* MERGEFORMAT </w:instrText>
            </w:r>
            <w:r>
              <w:fldChar w:fldCharType="separate"/>
            </w:r>
            <w:r w:rsidR="007B0B6B">
              <w:t>www.globalskm.com</w:t>
            </w:r>
            <w:r>
              <w:fldChar w:fldCharType="end"/>
            </w:r>
          </w:p>
        </w:tc>
      </w:tr>
      <w:tr w:rsidR="00622A3C" w:rsidRPr="00E5000B" w:rsidTr="00FD10FB">
        <w:trPr>
          <w:trHeight w:hRule="exact" w:val="851"/>
        </w:trPr>
        <w:tc>
          <w:tcPr>
            <w:tcW w:w="5000" w:type="pct"/>
            <w:gridSpan w:val="2"/>
            <w:tcMar>
              <w:left w:w="28" w:type="dxa"/>
              <w:right w:w="28" w:type="dxa"/>
            </w:tcMar>
            <w:vAlign w:val="bottom"/>
          </w:tcPr>
          <w:p w:rsidR="00622A3C" w:rsidRPr="00E5000B" w:rsidRDefault="00622A3C" w:rsidP="00FD10FB">
            <w:pPr>
              <w:pStyle w:val="CopyrightInfo"/>
            </w:pPr>
            <w:r w:rsidRPr="00E5000B">
              <w:t xml:space="preserve">COPYRIGHT: The concepts and information contained in this document are the property of </w:t>
            </w:r>
            <w:r w:rsidR="00E954B8">
              <w:fldChar w:fldCharType="begin"/>
            </w:r>
            <w:r>
              <w:instrText xml:space="preserve"> DOCVARIABLE  </w:instrText>
            </w:r>
            <w:r w:rsidRPr="00C867C8">
              <w:instrText>CoverCopy</w:instrText>
            </w:r>
            <w:r>
              <w:instrText>r</w:instrText>
            </w:r>
            <w:r w:rsidRPr="00C867C8">
              <w:instrText>ight</w:instrText>
            </w:r>
            <w:r>
              <w:instrText xml:space="preserve">  \* MERGEFORMAT </w:instrText>
            </w:r>
            <w:r w:rsidR="00E954B8">
              <w:fldChar w:fldCharType="separate"/>
            </w:r>
            <w:r>
              <w:t>Sinclair Knight Merz Pty Ltd (SKM)</w:t>
            </w:r>
            <w:r w:rsidR="00E954B8">
              <w:fldChar w:fldCharType="end"/>
            </w:r>
            <w:r w:rsidRPr="00E5000B">
              <w:t xml:space="preserve">. Use or copying of this document in whole or in part without the written permission of </w:t>
            </w:r>
            <w:r w:rsidR="00201582">
              <w:fldChar w:fldCharType="begin"/>
            </w:r>
            <w:r w:rsidR="00201582">
              <w:instrText xml:space="preserve"> DOCVARIABLE  CoverLimitation  \* MERGEFORMAT </w:instrText>
            </w:r>
            <w:r w:rsidR="00201582">
              <w:fldChar w:fldCharType="separate"/>
            </w:r>
            <w:r>
              <w:t>SKM</w:t>
            </w:r>
            <w:r w:rsidR="00201582">
              <w:fldChar w:fldCharType="end"/>
            </w:r>
            <w:r>
              <w:t xml:space="preserve"> </w:t>
            </w:r>
            <w:r w:rsidRPr="00E5000B">
              <w:t>constitutes an infringement of copyright.</w:t>
            </w:r>
          </w:p>
        </w:tc>
      </w:tr>
    </w:tbl>
    <w:p w:rsidR="00622A3C" w:rsidRPr="003552CE" w:rsidRDefault="00622A3C" w:rsidP="00FD10FB">
      <w:pPr>
        <w:pStyle w:val="Contents"/>
      </w:pPr>
      <w:r w:rsidRPr="00E5000B">
        <w:lastRenderedPageBreak/>
        <w:t>Contents</w:t>
      </w:r>
    </w:p>
    <w:p w:rsidR="00D175E1" w:rsidRDefault="00E954B8">
      <w:pPr>
        <w:pStyle w:val="TOC1"/>
        <w:rPr>
          <w:rFonts w:asciiTheme="minorHAnsi" w:hAnsiTheme="minorHAnsi"/>
          <w:b w:val="0"/>
          <w:sz w:val="22"/>
          <w:szCs w:val="22"/>
          <w:lang w:eastAsia="en-AU"/>
        </w:rPr>
      </w:pPr>
      <w:r>
        <w:rPr>
          <w:rFonts w:ascii="Arial" w:hAnsi="Arial"/>
          <w:b w:val="0"/>
          <w:noProof w:val="0"/>
        </w:rPr>
        <w:fldChar w:fldCharType="begin"/>
      </w:r>
      <w:r w:rsidR="00622A3C">
        <w:instrText xml:space="preserve"> TOC \o "1-1" \t "Heading 2,2,Summary,1" </w:instrText>
      </w:r>
      <w:r>
        <w:rPr>
          <w:rFonts w:ascii="Arial" w:hAnsi="Arial"/>
          <w:b w:val="0"/>
          <w:noProof w:val="0"/>
        </w:rPr>
        <w:fldChar w:fldCharType="separate"/>
      </w:r>
      <w:r w:rsidR="00D175E1">
        <w:t>Limitation statement</w:t>
      </w:r>
      <w:r w:rsidR="00D175E1">
        <w:tab/>
      </w:r>
      <w:r>
        <w:fldChar w:fldCharType="begin"/>
      </w:r>
      <w:r w:rsidR="00D175E1">
        <w:instrText xml:space="preserve"> PAGEREF _Toc378857181 \h </w:instrText>
      </w:r>
      <w:r>
        <w:fldChar w:fldCharType="separate"/>
      </w:r>
      <w:r w:rsidR="00D175E1">
        <w:t>1</w:t>
      </w:r>
      <w:r>
        <w:fldChar w:fldCharType="end"/>
      </w:r>
    </w:p>
    <w:p w:rsidR="00D175E1" w:rsidRDefault="00D175E1">
      <w:pPr>
        <w:pStyle w:val="TOC1"/>
        <w:rPr>
          <w:rFonts w:asciiTheme="minorHAnsi" w:hAnsiTheme="minorHAnsi"/>
          <w:b w:val="0"/>
          <w:sz w:val="22"/>
          <w:szCs w:val="22"/>
          <w:lang w:eastAsia="en-AU"/>
        </w:rPr>
      </w:pPr>
      <w:r>
        <w:t>Executive summary</w:t>
      </w:r>
      <w:r>
        <w:tab/>
      </w:r>
      <w:r w:rsidR="00E954B8">
        <w:fldChar w:fldCharType="begin"/>
      </w:r>
      <w:r>
        <w:instrText xml:space="preserve"> PAGEREF _Toc378857182 \h </w:instrText>
      </w:r>
      <w:r w:rsidR="00E954B8">
        <w:fldChar w:fldCharType="separate"/>
      </w:r>
      <w:r>
        <w:t>1</w:t>
      </w:r>
      <w:r w:rsidR="00E954B8">
        <w:fldChar w:fldCharType="end"/>
      </w:r>
    </w:p>
    <w:p w:rsidR="00D175E1" w:rsidRDefault="00D175E1">
      <w:pPr>
        <w:pStyle w:val="TOC1"/>
        <w:rPr>
          <w:rFonts w:asciiTheme="minorHAnsi" w:hAnsiTheme="minorHAnsi"/>
          <w:b w:val="0"/>
          <w:sz w:val="22"/>
          <w:szCs w:val="22"/>
          <w:lang w:eastAsia="en-AU"/>
        </w:rPr>
      </w:pPr>
      <w:r>
        <w:t>1.</w:t>
      </w:r>
      <w:r>
        <w:rPr>
          <w:rFonts w:asciiTheme="minorHAnsi" w:hAnsiTheme="minorHAnsi"/>
          <w:b w:val="0"/>
          <w:sz w:val="22"/>
          <w:szCs w:val="22"/>
          <w:lang w:eastAsia="en-AU"/>
        </w:rPr>
        <w:tab/>
      </w:r>
      <w:r>
        <w:t>Introduction</w:t>
      </w:r>
      <w:r>
        <w:tab/>
      </w:r>
      <w:r w:rsidR="00E954B8">
        <w:fldChar w:fldCharType="begin"/>
      </w:r>
      <w:r>
        <w:instrText xml:space="preserve"> PAGEREF _Toc378857183 \h </w:instrText>
      </w:r>
      <w:r w:rsidR="00E954B8">
        <w:fldChar w:fldCharType="separate"/>
      </w:r>
      <w:r>
        <w:t>4</w:t>
      </w:r>
      <w:r w:rsidR="00E954B8">
        <w:fldChar w:fldCharType="end"/>
      </w:r>
    </w:p>
    <w:p w:rsidR="00D175E1" w:rsidRDefault="00D175E1">
      <w:pPr>
        <w:pStyle w:val="TOC2"/>
        <w:rPr>
          <w:rFonts w:asciiTheme="minorHAnsi" w:hAnsiTheme="minorHAnsi"/>
          <w:sz w:val="22"/>
          <w:szCs w:val="22"/>
          <w:lang w:eastAsia="en-AU"/>
        </w:rPr>
      </w:pPr>
      <w:r>
        <w:t>1.1</w:t>
      </w:r>
      <w:r>
        <w:rPr>
          <w:rFonts w:asciiTheme="minorHAnsi" w:hAnsiTheme="minorHAnsi"/>
          <w:sz w:val="22"/>
          <w:szCs w:val="22"/>
          <w:lang w:eastAsia="en-AU"/>
        </w:rPr>
        <w:tab/>
      </w:r>
      <w:r>
        <w:t>Background</w:t>
      </w:r>
      <w:r>
        <w:tab/>
      </w:r>
      <w:r w:rsidR="00E954B8">
        <w:fldChar w:fldCharType="begin"/>
      </w:r>
      <w:r>
        <w:instrText xml:space="preserve"> PAGEREF _Toc378857184 \h </w:instrText>
      </w:r>
      <w:r w:rsidR="00E954B8">
        <w:fldChar w:fldCharType="separate"/>
      </w:r>
      <w:r>
        <w:t>4</w:t>
      </w:r>
      <w:r w:rsidR="00E954B8">
        <w:fldChar w:fldCharType="end"/>
      </w:r>
    </w:p>
    <w:p w:rsidR="00D175E1" w:rsidRDefault="00D175E1">
      <w:pPr>
        <w:pStyle w:val="TOC2"/>
        <w:rPr>
          <w:rFonts w:asciiTheme="minorHAnsi" w:hAnsiTheme="minorHAnsi"/>
          <w:sz w:val="22"/>
          <w:szCs w:val="22"/>
          <w:lang w:eastAsia="en-AU"/>
        </w:rPr>
      </w:pPr>
      <w:r>
        <w:t>1.2</w:t>
      </w:r>
      <w:r>
        <w:rPr>
          <w:rFonts w:asciiTheme="minorHAnsi" w:hAnsiTheme="minorHAnsi"/>
          <w:sz w:val="22"/>
          <w:szCs w:val="22"/>
          <w:lang w:eastAsia="en-AU"/>
        </w:rPr>
        <w:tab/>
      </w:r>
      <w:r>
        <w:t>Scope of work</w:t>
      </w:r>
      <w:r>
        <w:tab/>
      </w:r>
      <w:r w:rsidR="00E954B8">
        <w:fldChar w:fldCharType="begin"/>
      </w:r>
      <w:r>
        <w:instrText xml:space="preserve"> PAGEREF _Toc378857185 \h </w:instrText>
      </w:r>
      <w:r w:rsidR="00E954B8">
        <w:fldChar w:fldCharType="separate"/>
      </w:r>
      <w:r>
        <w:t>4</w:t>
      </w:r>
      <w:r w:rsidR="00E954B8">
        <w:fldChar w:fldCharType="end"/>
      </w:r>
    </w:p>
    <w:p w:rsidR="00D175E1" w:rsidRDefault="00D175E1">
      <w:pPr>
        <w:pStyle w:val="TOC2"/>
        <w:rPr>
          <w:rFonts w:asciiTheme="minorHAnsi" w:hAnsiTheme="minorHAnsi"/>
          <w:sz w:val="22"/>
          <w:szCs w:val="22"/>
          <w:lang w:eastAsia="en-AU"/>
        </w:rPr>
      </w:pPr>
      <w:r>
        <w:t>1.3</w:t>
      </w:r>
      <w:r>
        <w:rPr>
          <w:rFonts w:asciiTheme="minorHAnsi" w:hAnsiTheme="minorHAnsi"/>
          <w:sz w:val="22"/>
          <w:szCs w:val="22"/>
          <w:lang w:eastAsia="en-AU"/>
        </w:rPr>
        <w:tab/>
      </w:r>
      <w:r>
        <w:t>Methods</w:t>
      </w:r>
      <w:r>
        <w:tab/>
      </w:r>
      <w:r w:rsidR="00E954B8">
        <w:fldChar w:fldCharType="begin"/>
      </w:r>
      <w:r>
        <w:instrText xml:space="preserve"> PAGEREF _Toc378857186 \h </w:instrText>
      </w:r>
      <w:r w:rsidR="00E954B8">
        <w:fldChar w:fldCharType="separate"/>
      </w:r>
      <w:r>
        <w:t>5</w:t>
      </w:r>
      <w:r w:rsidR="00E954B8">
        <w:fldChar w:fldCharType="end"/>
      </w:r>
    </w:p>
    <w:p w:rsidR="00D175E1" w:rsidRDefault="00D175E1">
      <w:pPr>
        <w:pStyle w:val="TOC2"/>
        <w:rPr>
          <w:rFonts w:asciiTheme="minorHAnsi" w:hAnsiTheme="minorHAnsi"/>
          <w:sz w:val="22"/>
          <w:szCs w:val="22"/>
          <w:lang w:eastAsia="en-AU"/>
        </w:rPr>
      </w:pPr>
      <w:r>
        <w:t>1.4</w:t>
      </w:r>
      <w:r>
        <w:rPr>
          <w:rFonts w:asciiTheme="minorHAnsi" w:hAnsiTheme="minorHAnsi"/>
          <w:sz w:val="22"/>
          <w:szCs w:val="22"/>
          <w:lang w:eastAsia="en-AU"/>
        </w:rPr>
        <w:tab/>
      </w:r>
      <w:r>
        <w:t>Structure of this report</w:t>
      </w:r>
      <w:r>
        <w:tab/>
      </w:r>
      <w:r w:rsidR="00E954B8">
        <w:fldChar w:fldCharType="begin"/>
      </w:r>
      <w:r>
        <w:instrText xml:space="preserve"> PAGEREF _Toc378857187 \h </w:instrText>
      </w:r>
      <w:r w:rsidR="00E954B8">
        <w:fldChar w:fldCharType="separate"/>
      </w:r>
      <w:r>
        <w:t>7</w:t>
      </w:r>
      <w:r w:rsidR="00E954B8">
        <w:fldChar w:fldCharType="end"/>
      </w:r>
    </w:p>
    <w:p w:rsidR="00D175E1" w:rsidRDefault="00D175E1">
      <w:pPr>
        <w:pStyle w:val="TOC1"/>
        <w:rPr>
          <w:rFonts w:asciiTheme="minorHAnsi" w:hAnsiTheme="minorHAnsi"/>
          <w:b w:val="0"/>
          <w:sz w:val="22"/>
          <w:szCs w:val="22"/>
          <w:lang w:eastAsia="en-AU"/>
        </w:rPr>
      </w:pPr>
      <w:r>
        <w:t>2.</w:t>
      </w:r>
      <w:r>
        <w:rPr>
          <w:rFonts w:asciiTheme="minorHAnsi" w:hAnsiTheme="minorHAnsi"/>
          <w:b w:val="0"/>
          <w:sz w:val="22"/>
          <w:szCs w:val="22"/>
          <w:lang w:eastAsia="en-AU"/>
        </w:rPr>
        <w:tab/>
      </w:r>
      <w:r>
        <w:t>Consistency with the Terms of Reference</w:t>
      </w:r>
      <w:r>
        <w:tab/>
      </w:r>
      <w:r w:rsidR="00E954B8">
        <w:fldChar w:fldCharType="begin"/>
      </w:r>
      <w:r>
        <w:instrText xml:space="preserve"> PAGEREF _Toc378857188 \h </w:instrText>
      </w:r>
      <w:r w:rsidR="00E954B8">
        <w:fldChar w:fldCharType="separate"/>
      </w:r>
      <w:r>
        <w:t>8</w:t>
      </w:r>
      <w:r w:rsidR="00E954B8">
        <w:fldChar w:fldCharType="end"/>
      </w:r>
    </w:p>
    <w:p w:rsidR="00D175E1" w:rsidRDefault="00D175E1">
      <w:pPr>
        <w:pStyle w:val="TOC2"/>
        <w:rPr>
          <w:rFonts w:asciiTheme="minorHAnsi" w:hAnsiTheme="minorHAnsi"/>
          <w:sz w:val="22"/>
          <w:szCs w:val="22"/>
          <w:lang w:eastAsia="en-AU"/>
        </w:rPr>
      </w:pPr>
      <w:r>
        <w:t>2.1</w:t>
      </w:r>
      <w:r>
        <w:rPr>
          <w:rFonts w:asciiTheme="minorHAnsi" w:hAnsiTheme="minorHAnsi"/>
          <w:sz w:val="22"/>
          <w:szCs w:val="22"/>
          <w:lang w:eastAsia="en-AU"/>
        </w:rPr>
        <w:tab/>
      </w:r>
      <w:r>
        <w:t>Overview of the Terms of Reference</w:t>
      </w:r>
      <w:r>
        <w:tab/>
      </w:r>
      <w:r w:rsidR="00E954B8">
        <w:fldChar w:fldCharType="begin"/>
      </w:r>
      <w:r>
        <w:instrText xml:space="preserve"> PAGEREF _Toc378857189 \h </w:instrText>
      </w:r>
      <w:r w:rsidR="00E954B8">
        <w:fldChar w:fldCharType="separate"/>
      </w:r>
      <w:r>
        <w:t>8</w:t>
      </w:r>
      <w:r w:rsidR="00E954B8">
        <w:fldChar w:fldCharType="end"/>
      </w:r>
    </w:p>
    <w:p w:rsidR="00D175E1" w:rsidRDefault="00D175E1">
      <w:pPr>
        <w:pStyle w:val="TOC2"/>
        <w:rPr>
          <w:rFonts w:asciiTheme="minorHAnsi" w:hAnsiTheme="minorHAnsi"/>
          <w:sz w:val="22"/>
          <w:szCs w:val="22"/>
          <w:lang w:eastAsia="en-AU"/>
        </w:rPr>
      </w:pPr>
      <w:r>
        <w:t>2.2</w:t>
      </w:r>
      <w:r>
        <w:rPr>
          <w:rFonts w:asciiTheme="minorHAnsi" w:hAnsiTheme="minorHAnsi"/>
          <w:sz w:val="22"/>
          <w:szCs w:val="22"/>
          <w:lang w:eastAsia="en-AU"/>
        </w:rPr>
        <w:tab/>
      </w:r>
      <w:r>
        <w:t>Purpose and description of the Program</w:t>
      </w:r>
      <w:r>
        <w:tab/>
      </w:r>
      <w:r w:rsidR="00E954B8">
        <w:fldChar w:fldCharType="begin"/>
      </w:r>
      <w:r>
        <w:instrText xml:space="preserve"> PAGEREF _Toc378857190 \h </w:instrText>
      </w:r>
      <w:r w:rsidR="00E954B8">
        <w:fldChar w:fldCharType="separate"/>
      </w:r>
      <w:r>
        <w:t>8</w:t>
      </w:r>
      <w:r w:rsidR="00E954B8">
        <w:fldChar w:fldCharType="end"/>
      </w:r>
    </w:p>
    <w:p w:rsidR="00D175E1" w:rsidRDefault="00D175E1">
      <w:pPr>
        <w:pStyle w:val="TOC2"/>
        <w:rPr>
          <w:rFonts w:asciiTheme="minorHAnsi" w:hAnsiTheme="minorHAnsi"/>
          <w:sz w:val="22"/>
          <w:szCs w:val="22"/>
          <w:lang w:eastAsia="en-AU"/>
        </w:rPr>
      </w:pPr>
      <w:r>
        <w:t>2.3</w:t>
      </w:r>
      <w:r>
        <w:rPr>
          <w:rFonts w:asciiTheme="minorHAnsi" w:hAnsiTheme="minorHAnsi"/>
          <w:sz w:val="22"/>
          <w:szCs w:val="22"/>
          <w:lang w:eastAsia="en-AU"/>
        </w:rPr>
        <w:tab/>
      </w:r>
      <w:r>
        <w:t>Matters of National Environmental Significance</w:t>
      </w:r>
      <w:r>
        <w:tab/>
      </w:r>
      <w:r w:rsidR="00E954B8">
        <w:fldChar w:fldCharType="begin"/>
      </w:r>
      <w:r>
        <w:instrText xml:space="preserve"> PAGEREF _Toc378857191 \h </w:instrText>
      </w:r>
      <w:r w:rsidR="00E954B8">
        <w:fldChar w:fldCharType="separate"/>
      </w:r>
      <w:r>
        <w:t>8</w:t>
      </w:r>
      <w:r w:rsidR="00E954B8">
        <w:fldChar w:fldCharType="end"/>
      </w:r>
    </w:p>
    <w:p w:rsidR="00D175E1" w:rsidRDefault="00D175E1">
      <w:pPr>
        <w:pStyle w:val="TOC2"/>
        <w:rPr>
          <w:rFonts w:asciiTheme="minorHAnsi" w:hAnsiTheme="minorHAnsi"/>
          <w:sz w:val="22"/>
          <w:szCs w:val="22"/>
          <w:lang w:eastAsia="en-AU"/>
        </w:rPr>
      </w:pPr>
      <w:r>
        <w:t>2.4</w:t>
      </w:r>
      <w:r>
        <w:rPr>
          <w:rFonts w:asciiTheme="minorHAnsi" w:hAnsiTheme="minorHAnsi"/>
          <w:sz w:val="22"/>
          <w:szCs w:val="22"/>
          <w:lang w:eastAsia="en-AU"/>
        </w:rPr>
        <w:tab/>
      </w:r>
      <w:r>
        <w:t>Assessment of impacts on Matters of National Environmental Significance</w:t>
      </w:r>
      <w:r>
        <w:tab/>
      </w:r>
      <w:r w:rsidR="00E954B8">
        <w:fldChar w:fldCharType="begin"/>
      </w:r>
      <w:r>
        <w:instrText xml:space="preserve"> PAGEREF _Toc378857192 \h </w:instrText>
      </w:r>
      <w:r w:rsidR="00E954B8">
        <w:fldChar w:fldCharType="separate"/>
      </w:r>
      <w:r>
        <w:t>9</w:t>
      </w:r>
      <w:r w:rsidR="00E954B8">
        <w:fldChar w:fldCharType="end"/>
      </w:r>
    </w:p>
    <w:p w:rsidR="00D175E1" w:rsidRDefault="00D175E1">
      <w:pPr>
        <w:pStyle w:val="TOC2"/>
        <w:rPr>
          <w:rFonts w:asciiTheme="minorHAnsi" w:hAnsiTheme="minorHAnsi"/>
          <w:sz w:val="22"/>
          <w:szCs w:val="22"/>
          <w:lang w:eastAsia="en-AU"/>
        </w:rPr>
      </w:pPr>
      <w:r>
        <w:t>2.5</w:t>
      </w:r>
      <w:r>
        <w:rPr>
          <w:rFonts w:asciiTheme="minorHAnsi" w:hAnsiTheme="minorHAnsi"/>
          <w:sz w:val="22"/>
          <w:szCs w:val="22"/>
          <w:lang w:eastAsia="en-AU"/>
        </w:rPr>
        <w:tab/>
      </w:r>
      <w:r>
        <w:t>Measures to address impacts</w:t>
      </w:r>
      <w:r>
        <w:tab/>
      </w:r>
      <w:r w:rsidR="00E954B8">
        <w:fldChar w:fldCharType="begin"/>
      </w:r>
      <w:r>
        <w:instrText xml:space="preserve"> PAGEREF _Toc378857193 \h </w:instrText>
      </w:r>
      <w:r w:rsidR="00E954B8">
        <w:fldChar w:fldCharType="separate"/>
      </w:r>
      <w:r>
        <w:t>9</w:t>
      </w:r>
      <w:r w:rsidR="00E954B8">
        <w:fldChar w:fldCharType="end"/>
      </w:r>
    </w:p>
    <w:p w:rsidR="00D175E1" w:rsidRDefault="00D175E1">
      <w:pPr>
        <w:pStyle w:val="TOC2"/>
        <w:rPr>
          <w:rFonts w:asciiTheme="minorHAnsi" w:hAnsiTheme="minorHAnsi"/>
          <w:sz w:val="22"/>
          <w:szCs w:val="22"/>
          <w:lang w:eastAsia="en-AU"/>
        </w:rPr>
      </w:pPr>
      <w:r>
        <w:t>2.6</w:t>
      </w:r>
      <w:r>
        <w:rPr>
          <w:rFonts w:asciiTheme="minorHAnsi" w:hAnsiTheme="minorHAnsi"/>
          <w:sz w:val="22"/>
          <w:szCs w:val="22"/>
          <w:lang w:eastAsia="en-AU"/>
        </w:rPr>
        <w:tab/>
      </w:r>
      <w:r>
        <w:t>Projected condition of Matters of National Environmental Significance</w:t>
      </w:r>
      <w:r>
        <w:tab/>
      </w:r>
      <w:r w:rsidR="00E954B8">
        <w:fldChar w:fldCharType="begin"/>
      </w:r>
      <w:r>
        <w:instrText xml:space="preserve"> PAGEREF _Toc378857194 \h </w:instrText>
      </w:r>
      <w:r w:rsidR="00E954B8">
        <w:fldChar w:fldCharType="separate"/>
      </w:r>
      <w:r>
        <w:t>9</w:t>
      </w:r>
      <w:r w:rsidR="00E954B8">
        <w:fldChar w:fldCharType="end"/>
      </w:r>
    </w:p>
    <w:p w:rsidR="00D175E1" w:rsidRDefault="00D175E1">
      <w:pPr>
        <w:pStyle w:val="TOC2"/>
        <w:rPr>
          <w:rFonts w:asciiTheme="minorHAnsi" w:hAnsiTheme="minorHAnsi"/>
          <w:sz w:val="22"/>
          <w:szCs w:val="22"/>
          <w:lang w:eastAsia="en-AU"/>
        </w:rPr>
      </w:pPr>
      <w:r>
        <w:t>2.7</w:t>
      </w:r>
      <w:r>
        <w:rPr>
          <w:rFonts w:asciiTheme="minorHAnsi" w:hAnsiTheme="minorHAnsi"/>
          <w:sz w:val="22"/>
          <w:szCs w:val="22"/>
          <w:lang w:eastAsia="en-AU"/>
        </w:rPr>
        <w:tab/>
      </w:r>
      <w:r>
        <w:t>Proposed program</w:t>
      </w:r>
      <w:r>
        <w:tab/>
      </w:r>
      <w:r w:rsidR="00E954B8">
        <w:fldChar w:fldCharType="begin"/>
      </w:r>
      <w:r>
        <w:instrText xml:space="preserve"> PAGEREF _Toc378857195 \h </w:instrText>
      </w:r>
      <w:r w:rsidR="00E954B8">
        <w:fldChar w:fldCharType="separate"/>
      </w:r>
      <w:r>
        <w:t>9</w:t>
      </w:r>
      <w:r w:rsidR="00E954B8">
        <w:fldChar w:fldCharType="end"/>
      </w:r>
    </w:p>
    <w:p w:rsidR="00D175E1" w:rsidRDefault="00D175E1">
      <w:pPr>
        <w:pStyle w:val="TOC2"/>
        <w:rPr>
          <w:rFonts w:asciiTheme="minorHAnsi" w:hAnsiTheme="minorHAnsi"/>
          <w:sz w:val="22"/>
          <w:szCs w:val="22"/>
          <w:lang w:eastAsia="en-AU"/>
        </w:rPr>
      </w:pPr>
      <w:r>
        <w:t>2.8</w:t>
      </w:r>
      <w:r>
        <w:rPr>
          <w:rFonts w:asciiTheme="minorHAnsi" w:hAnsiTheme="minorHAnsi"/>
          <w:sz w:val="22"/>
          <w:szCs w:val="22"/>
          <w:lang w:eastAsia="en-AU"/>
        </w:rPr>
        <w:tab/>
      </w:r>
      <w:r>
        <w:t>Strategic Assessment process</w:t>
      </w:r>
      <w:r>
        <w:tab/>
      </w:r>
      <w:r w:rsidR="00E954B8">
        <w:fldChar w:fldCharType="begin"/>
      </w:r>
      <w:r>
        <w:instrText xml:space="preserve"> PAGEREF _Toc378857196 \h </w:instrText>
      </w:r>
      <w:r w:rsidR="00E954B8">
        <w:fldChar w:fldCharType="separate"/>
      </w:r>
      <w:r>
        <w:t>10</w:t>
      </w:r>
      <w:r w:rsidR="00E954B8">
        <w:fldChar w:fldCharType="end"/>
      </w:r>
    </w:p>
    <w:p w:rsidR="00D175E1" w:rsidRDefault="00D175E1">
      <w:pPr>
        <w:pStyle w:val="TOC2"/>
        <w:rPr>
          <w:rFonts w:asciiTheme="minorHAnsi" w:hAnsiTheme="minorHAnsi"/>
          <w:sz w:val="22"/>
          <w:szCs w:val="22"/>
          <w:lang w:eastAsia="en-AU"/>
        </w:rPr>
      </w:pPr>
      <w:r>
        <w:t>2.9</w:t>
      </w:r>
      <w:r>
        <w:rPr>
          <w:rFonts w:asciiTheme="minorHAnsi" w:hAnsiTheme="minorHAnsi"/>
          <w:sz w:val="22"/>
          <w:szCs w:val="22"/>
          <w:lang w:eastAsia="en-AU"/>
        </w:rPr>
        <w:tab/>
      </w:r>
      <w:r>
        <w:t>Endorsement criteria</w:t>
      </w:r>
      <w:r>
        <w:tab/>
      </w:r>
      <w:r w:rsidR="00E954B8">
        <w:fldChar w:fldCharType="begin"/>
      </w:r>
      <w:r>
        <w:instrText xml:space="preserve"> PAGEREF _Toc378857197 \h </w:instrText>
      </w:r>
      <w:r w:rsidR="00E954B8">
        <w:fldChar w:fldCharType="separate"/>
      </w:r>
      <w:r>
        <w:t>10</w:t>
      </w:r>
      <w:r w:rsidR="00E954B8">
        <w:fldChar w:fldCharType="end"/>
      </w:r>
    </w:p>
    <w:p w:rsidR="00D175E1" w:rsidRDefault="00D175E1">
      <w:pPr>
        <w:pStyle w:val="TOC2"/>
        <w:rPr>
          <w:rFonts w:asciiTheme="minorHAnsi" w:hAnsiTheme="minorHAnsi"/>
          <w:sz w:val="22"/>
          <w:szCs w:val="22"/>
          <w:lang w:eastAsia="en-AU"/>
        </w:rPr>
      </w:pPr>
      <w:r>
        <w:t>2.10</w:t>
      </w:r>
      <w:r>
        <w:rPr>
          <w:rFonts w:asciiTheme="minorHAnsi" w:hAnsiTheme="minorHAnsi"/>
          <w:sz w:val="22"/>
          <w:szCs w:val="22"/>
          <w:lang w:eastAsia="en-AU"/>
        </w:rPr>
        <w:tab/>
      </w:r>
      <w:r>
        <w:t>Further work</w:t>
      </w:r>
      <w:r>
        <w:tab/>
      </w:r>
      <w:r w:rsidR="00E954B8">
        <w:fldChar w:fldCharType="begin"/>
      </w:r>
      <w:r>
        <w:instrText xml:space="preserve"> PAGEREF _Toc378857198 \h </w:instrText>
      </w:r>
      <w:r w:rsidR="00E954B8">
        <w:fldChar w:fldCharType="separate"/>
      </w:r>
      <w:r>
        <w:t>10</w:t>
      </w:r>
      <w:r w:rsidR="00E954B8">
        <w:fldChar w:fldCharType="end"/>
      </w:r>
    </w:p>
    <w:p w:rsidR="00D175E1" w:rsidRDefault="00D175E1">
      <w:pPr>
        <w:pStyle w:val="TOC1"/>
        <w:rPr>
          <w:rFonts w:asciiTheme="minorHAnsi" w:hAnsiTheme="minorHAnsi"/>
          <w:b w:val="0"/>
          <w:sz w:val="22"/>
          <w:szCs w:val="22"/>
          <w:lang w:eastAsia="en-AU"/>
        </w:rPr>
      </w:pPr>
      <w:r>
        <w:t>3.</w:t>
      </w:r>
      <w:r>
        <w:rPr>
          <w:rFonts w:asciiTheme="minorHAnsi" w:hAnsiTheme="minorHAnsi"/>
          <w:b w:val="0"/>
          <w:sz w:val="22"/>
          <w:szCs w:val="22"/>
          <w:lang w:eastAsia="en-AU"/>
        </w:rPr>
        <w:tab/>
      </w:r>
      <w:r>
        <w:t>Structure of reports and cohesiveness of presentation</w:t>
      </w:r>
      <w:r>
        <w:tab/>
      </w:r>
      <w:r w:rsidR="00E954B8">
        <w:fldChar w:fldCharType="begin"/>
      </w:r>
      <w:r>
        <w:instrText xml:space="preserve"> PAGEREF _Toc378857199 \h </w:instrText>
      </w:r>
      <w:r w:rsidR="00E954B8">
        <w:fldChar w:fldCharType="separate"/>
      </w:r>
      <w:r>
        <w:t>12</w:t>
      </w:r>
      <w:r w:rsidR="00E954B8">
        <w:fldChar w:fldCharType="end"/>
      </w:r>
    </w:p>
    <w:p w:rsidR="00D175E1" w:rsidRDefault="00D175E1">
      <w:pPr>
        <w:pStyle w:val="TOC2"/>
        <w:rPr>
          <w:rFonts w:asciiTheme="minorHAnsi" w:hAnsiTheme="minorHAnsi"/>
          <w:sz w:val="22"/>
          <w:szCs w:val="22"/>
          <w:lang w:eastAsia="en-AU"/>
        </w:rPr>
      </w:pPr>
      <w:r>
        <w:t>3.1</w:t>
      </w:r>
      <w:r>
        <w:rPr>
          <w:rFonts w:asciiTheme="minorHAnsi" w:hAnsiTheme="minorHAnsi"/>
          <w:sz w:val="22"/>
          <w:szCs w:val="22"/>
          <w:lang w:eastAsia="en-AU"/>
        </w:rPr>
        <w:tab/>
      </w:r>
      <w:r>
        <w:t>Introduction</w:t>
      </w:r>
      <w:r>
        <w:tab/>
      </w:r>
      <w:r w:rsidR="00E954B8">
        <w:fldChar w:fldCharType="begin"/>
      </w:r>
      <w:r>
        <w:instrText xml:space="preserve"> PAGEREF _Toc378857200 \h </w:instrText>
      </w:r>
      <w:r w:rsidR="00E954B8">
        <w:fldChar w:fldCharType="separate"/>
      </w:r>
      <w:r>
        <w:t>12</w:t>
      </w:r>
      <w:r w:rsidR="00E954B8">
        <w:fldChar w:fldCharType="end"/>
      </w:r>
    </w:p>
    <w:p w:rsidR="00D175E1" w:rsidRDefault="00D175E1">
      <w:pPr>
        <w:pStyle w:val="TOC2"/>
        <w:rPr>
          <w:rFonts w:asciiTheme="minorHAnsi" w:hAnsiTheme="minorHAnsi"/>
          <w:sz w:val="22"/>
          <w:szCs w:val="22"/>
          <w:lang w:eastAsia="en-AU"/>
        </w:rPr>
      </w:pPr>
      <w:r>
        <w:t>3.2</w:t>
      </w:r>
      <w:r>
        <w:rPr>
          <w:rFonts w:asciiTheme="minorHAnsi" w:hAnsiTheme="minorHAnsi"/>
          <w:sz w:val="22"/>
          <w:szCs w:val="22"/>
          <w:lang w:eastAsia="en-AU"/>
        </w:rPr>
        <w:tab/>
      </w:r>
      <w:r>
        <w:t>Presentation and cohesiveness</w:t>
      </w:r>
      <w:r>
        <w:tab/>
      </w:r>
      <w:r w:rsidR="00E954B8">
        <w:fldChar w:fldCharType="begin"/>
      </w:r>
      <w:r>
        <w:instrText xml:space="preserve"> PAGEREF _Toc378857201 \h </w:instrText>
      </w:r>
      <w:r w:rsidR="00E954B8">
        <w:fldChar w:fldCharType="separate"/>
      </w:r>
      <w:r>
        <w:t>12</w:t>
      </w:r>
      <w:r w:rsidR="00E954B8">
        <w:fldChar w:fldCharType="end"/>
      </w:r>
    </w:p>
    <w:p w:rsidR="00D175E1" w:rsidRDefault="00D175E1">
      <w:pPr>
        <w:pStyle w:val="TOC2"/>
        <w:rPr>
          <w:rFonts w:asciiTheme="minorHAnsi" w:hAnsiTheme="minorHAnsi"/>
          <w:sz w:val="22"/>
          <w:szCs w:val="22"/>
          <w:lang w:eastAsia="en-AU"/>
        </w:rPr>
      </w:pPr>
      <w:r>
        <w:t>3.3</w:t>
      </w:r>
      <w:r>
        <w:rPr>
          <w:rFonts w:asciiTheme="minorHAnsi" w:hAnsiTheme="minorHAnsi"/>
          <w:sz w:val="22"/>
          <w:szCs w:val="22"/>
          <w:lang w:eastAsia="en-AU"/>
        </w:rPr>
        <w:tab/>
      </w:r>
      <w:r>
        <w:t>Goals and objectives</w:t>
      </w:r>
      <w:r>
        <w:tab/>
      </w:r>
      <w:r w:rsidR="00E954B8">
        <w:fldChar w:fldCharType="begin"/>
      </w:r>
      <w:r>
        <w:instrText xml:space="preserve"> PAGEREF _Toc378857202 \h </w:instrText>
      </w:r>
      <w:r w:rsidR="00E954B8">
        <w:fldChar w:fldCharType="separate"/>
      </w:r>
      <w:r>
        <w:t>13</w:t>
      </w:r>
      <w:r w:rsidR="00E954B8">
        <w:fldChar w:fldCharType="end"/>
      </w:r>
    </w:p>
    <w:p w:rsidR="00D175E1" w:rsidRDefault="00D175E1">
      <w:pPr>
        <w:pStyle w:val="TOC2"/>
        <w:rPr>
          <w:rFonts w:asciiTheme="minorHAnsi" w:hAnsiTheme="minorHAnsi"/>
          <w:sz w:val="22"/>
          <w:szCs w:val="22"/>
          <w:lang w:eastAsia="en-AU"/>
        </w:rPr>
      </w:pPr>
      <w:r>
        <w:t>3.4</w:t>
      </w:r>
      <w:r>
        <w:rPr>
          <w:rFonts w:asciiTheme="minorHAnsi" w:hAnsiTheme="minorHAnsi"/>
          <w:sz w:val="22"/>
          <w:szCs w:val="22"/>
          <w:lang w:eastAsia="en-AU"/>
        </w:rPr>
        <w:tab/>
      </w:r>
      <w:r>
        <w:t>Description of management arrangements</w:t>
      </w:r>
      <w:r>
        <w:tab/>
      </w:r>
      <w:r w:rsidR="00E954B8">
        <w:fldChar w:fldCharType="begin"/>
      </w:r>
      <w:r>
        <w:instrText xml:space="preserve"> PAGEREF _Toc378857203 \h </w:instrText>
      </w:r>
      <w:r w:rsidR="00E954B8">
        <w:fldChar w:fldCharType="separate"/>
      </w:r>
      <w:r>
        <w:t>14</w:t>
      </w:r>
      <w:r w:rsidR="00E954B8">
        <w:fldChar w:fldCharType="end"/>
      </w:r>
    </w:p>
    <w:p w:rsidR="00D175E1" w:rsidRDefault="00D175E1">
      <w:pPr>
        <w:pStyle w:val="TOC1"/>
        <w:rPr>
          <w:rFonts w:asciiTheme="minorHAnsi" w:hAnsiTheme="minorHAnsi"/>
          <w:b w:val="0"/>
          <w:sz w:val="22"/>
          <w:szCs w:val="22"/>
          <w:lang w:eastAsia="en-AU"/>
        </w:rPr>
      </w:pPr>
      <w:r>
        <w:t>4.</w:t>
      </w:r>
      <w:r>
        <w:rPr>
          <w:rFonts w:asciiTheme="minorHAnsi" w:hAnsiTheme="minorHAnsi"/>
          <w:b w:val="0"/>
          <w:sz w:val="22"/>
          <w:szCs w:val="22"/>
          <w:lang w:eastAsia="en-AU"/>
        </w:rPr>
        <w:tab/>
      </w:r>
      <w:r>
        <w:t>Breadth and depth of assessment</w:t>
      </w:r>
      <w:r>
        <w:tab/>
      </w:r>
      <w:r w:rsidR="00E954B8">
        <w:fldChar w:fldCharType="begin"/>
      </w:r>
      <w:r>
        <w:instrText xml:space="preserve"> PAGEREF _Toc378857204 \h </w:instrText>
      </w:r>
      <w:r w:rsidR="00E954B8">
        <w:fldChar w:fldCharType="separate"/>
      </w:r>
      <w:r>
        <w:t>15</w:t>
      </w:r>
      <w:r w:rsidR="00E954B8">
        <w:fldChar w:fldCharType="end"/>
      </w:r>
    </w:p>
    <w:p w:rsidR="00D175E1" w:rsidRDefault="00D175E1">
      <w:pPr>
        <w:pStyle w:val="TOC2"/>
        <w:rPr>
          <w:rFonts w:asciiTheme="minorHAnsi" w:hAnsiTheme="minorHAnsi"/>
          <w:sz w:val="22"/>
          <w:szCs w:val="22"/>
          <w:lang w:eastAsia="en-AU"/>
        </w:rPr>
      </w:pPr>
      <w:r>
        <w:t>4.1</w:t>
      </w:r>
      <w:r>
        <w:rPr>
          <w:rFonts w:asciiTheme="minorHAnsi" w:hAnsiTheme="minorHAnsi"/>
          <w:sz w:val="22"/>
          <w:szCs w:val="22"/>
          <w:lang w:eastAsia="en-AU"/>
        </w:rPr>
        <w:tab/>
      </w:r>
      <w:r>
        <w:t>Introduction</w:t>
      </w:r>
      <w:r>
        <w:tab/>
      </w:r>
      <w:r w:rsidR="00E954B8">
        <w:fldChar w:fldCharType="begin"/>
      </w:r>
      <w:r>
        <w:instrText xml:space="preserve"> PAGEREF _Toc378857205 \h </w:instrText>
      </w:r>
      <w:r w:rsidR="00E954B8">
        <w:fldChar w:fldCharType="separate"/>
      </w:r>
      <w:r>
        <w:t>15</w:t>
      </w:r>
      <w:r w:rsidR="00E954B8">
        <w:fldChar w:fldCharType="end"/>
      </w:r>
    </w:p>
    <w:p w:rsidR="00D175E1" w:rsidRDefault="00D175E1">
      <w:pPr>
        <w:pStyle w:val="TOC2"/>
        <w:rPr>
          <w:rFonts w:asciiTheme="minorHAnsi" w:hAnsiTheme="minorHAnsi"/>
          <w:sz w:val="22"/>
          <w:szCs w:val="22"/>
          <w:lang w:eastAsia="en-AU"/>
        </w:rPr>
      </w:pPr>
      <w:r>
        <w:t>4.2</w:t>
      </w:r>
      <w:r>
        <w:rPr>
          <w:rFonts w:asciiTheme="minorHAnsi" w:hAnsiTheme="minorHAnsi"/>
          <w:sz w:val="22"/>
          <w:szCs w:val="22"/>
          <w:lang w:eastAsia="en-AU"/>
        </w:rPr>
        <w:tab/>
      </w:r>
      <w:r>
        <w:t>Overview</w:t>
      </w:r>
      <w:r>
        <w:tab/>
      </w:r>
      <w:r w:rsidR="00E954B8">
        <w:fldChar w:fldCharType="begin"/>
      </w:r>
      <w:r>
        <w:instrText xml:space="preserve"> PAGEREF _Toc378857206 \h </w:instrText>
      </w:r>
      <w:r w:rsidR="00E954B8">
        <w:fldChar w:fldCharType="separate"/>
      </w:r>
      <w:r>
        <w:t>15</w:t>
      </w:r>
      <w:r w:rsidR="00E954B8">
        <w:fldChar w:fldCharType="end"/>
      </w:r>
    </w:p>
    <w:p w:rsidR="00D175E1" w:rsidRDefault="00D175E1">
      <w:pPr>
        <w:pStyle w:val="TOC2"/>
        <w:rPr>
          <w:rFonts w:asciiTheme="minorHAnsi" w:hAnsiTheme="minorHAnsi"/>
          <w:sz w:val="22"/>
          <w:szCs w:val="22"/>
          <w:lang w:eastAsia="en-AU"/>
        </w:rPr>
      </w:pPr>
      <w:r>
        <w:t>4.3</w:t>
      </w:r>
      <w:r>
        <w:rPr>
          <w:rFonts w:asciiTheme="minorHAnsi" w:hAnsiTheme="minorHAnsi"/>
          <w:sz w:val="22"/>
          <w:szCs w:val="22"/>
          <w:lang w:eastAsia="en-AU"/>
        </w:rPr>
        <w:tab/>
      </w:r>
      <w:r>
        <w:t>Environmental assessments</w:t>
      </w:r>
      <w:r>
        <w:tab/>
      </w:r>
      <w:r w:rsidR="00E954B8">
        <w:fldChar w:fldCharType="begin"/>
      </w:r>
      <w:r>
        <w:instrText xml:space="preserve"> PAGEREF _Toc378857207 \h </w:instrText>
      </w:r>
      <w:r w:rsidR="00E954B8">
        <w:fldChar w:fldCharType="separate"/>
      </w:r>
      <w:r>
        <w:t>15</w:t>
      </w:r>
      <w:r w:rsidR="00E954B8">
        <w:fldChar w:fldCharType="end"/>
      </w:r>
    </w:p>
    <w:p w:rsidR="00D175E1" w:rsidRDefault="00D175E1">
      <w:pPr>
        <w:pStyle w:val="TOC2"/>
        <w:rPr>
          <w:rFonts w:asciiTheme="minorHAnsi" w:hAnsiTheme="minorHAnsi"/>
          <w:sz w:val="22"/>
          <w:szCs w:val="22"/>
          <w:lang w:eastAsia="en-AU"/>
        </w:rPr>
      </w:pPr>
      <w:r>
        <w:t>4.4</w:t>
      </w:r>
      <w:r>
        <w:rPr>
          <w:rFonts w:asciiTheme="minorHAnsi" w:hAnsiTheme="minorHAnsi"/>
          <w:sz w:val="22"/>
          <w:szCs w:val="22"/>
          <w:lang w:eastAsia="en-AU"/>
        </w:rPr>
        <w:tab/>
      </w:r>
      <w:r>
        <w:t>Management</w:t>
      </w:r>
      <w:r>
        <w:tab/>
      </w:r>
      <w:r w:rsidR="00E954B8">
        <w:fldChar w:fldCharType="begin"/>
      </w:r>
      <w:r>
        <w:instrText xml:space="preserve"> PAGEREF _Toc378857208 \h </w:instrText>
      </w:r>
      <w:r w:rsidR="00E954B8">
        <w:fldChar w:fldCharType="separate"/>
      </w:r>
      <w:r>
        <w:t>16</w:t>
      </w:r>
      <w:r w:rsidR="00E954B8">
        <w:fldChar w:fldCharType="end"/>
      </w:r>
    </w:p>
    <w:p w:rsidR="00D175E1" w:rsidRDefault="00D175E1">
      <w:pPr>
        <w:pStyle w:val="TOC2"/>
        <w:rPr>
          <w:rFonts w:asciiTheme="minorHAnsi" w:hAnsiTheme="minorHAnsi"/>
          <w:sz w:val="22"/>
          <w:szCs w:val="22"/>
          <w:lang w:eastAsia="en-AU"/>
        </w:rPr>
      </w:pPr>
      <w:r>
        <w:t>4.5</w:t>
      </w:r>
      <w:r>
        <w:rPr>
          <w:rFonts w:asciiTheme="minorHAnsi" w:hAnsiTheme="minorHAnsi"/>
          <w:sz w:val="22"/>
          <w:szCs w:val="22"/>
          <w:lang w:eastAsia="en-AU"/>
        </w:rPr>
        <w:tab/>
      </w:r>
      <w:r>
        <w:t>Partnerships and collaboration</w:t>
      </w:r>
      <w:r>
        <w:tab/>
      </w:r>
      <w:r w:rsidR="00E954B8">
        <w:fldChar w:fldCharType="begin"/>
      </w:r>
      <w:r>
        <w:instrText xml:space="preserve"> PAGEREF _Toc378857209 \h </w:instrText>
      </w:r>
      <w:r w:rsidR="00E954B8">
        <w:fldChar w:fldCharType="separate"/>
      </w:r>
      <w:r>
        <w:t>17</w:t>
      </w:r>
      <w:r w:rsidR="00E954B8">
        <w:fldChar w:fldCharType="end"/>
      </w:r>
    </w:p>
    <w:p w:rsidR="00D175E1" w:rsidRDefault="00D175E1">
      <w:pPr>
        <w:pStyle w:val="TOC1"/>
        <w:rPr>
          <w:rFonts w:asciiTheme="minorHAnsi" w:hAnsiTheme="minorHAnsi"/>
          <w:b w:val="0"/>
          <w:sz w:val="22"/>
          <w:szCs w:val="22"/>
          <w:lang w:eastAsia="en-AU"/>
        </w:rPr>
      </w:pPr>
      <w:r>
        <w:t>5.</w:t>
      </w:r>
      <w:r>
        <w:rPr>
          <w:rFonts w:asciiTheme="minorHAnsi" w:hAnsiTheme="minorHAnsi"/>
          <w:b w:val="0"/>
          <w:sz w:val="22"/>
          <w:szCs w:val="22"/>
          <w:lang w:eastAsia="en-AU"/>
        </w:rPr>
        <w:tab/>
      </w:r>
      <w:r>
        <w:t>Technical accuracy</w:t>
      </w:r>
      <w:r>
        <w:tab/>
      </w:r>
      <w:r w:rsidR="00E954B8">
        <w:fldChar w:fldCharType="begin"/>
      </w:r>
      <w:r>
        <w:instrText xml:space="preserve"> PAGEREF _Toc378857210 \h </w:instrText>
      </w:r>
      <w:r w:rsidR="00E954B8">
        <w:fldChar w:fldCharType="separate"/>
      </w:r>
      <w:r>
        <w:t>19</w:t>
      </w:r>
      <w:r w:rsidR="00E954B8">
        <w:fldChar w:fldCharType="end"/>
      </w:r>
    </w:p>
    <w:p w:rsidR="00D175E1" w:rsidRDefault="00D175E1">
      <w:pPr>
        <w:pStyle w:val="TOC2"/>
        <w:rPr>
          <w:rFonts w:asciiTheme="minorHAnsi" w:hAnsiTheme="minorHAnsi"/>
          <w:sz w:val="22"/>
          <w:szCs w:val="22"/>
          <w:lang w:eastAsia="en-AU"/>
        </w:rPr>
      </w:pPr>
      <w:r>
        <w:t>5.1</w:t>
      </w:r>
      <w:r>
        <w:rPr>
          <w:rFonts w:asciiTheme="minorHAnsi" w:hAnsiTheme="minorHAnsi"/>
          <w:sz w:val="22"/>
          <w:szCs w:val="22"/>
          <w:lang w:eastAsia="en-AU"/>
        </w:rPr>
        <w:tab/>
      </w:r>
      <w:r>
        <w:t>Introduction</w:t>
      </w:r>
      <w:r>
        <w:tab/>
      </w:r>
      <w:r w:rsidR="00E954B8">
        <w:fldChar w:fldCharType="begin"/>
      </w:r>
      <w:r>
        <w:instrText xml:space="preserve"> PAGEREF _Toc378857211 \h </w:instrText>
      </w:r>
      <w:r w:rsidR="00E954B8">
        <w:fldChar w:fldCharType="separate"/>
      </w:r>
      <w:r>
        <w:t>19</w:t>
      </w:r>
      <w:r w:rsidR="00E954B8">
        <w:fldChar w:fldCharType="end"/>
      </w:r>
    </w:p>
    <w:p w:rsidR="00D175E1" w:rsidRDefault="00D175E1">
      <w:pPr>
        <w:pStyle w:val="TOC2"/>
        <w:rPr>
          <w:rFonts w:asciiTheme="minorHAnsi" w:hAnsiTheme="minorHAnsi"/>
          <w:sz w:val="22"/>
          <w:szCs w:val="22"/>
          <w:lang w:eastAsia="en-AU"/>
        </w:rPr>
      </w:pPr>
      <w:r>
        <w:t>5.2</w:t>
      </w:r>
      <w:r>
        <w:rPr>
          <w:rFonts w:asciiTheme="minorHAnsi" w:hAnsiTheme="minorHAnsi"/>
          <w:sz w:val="22"/>
          <w:szCs w:val="22"/>
          <w:lang w:eastAsia="en-AU"/>
        </w:rPr>
        <w:tab/>
      </w:r>
      <w:r>
        <w:t>Best available science</w:t>
      </w:r>
      <w:r>
        <w:tab/>
      </w:r>
      <w:r w:rsidR="00E954B8">
        <w:fldChar w:fldCharType="begin"/>
      </w:r>
      <w:r>
        <w:instrText xml:space="preserve"> PAGEREF _Toc378857212 \h </w:instrText>
      </w:r>
      <w:r w:rsidR="00E954B8">
        <w:fldChar w:fldCharType="separate"/>
      </w:r>
      <w:r>
        <w:t>19</w:t>
      </w:r>
      <w:r w:rsidR="00E954B8">
        <w:fldChar w:fldCharType="end"/>
      </w:r>
    </w:p>
    <w:p w:rsidR="00D175E1" w:rsidRDefault="00D175E1">
      <w:pPr>
        <w:pStyle w:val="TOC2"/>
        <w:rPr>
          <w:rFonts w:asciiTheme="minorHAnsi" w:hAnsiTheme="minorHAnsi"/>
          <w:sz w:val="22"/>
          <w:szCs w:val="22"/>
          <w:lang w:eastAsia="en-AU"/>
        </w:rPr>
      </w:pPr>
      <w:r>
        <w:t>5.3</w:t>
      </w:r>
      <w:r>
        <w:rPr>
          <w:rFonts w:asciiTheme="minorHAnsi" w:hAnsiTheme="minorHAnsi"/>
          <w:sz w:val="22"/>
          <w:szCs w:val="22"/>
          <w:lang w:eastAsia="en-AU"/>
        </w:rPr>
        <w:tab/>
      </w:r>
      <w:r>
        <w:t>Improving technical rigour</w:t>
      </w:r>
      <w:r>
        <w:tab/>
      </w:r>
      <w:r w:rsidR="00E954B8">
        <w:fldChar w:fldCharType="begin"/>
      </w:r>
      <w:r>
        <w:instrText xml:space="preserve"> PAGEREF _Toc378857213 \h </w:instrText>
      </w:r>
      <w:r w:rsidR="00E954B8">
        <w:fldChar w:fldCharType="separate"/>
      </w:r>
      <w:r>
        <w:t>19</w:t>
      </w:r>
      <w:r w:rsidR="00E954B8">
        <w:fldChar w:fldCharType="end"/>
      </w:r>
    </w:p>
    <w:p w:rsidR="00D175E1" w:rsidRDefault="00D175E1">
      <w:pPr>
        <w:pStyle w:val="TOC2"/>
        <w:rPr>
          <w:rFonts w:asciiTheme="minorHAnsi" w:hAnsiTheme="minorHAnsi"/>
          <w:sz w:val="22"/>
          <w:szCs w:val="22"/>
          <w:lang w:eastAsia="en-AU"/>
        </w:rPr>
      </w:pPr>
      <w:r>
        <w:t>5.4</w:t>
      </w:r>
      <w:r>
        <w:rPr>
          <w:rFonts w:asciiTheme="minorHAnsi" w:hAnsiTheme="minorHAnsi"/>
          <w:sz w:val="22"/>
          <w:szCs w:val="22"/>
          <w:lang w:eastAsia="en-AU"/>
        </w:rPr>
        <w:tab/>
      </w:r>
      <w:r>
        <w:t>World Heritage and Outstanding Universal Value</w:t>
      </w:r>
      <w:r>
        <w:tab/>
      </w:r>
      <w:r w:rsidR="00E954B8">
        <w:fldChar w:fldCharType="begin"/>
      </w:r>
      <w:r>
        <w:instrText xml:space="preserve"> PAGEREF _Toc378857214 \h </w:instrText>
      </w:r>
      <w:r w:rsidR="00E954B8">
        <w:fldChar w:fldCharType="separate"/>
      </w:r>
      <w:r>
        <w:t>22</w:t>
      </w:r>
      <w:r w:rsidR="00E954B8">
        <w:fldChar w:fldCharType="end"/>
      </w:r>
    </w:p>
    <w:p w:rsidR="00D175E1" w:rsidRDefault="00D175E1">
      <w:pPr>
        <w:pStyle w:val="TOC1"/>
        <w:rPr>
          <w:rFonts w:asciiTheme="minorHAnsi" w:hAnsiTheme="minorHAnsi"/>
          <w:b w:val="0"/>
          <w:sz w:val="22"/>
          <w:szCs w:val="22"/>
          <w:lang w:eastAsia="en-AU"/>
        </w:rPr>
      </w:pPr>
      <w:r>
        <w:t>6.</w:t>
      </w:r>
      <w:r>
        <w:rPr>
          <w:rFonts w:asciiTheme="minorHAnsi" w:hAnsiTheme="minorHAnsi"/>
          <w:b w:val="0"/>
          <w:sz w:val="22"/>
          <w:szCs w:val="22"/>
          <w:lang w:eastAsia="en-AU"/>
        </w:rPr>
        <w:tab/>
      </w:r>
      <w:r>
        <w:t>Validity of conclusions</w:t>
      </w:r>
      <w:r>
        <w:tab/>
      </w:r>
      <w:r w:rsidR="00E954B8">
        <w:fldChar w:fldCharType="begin"/>
      </w:r>
      <w:r>
        <w:instrText xml:space="preserve"> PAGEREF _Toc378857215 \h </w:instrText>
      </w:r>
      <w:r w:rsidR="00E954B8">
        <w:fldChar w:fldCharType="separate"/>
      </w:r>
      <w:r>
        <w:t>23</w:t>
      </w:r>
      <w:r w:rsidR="00E954B8">
        <w:fldChar w:fldCharType="end"/>
      </w:r>
    </w:p>
    <w:p w:rsidR="00D175E1" w:rsidRDefault="00D175E1">
      <w:pPr>
        <w:pStyle w:val="TOC2"/>
        <w:rPr>
          <w:rFonts w:asciiTheme="minorHAnsi" w:hAnsiTheme="minorHAnsi"/>
          <w:sz w:val="22"/>
          <w:szCs w:val="22"/>
          <w:lang w:eastAsia="en-AU"/>
        </w:rPr>
      </w:pPr>
      <w:r>
        <w:t>6.1</w:t>
      </w:r>
      <w:r>
        <w:rPr>
          <w:rFonts w:asciiTheme="minorHAnsi" w:hAnsiTheme="minorHAnsi"/>
          <w:sz w:val="22"/>
          <w:szCs w:val="22"/>
          <w:lang w:eastAsia="en-AU"/>
        </w:rPr>
        <w:tab/>
      </w:r>
      <w:r>
        <w:t>Overview</w:t>
      </w:r>
      <w:r>
        <w:tab/>
      </w:r>
      <w:r w:rsidR="00E954B8">
        <w:fldChar w:fldCharType="begin"/>
      </w:r>
      <w:r>
        <w:instrText xml:space="preserve"> PAGEREF _Toc378857216 \h </w:instrText>
      </w:r>
      <w:r w:rsidR="00E954B8">
        <w:fldChar w:fldCharType="separate"/>
      </w:r>
      <w:r>
        <w:t>23</w:t>
      </w:r>
      <w:r w:rsidR="00E954B8">
        <w:fldChar w:fldCharType="end"/>
      </w:r>
    </w:p>
    <w:p w:rsidR="00D175E1" w:rsidRDefault="00D175E1">
      <w:pPr>
        <w:pStyle w:val="TOC2"/>
        <w:rPr>
          <w:rFonts w:asciiTheme="minorHAnsi" w:hAnsiTheme="minorHAnsi"/>
          <w:sz w:val="22"/>
          <w:szCs w:val="22"/>
          <w:lang w:eastAsia="en-AU"/>
        </w:rPr>
      </w:pPr>
      <w:r>
        <w:t>6.2</w:t>
      </w:r>
      <w:r>
        <w:rPr>
          <w:rFonts w:asciiTheme="minorHAnsi" w:hAnsiTheme="minorHAnsi"/>
          <w:sz w:val="22"/>
          <w:szCs w:val="22"/>
          <w:lang w:eastAsia="en-AU"/>
        </w:rPr>
        <w:tab/>
      </w:r>
      <w:r>
        <w:t>The case for action</w:t>
      </w:r>
      <w:r>
        <w:tab/>
      </w:r>
      <w:r w:rsidR="00E954B8">
        <w:fldChar w:fldCharType="begin"/>
      </w:r>
      <w:r>
        <w:instrText xml:space="preserve"> PAGEREF _Toc378857217 \h </w:instrText>
      </w:r>
      <w:r w:rsidR="00E954B8">
        <w:fldChar w:fldCharType="separate"/>
      </w:r>
      <w:r>
        <w:t>23</w:t>
      </w:r>
      <w:r w:rsidR="00E954B8">
        <w:fldChar w:fldCharType="end"/>
      </w:r>
    </w:p>
    <w:p w:rsidR="00D175E1" w:rsidRDefault="00D175E1">
      <w:pPr>
        <w:pStyle w:val="TOC2"/>
        <w:rPr>
          <w:rFonts w:asciiTheme="minorHAnsi" w:hAnsiTheme="minorHAnsi"/>
          <w:sz w:val="22"/>
          <w:szCs w:val="22"/>
          <w:lang w:eastAsia="en-AU"/>
        </w:rPr>
      </w:pPr>
      <w:r>
        <w:t>6.3</w:t>
      </w:r>
      <w:r>
        <w:rPr>
          <w:rFonts w:asciiTheme="minorHAnsi" w:hAnsiTheme="minorHAnsi"/>
          <w:sz w:val="22"/>
          <w:szCs w:val="22"/>
          <w:lang w:eastAsia="en-AU"/>
        </w:rPr>
        <w:tab/>
      </w:r>
      <w:r>
        <w:t>Forward commitments</w:t>
      </w:r>
      <w:r>
        <w:tab/>
      </w:r>
      <w:r w:rsidR="00E954B8">
        <w:fldChar w:fldCharType="begin"/>
      </w:r>
      <w:r>
        <w:instrText xml:space="preserve"> PAGEREF _Toc378857218 \h </w:instrText>
      </w:r>
      <w:r w:rsidR="00E954B8">
        <w:fldChar w:fldCharType="separate"/>
      </w:r>
      <w:r>
        <w:t>24</w:t>
      </w:r>
      <w:r w:rsidR="00E954B8">
        <w:fldChar w:fldCharType="end"/>
      </w:r>
    </w:p>
    <w:p w:rsidR="00D175E1" w:rsidRDefault="00D175E1">
      <w:pPr>
        <w:pStyle w:val="TOC1"/>
        <w:rPr>
          <w:rFonts w:asciiTheme="minorHAnsi" w:hAnsiTheme="minorHAnsi"/>
          <w:b w:val="0"/>
          <w:sz w:val="22"/>
          <w:szCs w:val="22"/>
          <w:lang w:eastAsia="en-AU"/>
        </w:rPr>
      </w:pPr>
      <w:r>
        <w:t>7.</w:t>
      </w:r>
      <w:r>
        <w:rPr>
          <w:rFonts w:asciiTheme="minorHAnsi" w:hAnsiTheme="minorHAnsi"/>
          <w:b w:val="0"/>
          <w:sz w:val="22"/>
          <w:szCs w:val="22"/>
          <w:lang w:eastAsia="en-AU"/>
        </w:rPr>
        <w:tab/>
      </w:r>
      <w:r>
        <w:t>Comparative assessment of Queensland and GBRMPA Strategic Assessments</w:t>
      </w:r>
      <w:r>
        <w:tab/>
      </w:r>
      <w:r w:rsidR="00E954B8">
        <w:fldChar w:fldCharType="begin"/>
      </w:r>
      <w:r>
        <w:instrText xml:space="preserve"> PAGEREF _Toc378857219 \h </w:instrText>
      </w:r>
      <w:r w:rsidR="00E954B8">
        <w:fldChar w:fldCharType="separate"/>
      </w:r>
      <w:r>
        <w:t>26</w:t>
      </w:r>
      <w:r w:rsidR="00E954B8">
        <w:fldChar w:fldCharType="end"/>
      </w:r>
    </w:p>
    <w:p w:rsidR="00D175E1" w:rsidRDefault="00D175E1">
      <w:pPr>
        <w:pStyle w:val="TOC2"/>
        <w:rPr>
          <w:rFonts w:asciiTheme="minorHAnsi" w:hAnsiTheme="minorHAnsi"/>
          <w:sz w:val="22"/>
          <w:szCs w:val="22"/>
          <w:lang w:eastAsia="en-AU"/>
        </w:rPr>
      </w:pPr>
      <w:r>
        <w:t>7.1</w:t>
      </w:r>
      <w:r>
        <w:rPr>
          <w:rFonts w:asciiTheme="minorHAnsi" w:hAnsiTheme="minorHAnsi"/>
          <w:sz w:val="22"/>
          <w:szCs w:val="22"/>
          <w:lang w:eastAsia="en-AU"/>
        </w:rPr>
        <w:tab/>
      </w:r>
      <w:r>
        <w:t>Introduction</w:t>
      </w:r>
      <w:r>
        <w:tab/>
      </w:r>
      <w:r w:rsidR="00E954B8">
        <w:fldChar w:fldCharType="begin"/>
      </w:r>
      <w:r>
        <w:instrText xml:space="preserve"> PAGEREF _Toc378857220 \h </w:instrText>
      </w:r>
      <w:r w:rsidR="00E954B8">
        <w:fldChar w:fldCharType="separate"/>
      </w:r>
      <w:r>
        <w:t>26</w:t>
      </w:r>
      <w:r w:rsidR="00E954B8">
        <w:fldChar w:fldCharType="end"/>
      </w:r>
    </w:p>
    <w:p w:rsidR="00D175E1" w:rsidRDefault="00D175E1">
      <w:pPr>
        <w:pStyle w:val="TOC2"/>
        <w:rPr>
          <w:rFonts w:asciiTheme="minorHAnsi" w:hAnsiTheme="minorHAnsi"/>
          <w:sz w:val="22"/>
          <w:szCs w:val="22"/>
          <w:lang w:eastAsia="en-AU"/>
        </w:rPr>
      </w:pPr>
      <w:r>
        <w:lastRenderedPageBreak/>
        <w:t>7.2</w:t>
      </w:r>
      <w:r>
        <w:rPr>
          <w:rFonts w:asciiTheme="minorHAnsi" w:hAnsiTheme="minorHAnsi"/>
          <w:sz w:val="22"/>
          <w:szCs w:val="22"/>
          <w:lang w:eastAsia="en-AU"/>
        </w:rPr>
        <w:tab/>
      </w:r>
      <w:r>
        <w:t>Matters of National Environmental Significance</w:t>
      </w:r>
      <w:r>
        <w:tab/>
      </w:r>
      <w:r w:rsidR="00E954B8">
        <w:fldChar w:fldCharType="begin"/>
      </w:r>
      <w:r>
        <w:instrText xml:space="preserve"> PAGEREF _Toc378857221 \h </w:instrText>
      </w:r>
      <w:r w:rsidR="00E954B8">
        <w:fldChar w:fldCharType="separate"/>
      </w:r>
      <w:r>
        <w:t>26</w:t>
      </w:r>
      <w:r w:rsidR="00E954B8">
        <w:fldChar w:fldCharType="end"/>
      </w:r>
    </w:p>
    <w:p w:rsidR="00D175E1" w:rsidRDefault="00D175E1">
      <w:pPr>
        <w:pStyle w:val="TOC2"/>
        <w:rPr>
          <w:rFonts w:asciiTheme="minorHAnsi" w:hAnsiTheme="minorHAnsi"/>
          <w:sz w:val="22"/>
          <w:szCs w:val="22"/>
          <w:lang w:eastAsia="en-AU"/>
        </w:rPr>
      </w:pPr>
      <w:r>
        <w:t>7.3</w:t>
      </w:r>
      <w:r>
        <w:rPr>
          <w:rFonts w:asciiTheme="minorHAnsi" w:hAnsiTheme="minorHAnsi"/>
          <w:sz w:val="22"/>
          <w:szCs w:val="22"/>
          <w:lang w:eastAsia="en-AU"/>
        </w:rPr>
        <w:tab/>
      </w:r>
      <w:r>
        <w:t>Strengths and alignments</w:t>
      </w:r>
      <w:r>
        <w:tab/>
      </w:r>
      <w:r w:rsidR="00E954B8">
        <w:fldChar w:fldCharType="begin"/>
      </w:r>
      <w:r>
        <w:instrText xml:space="preserve"> PAGEREF _Toc378857222 \h </w:instrText>
      </w:r>
      <w:r w:rsidR="00E954B8">
        <w:fldChar w:fldCharType="separate"/>
      </w:r>
      <w:r>
        <w:t>27</w:t>
      </w:r>
      <w:r w:rsidR="00E954B8">
        <w:fldChar w:fldCharType="end"/>
      </w:r>
    </w:p>
    <w:p w:rsidR="00D175E1" w:rsidRDefault="00D175E1">
      <w:pPr>
        <w:pStyle w:val="TOC2"/>
        <w:rPr>
          <w:rFonts w:asciiTheme="minorHAnsi" w:hAnsiTheme="minorHAnsi"/>
          <w:sz w:val="22"/>
          <w:szCs w:val="22"/>
          <w:lang w:eastAsia="en-AU"/>
        </w:rPr>
      </w:pPr>
      <w:r>
        <w:t>7.4</w:t>
      </w:r>
      <w:r>
        <w:rPr>
          <w:rFonts w:asciiTheme="minorHAnsi" w:hAnsiTheme="minorHAnsi"/>
          <w:sz w:val="22"/>
          <w:szCs w:val="22"/>
          <w:lang w:eastAsia="en-AU"/>
        </w:rPr>
        <w:tab/>
      </w:r>
      <w:r>
        <w:t>Gaps and inconsistencies</w:t>
      </w:r>
      <w:r>
        <w:tab/>
      </w:r>
      <w:r w:rsidR="00E954B8">
        <w:fldChar w:fldCharType="begin"/>
      </w:r>
      <w:r>
        <w:instrText xml:space="preserve"> PAGEREF _Toc378857223 \h </w:instrText>
      </w:r>
      <w:r w:rsidR="00E954B8">
        <w:fldChar w:fldCharType="separate"/>
      </w:r>
      <w:r>
        <w:t>27</w:t>
      </w:r>
      <w:r w:rsidR="00E954B8">
        <w:fldChar w:fldCharType="end"/>
      </w:r>
    </w:p>
    <w:p w:rsidR="00D175E1" w:rsidRDefault="00D175E1">
      <w:pPr>
        <w:pStyle w:val="TOC1"/>
        <w:rPr>
          <w:rFonts w:asciiTheme="minorHAnsi" w:hAnsiTheme="minorHAnsi"/>
          <w:b w:val="0"/>
          <w:sz w:val="22"/>
          <w:szCs w:val="22"/>
          <w:lang w:eastAsia="en-AU"/>
        </w:rPr>
      </w:pPr>
      <w:r>
        <w:t>8.</w:t>
      </w:r>
      <w:r>
        <w:rPr>
          <w:rFonts w:asciiTheme="minorHAnsi" w:hAnsiTheme="minorHAnsi"/>
          <w:b w:val="0"/>
          <w:sz w:val="22"/>
          <w:szCs w:val="22"/>
          <w:lang w:eastAsia="en-AU"/>
        </w:rPr>
        <w:tab/>
      </w:r>
      <w:r>
        <w:t>Conclusions and recommendations</w:t>
      </w:r>
      <w:r>
        <w:tab/>
      </w:r>
      <w:r w:rsidR="00E954B8">
        <w:fldChar w:fldCharType="begin"/>
      </w:r>
      <w:r>
        <w:instrText xml:space="preserve"> PAGEREF _Toc378857224 \h </w:instrText>
      </w:r>
      <w:r w:rsidR="00E954B8">
        <w:fldChar w:fldCharType="separate"/>
      </w:r>
      <w:r>
        <w:t>32</w:t>
      </w:r>
      <w:r w:rsidR="00E954B8">
        <w:fldChar w:fldCharType="end"/>
      </w:r>
    </w:p>
    <w:p w:rsidR="00D175E1" w:rsidRDefault="00D175E1">
      <w:pPr>
        <w:pStyle w:val="TOC2"/>
        <w:rPr>
          <w:rFonts w:asciiTheme="minorHAnsi" w:hAnsiTheme="minorHAnsi"/>
          <w:sz w:val="22"/>
          <w:szCs w:val="22"/>
          <w:lang w:eastAsia="en-AU"/>
        </w:rPr>
      </w:pPr>
      <w:r>
        <w:t>8.1</w:t>
      </w:r>
      <w:r>
        <w:rPr>
          <w:rFonts w:asciiTheme="minorHAnsi" w:hAnsiTheme="minorHAnsi"/>
          <w:sz w:val="22"/>
          <w:szCs w:val="22"/>
          <w:lang w:eastAsia="en-AU"/>
        </w:rPr>
        <w:tab/>
      </w:r>
      <w:r>
        <w:t>Summary of conclusions</w:t>
      </w:r>
      <w:r>
        <w:tab/>
      </w:r>
      <w:r w:rsidR="00E954B8">
        <w:fldChar w:fldCharType="begin"/>
      </w:r>
      <w:r>
        <w:instrText xml:space="preserve"> PAGEREF _Toc378857225 \h </w:instrText>
      </w:r>
      <w:r w:rsidR="00E954B8">
        <w:fldChar w:fldCharType="separate"/>
      </w:r>
      <w:r>
        <w:t>32</w:t>
      </w:r>
      <w:r w:rsidR="00E954B8">
        <w:fldChar w:fldCharType="end"/>
      </w:r>
    </w:p>
    <w:p w:rsidR="00D175E1" w:rsidRDefault="00D175E1">
      <w:pPr>
        <w:pStyle w:val="TOC2"/>
        <w:rPr>
          <w:rFonts w:asciiTheme="minorHAnsi" w:hAnsiTheme="minorHAnsi"/>
          <w:sz w:val="22"/>
          <w:szCs w:val="22"/>
          <w:lang w:eastAsia="en-AU"/>
        </w:rPr>
      </w:pPr>
      <w:r>
        <w:t>8.2</w:t>
      </w:r>
      <w:r>
        <w:rPr>
          <w:rFonts w:asciiTheme="minorHAnsi" w:hAnsiTheme="minorHAnsi"/>
          <w:sz w:val="22"/>
          <w:szCs w:val="22"/>
          <w:lang w:eastAsia="en-AU"/>
        </w:rPr>
        <w:tab/>
      </w:r>
      <w:r>
        <w:t>Our overarching view</w:t>
      </w:r>
      <w:r>
        <w:tab/>
      </w:r>
      <w:r w:rsidR="00E954B8">
        <w:fldChar w:fldCharType="begin"/>
      </w:r>
      <w:r>
        <w:instrText xml:space="preserve"> PAGEREF _Toc378857226 \h </w:instrText>
      </w:r>
      <w:r w:rsidR="00E954B8">
        <w:fldChar w:fldCharType="separate"/>
      </w:r>
      <w:r>
        <w:t>36</w:t>
      </w:r>
      <w:r w:rsidR="00E954B8">
        <w:fldChar w:fldCharType="end"/>
      </w:r>
    </w:p>
    <w:p w:rsidR="00D175E1" w:rsidRDefault="00D175E1">
      <w:pPr>
        <w:pStyle w:val="TOC2"/>
        <w:rPr>
          <w:rFonts w:asciiTheme="minorHAnsi" w:hAnsiTheme="minorHAnsi"/>
          <w:sz w:val="22"/>
          <w:szCs w:val="22"/>
          <w:lang w:eastAsia="en-AU"/>
        </w:rPr>
      </w:pPr>
      <w:r>
        <w:t>8.3</w:t>
      </w:r>
      <w:r>
        <w:rPr>
          <w:rFonts w:asciiTheme="minorHAnsi" w:hAnsiTheme="minorHAnsi"/>
          <w:sz w:val="22"/>
          <w:szCs w:val="22"/>
          <w:lang w:eastAsia="en-AU"/>
        </w:rPr>
        <w:tab/>
      </w:r>
      <w:r>
        <w:t>Recommendations</w:t>
      </w:r>
      <w:r>
        <w:tab/>
      </w:r>
      <w:r w:rsidR="00E954B8">
        <w:fldChar w:fldCharType="begin"/>
      </w:r>
      <w:r>
        <w:instrText xml:space="preserve"> PAGEREF _Toc378857227 \h </w:instrText>
      </w:r>
      <w:r w:rsidR="00E954B8">
        <w:fldChar w:fldCharType="separate"/>
      </w:r>
      <w:r>
        <w:t>37</w:t>
      </w:r>
      <w:r w:rsidR="00E954B8">
        <w:fldChar w:fldCharType="end"/>
      </w:r>
    </w:p>
    <w:p w:rsidR="00D175E1" w:rsidRDefault="00D175E1">
      <w:pPr>
        <w:pStyle w:val="TOC1"/>
        <w:rPr>
          <w:rFonts w:asciiTheme="minorHAnsi" w:hAnsiTheme="minorHAnsi"/>
          <w:b w:val="0"/>
          <w:sz w:val="22"/>
          <w:szCs w:val="22"/>
          <w:lang w:eastAsia="en-AU"/>
        </w:rPr>
      </w:pPr>
      <w:r>
        <w:t>9.</w:t>
      </w:r>
      <w:r>
        <w:rPr>
          <w:rFonts w:asciiTheme="minorHAnsi" w:hAnsiTheme="minorHAnsi"/>
          <w:b w:val="0"/>
          <w:sz w:val="22"/>
          <w:szCs w:val="22"/>
          <w:lang w:eastAsia="en-AU"/>
        </w:rPr>
        <w:tab/>
      </w:r>
      <w:r>
        <w:t>References</w:t>
      </w:r>
      <w:r>
        <w:tab/>
      </w:r>
      <w:r w:rsidR="00E954B8">
        <w:fldChar w:fldCharType="begin"/>
      </w:r>
      <w:r>
        <w:instrText xml:space="preserve"> PAGEREF _Toc378857228 \h </w:instrText>
      </w:r>
      <w:r w:rsidR="00E954B8">
        <w:fldChar w:fldCharType="separate"/>
      </w:r>
      <w:r>
        <w:t>38</w:t>
      </w:r>
      <w:r w:rsidR="00E954B8">
        <w:fldChar w:fldCharType="end"/>
      </w:r>
    </w:p>
    <w:p w:rsidR="00622A3C" w:rsidRDefault="00E954B8" w:rsidP="00FD10FB">
      <w:pPr>
        <w:pStyle w:val="Para0"/>
      </w:pPr>
      <w:r>
        <w:rPr>
          <w:rFonts w:ascii="Arial Narrow" w:hAnsi="Arial Narrow"/>
          <w:b/>
          <w:noProof/>
        </w:rPr>
        <w:fldChar w:fldCharType="end"/>
      </w:r>
    </w:p>
    <w:sdt>
      <w:sdtPr>
        <w:rPr>
          <w:rFonts w:ascii="Arial" w:hAnsi="Arial"/>
          <w:b w:val="0"/>
          <w:noProof w:val="0"/>
        </w:rPr>
        <w:id w:val="16667430"/>
        <w:docPartObj>
          <w:docPartGallery w:val="Table of Contents"/>
          <w:docPartUnique/>
        </w:docPartObj>
      </w:sdtPr>
      <w:sdtEndPr/>
      <w:sdtContent>
        <w:p w:rsidR="006123BC" w:rsidRDefault="00E954B8">
          <w:pPr>
            <w:pStyle w:val="TOC1"/>
            <w:rPr>
              <w:rFonts w:asciiTheme="minorHAnsi" w:hAnsiTheme="minorHAnsi"/>
              <w:b w:val="0"/>
              <w:sz w:val="22"/>
              <w:szCs w:val="22"/>
              <w:lang w:eastAsia="en-AU"/>
            </w:rPr>
          </w:pPr>
          <w:r>
            <w:rPr>
              <w:noProof w:val="0"/>
            </w:rPr>
            <w:fldChar w:fldCharType="begin"/>
          </w:r>
          <w:r w:rsidR="00622A3C">
            <w:instrText xml:space="preserve"> TOC \n \t "Heading 9,1" </w:instrText>
          </w:r>
          <w:r>
            <w:rPr>
              <w:noProof w:val="0"/>
            </w:rPr>
            <w:fldChar w:fldCharType="separate"/>
          </w:r>
          <w:r w:rsidR="006123BC">
            <w:t>Appendix A. Recommendations</w:t>
          </w:r>
        </w:p>
        <w:p w:rsidR="00622A3C" w:rsidRPr="009E5E51" w:rsidRDefault="00E954B8" w:rsidP="00FD10FB">
          <w:pPr>
            <w:pStyle w:val="Para0"/>
          </w:pPr>
          <w:r>
            <w:rPr>
              <w:noProof/>
            </w:rPr>
            <w:fldChar w:fldCharType="end"/>
          </w:r>
        </w:p>
      </w:sdtContent>
    </w:sdt>
    <w:p w:rsidR="00622A3C" w:rsidRPr="00E5000B" w:rsidRDefault="00622A3C" w:rsidP="00FD10FB">
      <w:pPr>
        <w:pStyle w:val="Para0"/>
      </w:pPr>
    </w:p>
    <w:p w:rsidR="00622A3C" w:rsidRPr="00E5000B" w:rsidRDefault="00622A3C" w:rsidP="00FD10FB">
      <w:pPr>
        <w:pStyle w:val="Para0"/>
        <w:sectPr w:rsidR="00622A3C" w:rsidRPr="00E5000B" w:rsidSect="003A5F6A">
          <w:headerReference w:type="default" r:id="rId14"/>
          <w:footerReference w:type="default" r:id="rId15"/>
          <w:pgSz w:w="11901" w:h="16840" w:code="9"/>
          <w:pgMar w:top="567" w:right="851" w:bottom="851" w:left="1134" w:header="567" w:footer="370" w:gutter="0"/>
          <w:pgNumType w:fmt="lowerRoman" w:start="1"/>
          <w:cols w:space="0"/>
          <w:formProt w:val="0"/>
          <w:docGrid w:linePitch="360"/>
        </w:sectPr>
      </w:pPr>
    </w:p>
    <w:p w:rsidR="00831BBE" w:rsidRDefault="0063698D" w:rsidP="00FD10FB">
      <w:pPr>
        <w:pStyle w:val="Summary"/>
      </w:pPr>
      <w:bookmarkStart w:id="4" w:name="_Toc378857181"/>
      <w:r>
        <w:lastRenderedPageBreak/>
        <w:t>Limitation s</w:t>
      </w:r>
      <w:r w:rsidR="00831BBE">
        <w:t>tatement</w:t>
      </w:r>
      <w:bookmarkEnd w:id="4"/>
    </w:p>
    <w:p w:rsidR="00BE63FE" w:rsidRDefault="00BE63FE" w:rsidP="00BE63FE">
      <w:pPr>
        <w:pStyle w:val="Para0"/>
      </w:pPr>
      <w:r>
        <w:t>The sole purpose of this report and the associated services performed by Sinclair Knight Merz</w:t>
      </w:r>
      <w:r w:rsidR="0063698D">
        <w:t xml:space="preserve"> (SKM</w:t>
      </w:r>
      <w:r>
        <w:t xml:space="preserve">) is to </w:t>
      </w:r>
      <w:r w:rsidR="00E33646">
        <w:t xml:space="preserve">complete an independent </w:t>
      </w:r>
      <w:r>
        <w:t>review</w:t>
      </w:r>
      <w:r w:rsidR="00E33646">
        <w:t xml:space="preserve"> of</w:t>
      </w:r>
      <w:r>
        <w:t xml:space="preserve"> the Great Barrier Reef </w:t>
      </w:r>
      <w:r w:rsidR="000B3A99">
        <w:t>Region</w:t>
      </w:r>
      <w:r>
        <w:t xml:space="preserve"> Strategic Assessment in accordance with the scope of services set out in the contract between SKM and the </w:t>
      </w:r>
      <w:r w:rsidR="0063698D">
        <w:t>Department of the Environment (</w:t>
      </w:r>
      <w:r>
        <w:t>Client</w:t>
      </w:r>
      <w:r w:rsidR="00EC37D9">
        <w:t>)</w:t>
      </w:r>
      <w:r>
        <w:t>. That scope of services, as described in this</w:t>
      </w:r>
      <w:r w:rsidR="00E33646">
        <w:t xml:space="preserve"> independent review</w:t>
      </w:r>
      <w:r>
        <w:t xml:space="preserve"> report, was developed with the Client.</w:t>
      </w:r>
    </w:p>
    <w:p w:rsidR="0087053B" w:rsidRDefault="00BE63FE" w:rsidP="00BE63FE">
      <w:pPr>
        <w:pStyle w:val="Para0"/>
      </w:pPr>
      <w:r>
        <w:t xml:space="preserve">SKM </w:t>
      </w:r>
      <w:r w:rsidR="0087053B">
        <w:t>prepared</w:t>
      </w:r>
      <w:r>
        <w:t xml:space="preserve"> this report from informat</w:t>
      </w:r>
      <w:r w:rsidR="00161107">
        <w:t>ion sourced from the Client and</w:t>
      </w:r>
      <w:r>
        <w:t xml:space="preserve"> </w:t>
      </w:r>
      <w:r w:rsidR="00E33646">
        <w:t xml:space="preserve">additional material </w:t>
      </w:r>
      <w:r>
        <w:t xml:space="preserve">available in the public domain at the time or times outlined in this report. The passage of time, manifestation of latent conditions or impacts of future events may require further examination of the project and subsequent data analysis, and re-evaluation of the data, findings, observations and conclusions expressed in this report. </w:t>
      </w:r>
      <w:r w:rsidR="00DC0827">
        <w:t>SKM reviewed a ‘draft</w:t>
      </w:r>
      <w:r w:rsidR="000B3A99">
        <w:t xml:space="preserve"> for public comment’</w:t>
      </w:r>
      <w:r w:rsidR="00DC0827">
        <w:t xml:space="preserve"> version of the Strategic Assessment</w:t>
      </w:r>
      <w:r w:rsidR="00E32FA6">
        <w:t xml:space="preserve"> reports</w:t>
      </w:r>
      <w:r w:rsidR="00DC0827">
        <w:t xml:space="preserve">, dated </w:t>
      </w:r>
      <w:r w:rsidR="000B3A99">
        <w:t>August</w:t>
      </w:r>
      <w:r w:rsidR="00DC0827">
        <w:t xml:space="preserve"> 2013. This version may differ significantly from subsequent </w:t>
      </w:r>
      <w:r w:rsidR="00E32FA6">
        <w:t>reports</w:t>
      </w:r>
      <w:r w:rsidR="00DC0827">
        <w:t xml:space="preserve"> published.</w:t>
      </w:r>
    </w:p>
    <w:p w:rsidR="00BE63FE" w:rsidRDefault="00BE63FE" w:rsidP="00BE63FE">
      <w:pPr>
        <w:pStyle w:val="Para0"/>
      </w:pPr>
      <w:r>
        <w:t xml:space="preserve">SKM has prepared this report in accordance with the usual care and thoroughness of the consulting profession, for the sole purpose described above and </w:t>
      </w:r>
      <w:r w:rsidR="0063698D">
        <w:t>with</w:t>
      </w:r>
      <w:r>
        <w:t xml:space="preserve"> reference to applicable standards, guidelines, procedures and practices at the date of issue of this report. For the reasons outlined, however, no other warranty or guarantee, whether expressed or implied, is made as to the data, observations and findings expressed in this report, to the extent permitted by law.</w:t>
      </w:r>
    </w:p>
    <w:p w:rsidR="00831BBE" w:rsidRDefault="00BE63FE" w:rsidP="00BE63FE">
      <w:pPr>
        <w:pStyle w:val="Para0"/>
        <w:sectPr w:rsidR="00831BBE" w:rsidSect="00FD10FB">
          <w:headerReference w:type="default" r:id="rId16"/>
          <w:footerReference w:type="default" r:id="rId17"/>
          <w:pgSz w:w="11901" w:h="16840" w:code="9"/>
          <w:pgMar w:top="567" w:right="851" w:bottom="851" w:left="1134" w:header="567" w:footer="370" w:gutter="0"/>
          <w:pgNumType w:start="1"/>
          <w:cols w:space="0"/>
          <w:formProt w:val="0"/>
          <w:docGrid w:linePitch="360"/>
        </w:sectPr>
      </w:pPr>
      <w:r>
        <w:t>This report should be read in full and no excerpts are to be taken as representative of the findings. No responsibility is accepted by SKM for use of any part of this report in any other context. This report has been prepared on behalf of, and for the use of, SKM’s Client, and is subject to, and issued in accordance with, the provisions of the contract between SKM and the Client. SKM accepts no liability or responsibility whatsoever for, or in respect of, any use of, or reliance upon, this report by any third party.</w:t>
      </w:r>
    </w:p>
    <w:p w:rsidR="00622A3C" w:rsidRDefault="00622A3C" w:rsidP="00FD10FB">
      <w:pPr>
        <w:pStyle w:val="Summary"/>
      </w:pPr>
      <w:bookmarkStart w:id="5" w:name="_Toc378857182"/>
      <w:r w:rsidRPr="00E5000B">
        <w:lastRenderedPageBreak/>
        <w:t>Executive summary</w:t>
      </w:r>
      <w:bookmarkEnd w:id="5"/>
    </w:p>
    <w:p w:rsidR="008446A7" w:rsidRDefault="00572D3A" w:rsidP="008446A7">
      <w:pPr>
        <w:pStyle w:val="Para0"/>
        <w:rPr>
          <w:color w:val="42145F" w:themeColor="text1"/>
        </w:rPr>
      </w:pPr>
      <w:r w:rsidRPr="006E2E17">
        <w:rPr>
          <w:color w:val="42145F" w:themeColor="text1"/>
        </w:rPr>
        <w:t>Background</w:t>
      </w:r>
    </w:p>
    <w:p w:rsidR="00012218" w:rsidRDefault="00742738" w:rsidP="00012218">
      <w:pPr>
        <w:pStyle w:val="Para0"/>
      </w:pPr>
      <w:r>
        <w:t>T</w:t>
      </w:r>
      <w:r w:rsidRPr="00B9428A">
        <w:t xml:space="preserve">he Great Barrier Reef is recognised globally as an iconic natural </w:t>
      </w:r>
      <w:r>
        <w:t>asset</w:t>
      </w:r>
      <w:r w:rsidRPr="00B9428A">
        <w:t xml:space="preserve">, comprising almost 3,000 reefs, which </w:t>
      </w:r>
      <w:r>
        <w:t>form</w:t>
      </w:r>
      <w:r w:rsidRPr="00B9428A">
        <w:t xml:space="preserve"> one of the </w:t>
      </w:r>
      <w:r>
        <w:t>largest, most complex and diverse e</w:t>
      </w:r>
      <w:r w:rsidRPr="00B9428A">
        <w:t xml:space="preserve">cosystems on the planet. </w:t>
      </w:r>
      <w:r w:rsidR="00012218">
        <w:t>M</w:t>
      </w:r>
      <w:r w:rsidR="00012218" w:rsidRPr="00B9428A">
        <w:t xml:space="preserve">anagement of the reef ecosystem </w:t>
      </w:r>
      <w:r w:rsidR="002B1152">
        <w:t>as a multiple-</w:t>
      </w:r>
      <w:r w:rsidR="00012218">
        <w:t xml:space="preserve">use marine park and </w:t>
      </w:r>
      <w:r w:rsidR="00C16BDD">
        <w:t>W</w:t>
      </w:r>
      <w:r w:rsidR="003876C1">
        <w:t>or</w:t>
      </w:r>
      <w:r w:rsidR="00C16BDD">
        <w:t>ld H</w:t>
      </w:r>
      <w:r w:rsidR="00012218">
        <w:t xml:space="preserve">eritage </w:t>
      </w:r>
      <w:r w:rsidR="00C16BDD">
        <w:t>A</w:t>
      </w:r>
      <w:r w:rsidR="00012218">
        <w:t xml:space="preserve">rea </w:t>
      </w:r>
      <w:r w:rsidR="00012218" w:rsidRPr="00B9428A">
        <w:t xml:space="preserve">is being increasingly challenged by a range of complex factors, many of which have their origin outside </w:t>
      </w:r>
      <w:r w:rsidR="00012218">
        <w:t>of the m</w:t>
      </w:r>
      <w:r w:rsidR="00012218" w:rsidRPr="00B9428A">
        <w:t xml:space="preserve">arine </w:t>
      </w:r>
      <w:r w:rsidR="00012218">
        <w:t>p</w:t>
      </w:r>
      <w:r w:rsidR="00012218" w:rsidRPr="00B9428A">
        <w:t xml:space="preserve">ark’s boundaries. </w:t>
      </w:r>
    </w:p>
    <w:p w:rsidR="00012218" w:rsidRDefault="00012218" w:rsidP="00012218">
      <w:pPr>
        <w:pStyle w:val="Para0bullet"/>
        <w:numPr>
          <w:ilvl w:val="0"/>
          <w:numId w:val="0"/>
        </w:numPr>
      </w:pPr>
      <w:r w:rsidRPr="00B9428A">
        <w:t xml:space="preserve">The </w:t>
      </w:r>
      <w:r w:rsidR="00ED71B1">
        <w:t>Australian</w:t>
      </w:r>
      <w:r w:rsidRPr="00B9428A">
        <w:t xml:space="preserve"> and Queensland </w:t>
      </w:r>
      <w:r w:rsidR="0087053B">
        <w:t>g</w:t>
      </w:r>
      <w:r w:rsidRPr="00B9428A">
        <w:t xml:space="preserve">overnments are </w:t>
      </w:r>
      <w:r w:rsidR="005C0861">
        <w:t xml:space="preserve">undertaking a </w:t>
      </w:r>
      <w:r>
        <w:t>Strategic Assessment of the Great Barrier Reef</w:t>
      </w:r>
      <w:r w:rsidR="005C0861">
        <w:t xml:space="preserve"> World Heritage Area and adjacent coastal zone</w:t>
      </w:r>
      <w:r>
        <w:t>, with t</w:t>
      </w:r>
      <w:r w:rsidRPr="00B9428A">
        <w:t>he</w:t>
      </w:r>
      <w:r>
        <w:t xml:space="preserve"> </w:t>
      </w:r>
      <w:r w:rsidR="00265AA8">
        <w:t xml:space="preserve">Great Barrier Reef Marine Park Authority </w:t>
      </w:r>
      <w:r w:rsidR="004E4EDE">
        <w:t xml:space="preserve">(GBRMPA) </w:t>
      </w:r>
      <w:r w:rsidR="00265AA8">
        <w:t xml:space="preserve">leading the marine components and the </w:t>
      </w:r>
      <w:r>
        <w:t>Queensland Government</w:t>
      </w:r>
      <w:r w:rsidRPr="00B9428A">
        <w:t xml:space="preserve"> leading </w:t>
      </w:r>
      <w:r>
        <w:t xml:space="preserve">the relevant coastal zone components. The Strategic Assessment will help identify, plan for and manage the unique values of the Great Barrier Reef, and is being carried out under Part 10 of the </w:t>
      </w:r>
      <w:r w:rsidRPr="00C0011E">
        <w:rPr>
          <w:i/>
        </w:rPr>
        <w:t>Environment Protection and Biodiversity Conservation Act 1999</w:t>
      </w:r>
      <w:r>
        <w:t xml:space="preserve"> (EPBC Act).</w:t>
      </w:r>
    </w:p>
    <w:p w:rsidR="00012218" w:rsidRDefault="00012218" w:rsidP="00012218">
      <w:pPr>
        <w:pStyle w:val="Para0"/>
      </w:pPr>
      <w:r>
        <w:t>Sinclair Knight Merz (SKM) was engaged by the</w:t>
      </w:r>
      <w:r w:rsidR="00533932">
        <w:t xml:space="preserve"> </w:t>
      </w:r>
      <w:r>
        <w:t xml:space="preserve">Department of </w:t>
      </w:r>
      <w:r w:rsidR="00572DC0">
        <w:t xml:space="preserve">the </w:t>
      </w:r>
      <w:r>
        <w:t xml:space="preserve">Environment to complete an independent review of the draft Great Barrier Reef </w:t>
      </w:r>
      <w:r w:rsidR="002A3737">
        <w:t>Region</w:t>
      </w:r>
      <w:r>
        <w:t xml:space="preserve"> Strategic Assessment</w:t>
      </w:r>
      <w:r w:rsidR="0087053B">
        <w:t xml:space="preserve"> (version </w:t>
      </w:r>
      <w:r w:rsidR="002A3737">
        <w:t>released for public comment</w:t>
      </w:r>
      <w:r w:rsidR="00265AA8">
        <w:t>, dated</w:t>
      </w:r>
      <w:r w:rsidR="0087053B">
        <w:t xml:space="preserve"> </w:t>
      </w:r>
      <w:r w:rsidR="002A3737">
        <w:t>August 20</w:t>
      </w:r>
      <w:r w:rsidR="0087053B">
        <w:t>13)</w:t>
      </w:r>
      <w:r w:rsidR="00265AA8">
        <w:t xml:space="preserve">, including a comparative analysis of the </w:t>
      </w:r>
      <w:r w:rsidR="00880A76">
        <w:t xml:space="preserve">GBRMPA </w:t>
      </w:r>
      <w:r w:rsidR="007F2C9C">
        <w:t xml:space="preserve">(marine) </w:t>
      </w:r>
      <w:r w:rsidR="00265AA8">
        <w:t xml:space="preserve">and State </w:t>
      </w:r>
      <w:r w:rsidR="007F2C9C">
        <w:t xml:space="preserve">(coastal zone) </w:t>
      </w:r>
      <w:r w:rsidR="00265AA8">
        <w:t xml:space="preserve">Strategic Assessments. </w:t>
      </w:r>
      <w:r>
        <w:t>This report outlines the findings of the independent review</w:t>
      </w:r>
      <w:r w:rsidR="00265AA8">
        <w:t xml:space="preserve"> and associated analyses</w:t>
      </w:r>
      <w:r>
        <w:t>.</w:t>
      </w:r>
    </w:p>
    <w:p w:rsidR="00572D3A" w:rsidRDefault="00572D3A" w:rsidP="008446A7">
      <w:pPr>
        <w:pStyle w:val="Para0"/>
        <w:rPr>
          <w:color w:val="42145F" w:themeColor="text1"/>
        </w:rPr>
      </w:pPr>
      <w:r w:rsidRPr="006E2E17">
        <w:rPr>
          <w:color w:val="42145F" w:themeColor="text1"/>
        </w:rPr>
        <w:t>Methods</w:t>
      </w:r>
    </w:p>
    <w:p w:rsidR="006E2E17" w:rsidRDefault="00012218" w:rsidP="008446A7">
      <w:pPr>
        <w:pStyle w:val="Para0"/>
      </w:pPr>
      <w:r>
        <w:t>SKM established a review team</w:t>
      </w:r>
      <w:r w:rsidR="004E4EDE">
        <w:t xml:space="preserve"> comprising</w:t>
      </w:r>
      <w:r w:rsidR="00265AA8">
        <w:t xml:space="preserve"> staff and </w:t>
      </w:r>
      <w:r w:rsidR="007F2C9C">
        <w:t xml:space="preserve">specialist </w:t>
      </w:r>
      <w:r w:rsidR="006300D4">
        <w:t xml:space="preserve">external </w:t>
      </w:r>
      <w:r w:rsidR="00265AA8">
        <w:t>subconsultants</w:t>
      </w:r>
      <w:r>
        <w:t xml:space="preserve"> to assess the draft Strategic Assessment</w:t>
      </w:r>
      <w:r w:rsidR="007F2C9C">
        <w:t xml:space="preserve"> in accordance with Section 7</w:t>
      </w:r>
      <w:r w:rsidR="00265AA8">
        <w:t xml:space="preserve"> of the Terms of Reference. The </w:t>
      </w:r>
      <w:r w:rsidR="00C16BDD">
        <w:t xml:space="preserve">independent </w:t>
      </w:r>
      <w:r w:rsidR="00265AA8">
        <w:t>review team comprised</w:t>
      </w:r>
      <w:r>
        <w:t xml:space="preserve"> </w:t>
      </w:r>
      <w:r w:rsidR="00265AA8">
        <w:t xml:space="preserve">three </w:t>
      </w:r>
      <w:r w:rsidR="007F2C9C">
        <w:t>highly experienced</w:t>
      </w:r>
      <w:r w:rsidR="00265AA8">
        <w:t xml:space="preserve"> </w:t>
      </w:r>
      <w:r w:rsidR="007B7D3A">
        <w:t xml:space="preserve">and internationally-recognised </w:t>
      </w:r>
      <w:r w:rsidR="00265AA8">
        <w:t xml:space="preserve">scientists </w:t>
      </w:r>
      <w:r w:rsidR="007F2C9C">
        <w:t xml:space="preserve">and </w:t>
      </w:r>
      <w:r w:rsidR="00B8428F">
        <w:t>several</w:t>
      </w:r>
      <w:r w:rsidR="007F2C9C">
        <w:t xml:space="preserve"> S</w:t>
      </w:r>
      <w:r w:rsidR="00265AA8">
        <w:t>K</w:t>
      </w:r>
      <w:r w:rsidR="007F2C9C">
        <w:t>M staff. Collectively, the review team</w:t>
      </w:r>
      <w:r w:rsidR="00265AA8">
        <w:t xml:space="preserve"> had experience</w:t>
      </w:r>
      <w:r w:rsidR="007F2C9C">
        <w:t xml:space="preserve"> and expertise</w:t>
      </w:r>
      <w:r w:rsidR="00265AA8">
        <w:t xml:space="preserve"> </w:t>
      </w:r>
      <w:r>
        <w:t xml:space="preserve">in the areas of marine park management, marine science, impact assessment, strategic program </w:t>
      </w:r>
      <w:r w:rsidR="009D0DFB">
        <w:t>evaluation</w:t>
      </w:r>
      <w:r>
        <w:t xml:space="preserve"> and </w:t>
      </w:r>
      <w:r w:rsidR="00533932">
        <w:t xml:space="preserve">environmental </w:t>
      </w:r>
      <w:r>
        <w:t>assessments under the EPBC Act.</w:t>
      </w:r>
      <w:r w:rsidRPr="00012218">
        <w:t xml:space="preserve"> </w:t>
      </w:r>
      <w:r>
        <w:t xml:space="preserve">The review team </w:t>
      </w:r>
      <w:r w:rsidR="004E4EDE">
        <w:t xml:space="preserve">undertook their </w:t>
      </w:r>
      <w:r>
        <w:t xml:space="preserve">work independently of </w:t>
      </w:r>
      <w:r w:rsidR="002A3737">
        <w:t>GBRMPA</w:t>
      </w:r>
      <w:r w:rsidR="00C16BDD">
        <w:t xml:space="preserve"> and the Queensland Government</w:t>
      </w:r>
      <w:r>
        <w:t xml:space="preserve">. </w:t>
      </w:r>
    </w:p>
    <w:p w:rsidR="0031607A" w:rsidRDefault="00265AA8" w:rsidP="00012218">
      <w:pPr>
        <w:pStyle w:val="Para0bullet"/>
        <w:numPr>
          <w:ilvl w:val="0"/>
          <w:numId w:val="0"/>
        </w:numPr>
      </w:pPr>
      <w:r>
        <w:t xml:space="preserve">The Strategic Assessment documents </w:t>
      </w:r>
      <w:r w:rsidR="006300D4">
        <w:t xml:space="preserve">included in the </w:t>
      </w:r>
      <w:r>
        <w:t xml:space="preserve">review comprised a Program Report, Assessment Report and relevant </w:t>
      </w:r>
      <w:r w:rsidR="007F2C9C">
        <w:t xml:space="preserve">supporting </w:t>
      </w:r>
      <w:r>
        <w:t>documents</w:t>
      </w:r>
      <w:r w:rsidR="006300D4">
        <w:t>.</w:t>
      </w:r>
      <w:r>
        <w:t xml:space="preserve"> </w:t>
      </w:r>
      <w:r w:rsidR="00431BAD">
        <w:t>SKM</w:t>
      </w:r>
      <w:r w:rsidR="006300D4">
        <w:t>’s team undertook</w:t>
      </w:r>
      <w:r w:rsidR="00431BAD">
        <w:t xml:space="preserve"> an assessment of the Strategic Assessment’s</w:t>
      </w:r>
      <w:r w:rsidR="0031607A">
        <w:t>:</w:t>
      </w:r>
    </w:p>
    <w:p w:rsidR="0031607A" w:rsidRDefault="0063698D" w:rsidP="007C648D">
      <w:pPr>
        <w:pStyle w:val="Para0bullet"/>
        <w:numPr>
          <w:ilvl w:val="0"/>
          <w:numId w:val="49"/>
        </w:numPr>
      </w:pPr>
      <w:r>
        <w:t>C</w:t>
      </w:r>
      <w:r w:rsidR="00012218">
        <w:t xml:space="preserve">onsistency with </w:t>
      </w:r>
      <w:r w:rsidR="001C4EEF">
        <w:t xml:space="preserve">its </w:t>
      </w:r>
      <w:r>
        <w:t>Terms of Reference</w:t>
      </w:r>
    </w:p>
    <w:p w:rsidR="0031607A" w:rsidRDefault="0063698D" w:rsidP="007C648D">
      <w:pPr>
        <w:pStyle w:val="Para0bullet"/>
        <w:numPr>
          <w:ilvl w:val="0"/>
          <w:numId w:val="49"/>
        </w:numPr>
      </w:pPr>
      <w:r>
        <w:t>S</w:t>
      </w:r>
      <w:r w:rsidR="00012218">
        <w:t>tructure and cohesiveness of presentati</w:t>
      </w:r>
      <w:r>
        <w:t>on</w:t>
      </w:r>
    </w:p>
    <w:p w:rsidR="0031607A" w:rsidRDefault="0063698D" w:rsidP="007C648D">
      <w:pPr>
        <w:pStyle w:val="Para0bullet"/>
        <w:numPr>
          <w:ilvl w:val="0"/>
          <w:numId w:val="49"/>
        </w:numPr>
      </w:pPr>
      <w:r>
        <w:t>Breadth and depth</w:t>
      </w:r>
    </w:p>
    <w:p w:rsidR="0031607A" w:rsidRDefault="0063698D" w:rsidP="007C648D">
      <w:pPr>
        <w:pStyle w:val="Para0bullet"/>
        <w:numPr>
          <w:ilvl w:val="0"/>
          <w:numId w:val="49"/>
        </w:numPr>
      </w:pPr>
      <w:r>
        <w:t>T</w:t>
      </w:r>
      <w:r w:rsidR="001C4EEF">
        <w:t xml:space="preserve">echnical </w:t>
      </w:r>
      <w:r w:rsidR="00431BAD">
        <w:t>accuracy</w:t>
      </w:r>
      <w:r w:rsidR="00012218">
        <w:t xml:space="preserve"> </w:t>
      </w:r>
    </w:p>
    <w:p w:rsidR="0031607A" w:rsidRDefault="0063698D" w:rsidP="007C648D">
      <w:pPr>
        <w:pStyle w:val="Para0bullet"/>
        <w:numPr>
          <w:ilvl w:val="0"/>
          <w:numId w:val="49"/>
        </w:numPr>
      </w:pPr>
      <w:r>
        <w:t>T</w:t>
      </w:r>
      <w:r w:rsidR="00012218">
        <w:t>he</w:t>
      </w:r>
      <w:r>
        <w:t xml:space="preserve"> validity of conclusions drawn</w:t>
      </w:r>
    </w:p>
    <w:p w:rsidR="00265AA8" w:rsidRDefault="002A3737" w:rsidP="0031607A">
      <w:pPr>
        <w:pStyle w:val="Para0bullet"/>
        <w:numPr>
          <w:ilvl w:val="0"/>
          <w:numId w:val="0"/>
        </w:numPr>
        <w:ind w:left="50"/>
      </w:pPr>
      <w:r>
        <w:t xml:space="preserve">A comparative assessment of the </w:t>
      </w:r>
      <w:r w:rsidR="00880A76">
        <w:t xml:space="preserve">GBRMPA </w:t>
      </w:r>
      <w:r w:rsidR="006300D4">
        <w:t xml:space="preserve">Strategic Assessment </w:t>
      </w:r>
      <w:r w:rsidR="009D0DFB">
        <w:t>(</w:t>
      </w:r>
      <w:r w:rsidR="006300D4">
        <w:t xml:space="preserve">of </w:t>
      </w:r>
      <w:r w:rsidR="009D0DFB">
        <w:t>marine</w:t>
      </w:r>
      <w:r w:rsidR="006300D4">
        <w:t xml:space="preserve"> regions and issues</w:t>
      </w:r>
      <w:r w:rsidR="009D0DFB">
        <w:t>)</w:t>
      </w:r>
      <w:r>
        <w:t xml:space="preserve"> and the </w:t>
      </w:r>
      <w:r w:rsidR="0031607A">
        <w:t>Queensland</w:t>
      </w:r>
      <w:r>
        <w:t xml:space="preserve"> Strategic Assessment </w:t>
      </w:r>
      <w:r w:rsidR="009D0DFB">
        <w:t>(</w:t>
      </w:r>
      <w:r w:rsidR="0031607A">
        <w:t xml:space="preserve">of the </w:t>
      </w:r>
      <w:r w:rsidR="009D0DFB">
        <w:t xml:space="preserve">coastal zone) </w:t>
      </w:r>
      <w:r>
        <w:t xml:space="preserve">was also made, to identify any gaps or duplication in </w:t>
      </w:r>
      <w:r w:rsidR="007F2C9C">
        <w:t>the management and protection o</w:t>
      </w:r>
      <w:r w:rsidR="001F23AC">
        <w:t>f M</w:t>
      </w:r>
      <w:r w:rsidR="007F2C9C">
        <w:t xml:space="preserve">atters of </w:t>
      </w:r>
      <w:r w:rsidR="001F23AC">
        <w:t>National E</w:t>
      </w:r>
      <w:r w:rsidR="007F2C9C">
        <w:t xml:space="preserve">nvironmental </w:t>
      </w:r>
      <w:r w:rsidR="001F23AC">
        <w:t>S</w:t>
      </w:r>
      <w:r w:rsidR="007F2C9C">
        <w:t>ignificance (MNES).</w:t>
      </w:r>
    </w:p>
    <w:p w:rsidR="006E2E17" w:rsidRDefault="00CE0B7D" w:rsidP="008446A7">
      <w:pPr>
        <w:pStyle w:val="Para0"/>
        <w:rPr>
          <w:color w:val="42145F" w:themeColor="text1"/>
        </w:rPr>
      </w:pPr>
      <w:r>
        <w:rPr>
          <w:color w:val="42145F" w:themeColor="text1"/>
        </w:rPr>
        <w:t>Results</w:t>
      </w:r>
    </w:p>
    <w:p w:rsidR="006E2E17" w:rsidRDefault="00012218" w:rsidP="008446A7">
      <w:pPr>
        <w:pStyle w:val="Para0"/>
        <w:rPr>
          <w:i/>
          <w:color w:val="42145F" w:themeColor="text1"/>
        </w:rPr>
      </w:pPr>
      <w:r>
        <w:rPr>
          <w:i/>
          <w:color w:val="42145F" w:themeColor="text1"/>
        </w:rPr>
        <w:t xml:space="preserve">Structure and </w:t>
      </w:r>
      <w:r w:rsidR="0063698D">
        <w:rPr>
          <w:i/>
          <w:color w:val="42145F" w:themeColor="text1"/>
        </w:rPr>
        <w:t>c</w:t>
      </w:r>
      <w:r>
        <w:rPr>
          <w:i/>
          <w:color w:val="42145F" w:themeColor="text1"/>
        </w:rPr>
        <w:t xml:space="preserve">ohesiveness of the </w:t>
      </w:r>
      <w:r w:rsidR="0063698D">
        <w:rPr>
          <w:i/>
          <w:color w:val="42145F" w:themeColor="text1"/>
        </w:rPr>
        <w:t>r</w:t>
      </w:r>
      <w:r>
        <w:rPr>
          <w:i/>
          <w:color w:val="42145F" w:themeColor="text1"/>
        </w:rPr>
        <w:t>eports</w:t>
      </w:r>
    </w:p>
    <w:p w:rsidR="002A3737" w:rsidRPr="0037440C" w:rsidRDefault="0037440C" w:rsidP="008446A7">
      <w:pPr>
        <w:pStyle w:val="Para0"/>
      </w:pPr>
      <w:r w:rsidRPr="0037440C">
        <w:t>Over</w:t>
      </w:r>
      <w:r>
        <w:t>all, the Program and Assessment reports are</w:t>
      </w:r>
      <w:r w:rsidR="0031607A">
        <w:t xml:space="preserve"> considered to be</w:t>
      </w:r>
      <w:r>
        <w:t xml:space="preserve"> well written and comprehensive, particularly the literature review and technical aspects. The </w:t>
      </w:r>
      <w:r w:rsidR="006300D4">
        <w:t>reports have</w:t>
      </w:r>
      <w:r>
        <w:t xml:space="preserve"> successful</w:t>
      </w:r>
      <w:r w:rsidR="006300D4">
        <w:t>ly</w:t>
      </w:r>
      <w:r>
        <w:t xml:space="preserve"> </w:t>
      </w:r>
      <w:r w:rsidR="006300D4">
        <w:t xml:space="preserve">presented </w:t>
      </w:r>
      <w:r>
        <w:t xml:space="preserve">a large body of information in a logical way. </w:t>
      </w:r>
      <w:r w:rsidR="00B36C7B">
        <w:t>Coherence</w:t>
      </w:r>
      <w:r>
        <w:t xml:space="preserve"> between the description</w:t>
      </w:r>
      <w:r w:rsidR="0063698D">
        <w:t>s</w:t>
      </w:r>
      <w:r>
        <w:t xml:space="preserve"> of</w:t>
      </w:r>
      <w:r w:rsidR="0063698D">
        <w:t xml:space="preserve"> drivers, impacts and condition</w:t>
      </w:r>
      <w:r w:rsidR="00B36C7B">
        <w:t xml:space="preserve"> could be improved to assist in identifying whether any attributes </w:t>
      </w:r>
      <w:r>
        <w:t xml:space="preserve">have been </w:t>
      </w:r>
      <w:r w:rsidR="00B36C7B">
        <w:t>overlooked</w:t>
      </w:r>
      <w:r>
        <w:t xml:space="preserve">. </w:t>
      </w:r>
      <w:r w:rsidR="00B36C7B">
        <w:t xml:space="preserve">Chapter summaries </w:t>
      </w:r>
      <w:r w:rsidR="006300D4">
        <w:t xml:space="preserve">throughout the documents </w:t>
      </w:r>
      <w:r w:rsidR="00B36C7B">
        <w:t xml:space="preserve">are useful, </w:t>
      </w:r>
      <w:r w:rsidR="006300D4">
        <w:t>al</w:t>
      </w:r>
      <w:r w:rsidR="00B36C7B">
        <w:t>though the</w:t>
      </w:r>
      <w:r w:rsidR="006300D4">
        <w:t>ir</w:t>
      </w:r>
      <w:r w:rsidR="00B36C7B">
        <w:t xml:space="preserve"> </w:t>
      </w:r>
      <w:r w:rsidR="006300D4">
        <w:t xml:space="preserve">emphasis on </w:t>
      </w:r>
      <w:r w:rsidR="00B36C7B">
        <w:t>positive findings</w:t>
      </w:r>
      <w:r>
        <w:t xml:space="preserve"> </w:t>
      </w:r>
      <w:r w:rsidR="00095A55">
        <w:t>sometimes provides an unbalanced view of the chapters’ main findings</w:t>
      </w:r>
      <w:r w:rsidR="00B36C7B">
        <w:t>. G</w:t>
      </w:r>
      <w:r>
        <w:t xml:space="preserve">reater emphasis could be placed on timeframes when describing the implementation of new management initiatives. </w:t>
      </w:r>
      <w:r w:rsidR="00B36C7B">
        <w:t xml:space="preserve">Some improvements are also recommended in relation to the </w:t>
      </w:r>
      <w:r>
        <w:t xml:space="preserve">interchangeable use of </w:t>
      </w:r>
      <w:r w:rsidR="0031607A">
        <w:t xml:space="preserve">the terms ‘values’, ‘attributes’ and ‘elements’ </w:t>
      </w:r>
      <w:r>
        <w:t xml:space="preserve">when </w:t>
      </w:r>
      <w:r w:rsidR="00B36C7B">
        <w:t>describing</w:t>
      </w:r>
      <w:r w:rsidR="0031607A">
        <w:t xml:space="preserve"> World H</w:t>
      </w:r>
      <w:r>
        <w:t xml:space="preserve">eritage and </w:t>
      </w:r>
      <w:r w:rsidR="001F23AC">
        <w:t>Outstanding Universal Value</w:t>
      </w:r>
      <w:r>
        <w:t>.</w:t>
      </w:r>
    </w:p>
    <w:p w:rsidR="00012218" w:rsidRDefault="0063698D" w:rsidP="008446A7">
      <w:pPr>
        <w:pStyle w:val="Para0"/>
        <w:rPr>
          <w:i/>
          <w:color w:val="42145F" w:themeColor="text1"/>
        </w:rPr>
      </w:pPr>
      <w:r>
        <w:rPr>
          <w:i/>
          <w:color w:val="42145F" w:themeColor="text1"/>
        </w:rPr>
        <w:lastRenderedPageBreak/>
        <w:t>Breadth and depth of a</w:t>
      </w:r>
      <w:r w:rsidR="00012218">
        <w:rPr>
          <w:i/>
          <w:color w:val="42145F" w:themeColor="text1"/>
        </w:rPr>
        <w:t>ssessment</w:t>
      </w:r>
    </w:p>
    <w:p w:rsidR="00AE1184" w:rsidRDefault="00C0193B" w:rsidP="008446A7">
      <w:pPr>
        <w:pStyle w:val="Para0"/>
      </w:pPr>
      <w:r>
        <w:t xml:space="preserve">The Strategic Assessment </w:t>
      </w:r>
      <w:r w:rsidR="00095A55">
        <w:t>provides a</w:t>
      </w:r>
      <w:r>
        <w:t xml:space="preserve"> comprehensive </w:t>
      </w:r>
      <w:r w:rsidR="00095A55">
        <w:t xml:space="preserve">review and analysis of information relating to </w:t>
      </w:r>
      <w:r>
        <w:t xml:space="preserve">environmental values, impacts and management of the Great Barrier Reef. Overall, the assessment is </w:t>
      </w:r>
      <w:r w:rsidR="00C14E6E">
        <w:t>adequate</w:t>
      </w:r>
      <w:r>
        <w:t xml:space="preserve"> in its analysis of </w:t>
      </w:r>
      <w:r w:rsidR="004E4EDE">
        <w:t xml:space="preserve">the </w:t>
      </w:r>
      <w:r>
        <w:t>diverse range of issues</w:t>
      </w:r>
      <w:r w:rsidR="0031607A">
        <w:t xml:space="preserve"> affecting the marine park</w:t>
      </w:r>
      <w:r>
        <w:t xml:space="preserve">, </w:t>
      </w:r>
      <w:r w:rsidR="0031607A">
        <w:t>including declines in water quality, climate change and outbreaks of the crown-of-thorns starfish. Some</w:t>
      </w:r>
      <w:r>
        <w:t xml:space="preserve"> improvements recommended to enhance </w:t>
      </w:r>
      <w:r w:rsidR="0031607A">
        <w:t>the effectiveness of the assessment are made, with particular reference</w:t>
      </w:r>
      <w:r w:rsidR="00D82E09">
        <w:t xml:space="preserve"> to community engagement through partnerships and improving management effectiveness</w:t>
      </w:r>
      <w:r>
        <w:t>. There is a</w:t>
      </w:r>
      <w:r w:rsidR="0031607A">
        <w:t xml:space="preserve"> focus</w:t>
      </w:r>
      <w:r w:rsidR="00B36C7B">
        <w:t xml:space="preserve"> o</w:t>
      </w:r>
      <w:r w:rsidR="00FD0547">
        <w:t xml:space="preserve">n the marine park rather than the </w:t>
      </w:r>
      <w:r w:rsidR="007B7D3A">
        <w:t xml:space="preserve">larger </w:t>
      </w:r>
      <w:r w:rsidR="00EA1119">
        <w:t>Great Barrier Reef Region</w:t>
      </w:r>
      <w:r w:rsidR="00FD0547">
        <w:t xml:space="preserve">, </w:t>
      </w:r>
      <w:r w:rsidR="00D82E09">
        <w:t>which narrows the scale of the assessment</w:t>
      </w:r>
      <w:r w:rsidR="00FD0547">
        <w:t xml:space="preserve">. </w:t>
      </w:r>
      <w:r w:rsidR="00D82E09">
        <w:t>Some important aspects of management, including</w:t>
      </w:r>
      <w:r w:rsidR="00CD5A17">
        <w:t xml:space="preserve"> mitigating impacts from</w:t>
      </w:r>
      <w:r w:rsidR="00D82E09">
        <w:t xml:space="preserve"> marine pests and managing for resilience in response to climate change </w:t>
      </w:r>
      <w:r w:rsidR="00CD5A17">
        <w:t xml:space="preserve">have been overlooked in the proposed Program. </w:t>
      </w:r>
      <w:r w:rsidR="0024754C">
        <w:t xml:space="preserve">The connectivity of freshwater and marine habitats, port development and the management of islands also receive limited assessment. </w:t>
      </w:r>
      <w:r w:rsidR="00CD5A17">
        <w:t xml:space="preserve">Circumstances in which the </w:t>
      </w:r>
      <w:r w:rsidR="00CD5A17" w:rsidRPr="00CD5A17">
        <w:rPr>
          <w:i/>
        </w:rPr>
        <w:t xml:space="preserve">Great Barrier Reef Marine Park Act 1975 </w:t>
      </w:r>
      <w:r w:rsidR="00CD5A17">
        <w:t xml:space="preserve">is being applied outside of the marine park boundary could be clarified. </w:t>
      </w:r>
    </w:p>
    <w:p w:rsidR="0037440C" w:rsidRPr="0037440C" w:rsidRDefault="00FD0547" w:rsidP="008446A7">
      <w:pPr>
        <w:pStyle w:val="Para0"/>
      </w:pPr>
      <w:r>
        <w:t>The independent assessment of manag</w:t>
      </w:r>
      <w:r w:rsidR="007B7D3A">
        <w:t xml:space="preserve">ement effectiveness provides a rigorous </w:t>
      </w:r>
      <w:r>
        <w:t xml:space="preserve">appraisal of the strengths and weaknesses of the </w:t>
      </w:r>
      <w:r w:rsidR="00C0193B">
        <w:t>current Program</w:t>
      </w:r>
      <w:r>
        <w:t xml:space="preserve"> and its effectiveness in achieving outcomes. </w:t>
      </w:r>
      <w:r w:rsidR="00C0193B">
        <w:t>S</w:t>
      </w:r>
      <w:r w:rsidR="00A669D8">
        <w:t xml:space="preserve">trengths are in planning and processes, </w:t>
      </w:r>
      <w:r w:rsidR="00B36C7B">
        <w:t xml:space="preserve">with </w:t>
      </w:r>
      <w:r w:rsidR="00C0193B">
        <w:t>management activities only partially achieving</w:t>
      </w:r>
      <w:r w:rsidR="00B36C7B">
        <w:t xml:space="preserve"> outcomes </w:t>
      </w:r>
      <w:r w:rsidR="00C0193B">
        <w:t xml:space="preserve">in </w:t>
      </w:r>
      <w:r w:rsidR="00B36C7B">
        <w:t xml:space="preserve">key </w:t>
      </w:r>
      <w:r w:rsidR="00C0193B">
        <w:t>areas</w:t>
      </w:r>
      <w:r w:rsidR="00A669D8">
        <w:t xml:space="preserve">. This is reflected </w:t>
      </w:r>
      <w:r w:rsidR="00AE1184">
        <w:t xml:space="preserve">by </w:t>
      </w:r>
      <w:r w:rsidR="00A669D8">
        <w:t xml:space="preserve">the declining condition of the Great Barrier Reef, </w:t>
      </w:r>
      <w:r w:rsidR="00AE1184">
        <w:t xml:space="preserve">which has occurred </w:t>
      </w:r>
      <w:r w:rsidR="00A669D8">
        <w:t xml:space="preserve">despite </w:t>
      </w:r>
      <w:r w:rsidR="00AE1184">
        <w:t xml:space="preserve">significant management </w:t>
      </w:r>
      <w:r w:rsidR="00A669D8">
        <w:t xml:space="preserve">investment. The authors have </w:t>
      </w:r>
      <w:r w:rsidR="00B36C7B">
        <w:t>responded</w:t>
      </w:r>
      <w:r w:rsidR="00C0193B">
        <w:t xml:space="preserve"> positively</w:t>
      </w:r>
      <w:r w:rsidR="00B36C7B">
        <w:t xml:space="preserve"> </w:t>
      </w:r>
      <w:r w:rsidR="00A669D8">
        <w:t xml:space="preserve">to the </w:t>
      </w:r>
      <w:r w:rsidR="00B36C7B">
        <w:t>assessment of management</w:t>
      </w:r>
      <w:r w:rsidR="00A669D8">
        <w:t xml:space="preserve"> effectiveness</w:t>
      </w:r>
      <w:r w:rsidR="00C0193B">
        <w:t xml:space="preserve"> through the establishment of target-based initiatives</w:t>
      </w:r>
      <w:r w:rsidR="00A669D8">
        <w:t xml:space="preserve">, but have struggled to </w:t>
      </w:r>
      <w:r w:rsidR="00C0193B">
        <w:t>demonstrate that</w:t>
      </w:r>
      <w:r w:rsidR="00A669D8">
        <w:t xml:space="preserve"> actions will result in improved outcomes</w:t>
      </w:r>
      <w:r w:rsidR="00C0193B">
        <w:t xml:space="preserve"> </w:t>
      </w:r>
      <w:r w:rsidR="00024843">
        <w:t>in the reef environment</w:t>
      </w:r>
      <w:r w:rsidR="00C0193B">
        <w:t>, as m</w:t>
      </w:r>
      <w:r w:rsidR="00A669D8">
        <w:t>easureable outputs are not a feature of the current or proposed Program. Triggers are lacking for the management improvements identified</w:t>
      </w:r>
      <w:r w:rsidR="00AE1184">
        <w:t>.</w:t>
      </w:r>
      <w:r w:rsidR="00A669D8">
        <w:t xml:space="preserve"> </w:t>
      </w:r>
      <w:r w:rsidR="00AE1184">
        <w:t xml:space="preserve">The reports convey no sense of </w:t>
      </w:r>
      <w:r w:rsidR="00C0193B">
        <w:t xml:space="preserve">urgency </w:t>
      </w:r>
      <w:r w:rsidR="00AE1184">
        <w:t xml:space="preserve">for </w:t>
      </w:r>
      <w:r w:rsidR="00C0193B">
        <w:t xml:space="preserve">new initiatives </w:t>
      </w:r>
      <w:r w:rsidR="00AE1184">
        <w:t xml:space="preserve">to halt the </w:t>
      </w:r>
      <w:r w:rsidR="00C0193B">
        <w:t>coral reef ecosystems</w:t>
      </w:r>
      <w:r w:rsidR="00AE1184">
        <w:t xml:space="preserve">’ continued </w:t>
      </w:r>
      <w:r w:rsidR="00A669D8">
        <w:t xml:space="preserve">decline </w:t>
      </w:r>
      <w:r w:rsidR="00AE1184">
        <w:t xml:space="preserve">and the approach of </w:t>
      </w:r>
      <w:r w:rsidR="00A669D8">
        <w:t>tipping point</w:t>
      </w:r>
      <w:r w:rsidR="00AE1184">
        <w:t>s</w:t>
      </w:r>
      <w:r w:rsidR="00A669D8">
        <w:t xml:space="preserve"> from which they </w:t>
      </w:r>
      <w:r w:rsidR="00AE1184">
        <w:t xml:space="preserve">may not </w:t>
      </w:r>
      <w:r w:rsidR="00A669D8">
        <w:t xml:space="preserve">recover. There are insufficient data to assess </w:t>
      </w:r>
      <w:r w:rsidR="0063698D">
        <w:t xml:space="preserve">management </w:t>
      </w:r>
      <w:r w:rsidR="00A669D8">
        <w:t>effectiveness for many species, but this is not recognised sufficiently in the assessment. In some cases</w:t>
      </w:r>
      <w:r w:rsidR="00AE1184">
        <w:t xml:space="preserve"> (e.g. </w:t>
      </w:r>
      <w:r w:rsidR="00A669D8">
        <w:t>cumulative impacts</w:t>
      </w:r>
      <w:r w:rsidR="00AE1184">
        <w:t>)</w:t>
      </w:r>
      <w:r w:rsidR="00A669D8">
        <w:t>, an upfront statement of the adequacy of existing management is lacking.</w:t>
      </w:r>
    </w:p>
    <w:p w:rsidR="00012218" w:rsidRDefault="00012218" w:rsidP="008446A7">
      <w:pPr>
        <w:pStyle w:val="Para0"/>
        <w:rPr>
          <w:i/>
          <w:color w:val="42145F" w:themeColor="text1"/>
        </w:rPr>
      </w:pPr>
      <w:r>
        <w:rPr>
          <w:i/>
          <w:color w:val="42145F" w:themeColor="text1"/>
        </w:rPr>
        <w:t xml:space="preserve">Technical </w:t>
      </w:r>
      <w:r w:rsidR="0063698D">
        <w:rPr>
          <w:i/>
          <w:color w:val="42145F" w:themeColor="text1"/>
        </w:rPr>
        <w:t>a</w:t>
      </w:r>
      <w:r w:rsidR="001C4EEF">
        <w:rPr>
          <w:i/>
          <w:color w:val="42145F" w:themeColor="text1"/>
        </w:rPr>
        <w:t>ccuracy</w:t>
      </w:r>
    </w:p>
    <w:p w:rsidR="00137C65" w:rsidRDefault="00C0193B" w:rsidP="008446A7">
      <w:pPr>
        <w:pStyle w:val="Para0"/>
      </w:pPr>
      <w:r>
        <w:t>There is a high degree of scientific rigo</w:t>
      </w:r>
      <w:r w:rsidR="004E4EDE">
        <w:t>u</w:t>
      </w:r>
      <w:r>
        <w:t xml:space="preserve">r across most aspects of the assessment, and the integration of science, management and community consultation has resulted in a </w:t>
      </w:r>
      <w:r w:rsidR="00024843">
        <w:t xml:space="preserve">sound </w:t>
      </w:r>
      <w:r w:rsidR="0063698D">
        <w:t>evaluation</w:t>
      </w:r>
      <w:r w:rsidR="00024843">
        <w:t>.</w:t>
      </w:r>
      <w:r>
        <w:t xml:space="preserve"> </w:t>
      </w:r>
      <w:r w:rsidR="006161E9" w:rsidRPr="006161E9">
        <w:t>The reports</w:t>
      </w:r>
      <w:r w:rsidR="006161E9">
        <w:t xml:space="preserve"> are well</w:t>
      </w:r>
      <w:r w:rsidR="004E4EDE">
        <w:t>-</w:t>
      </w:r>
      <w:r w:rsidR="006161E9">
        <w:t xml:space="preserve">referenced and </w:t>
      </w:r>
      <w:r>
        <w:t>apply relevant scientific information</w:t>
      </w:r>
      <w:r w:rsidR="006161E9">
        <w:t xml:space="preserve">, where it is available. </w:t>
      </w:r>
      <w:r w:rsidR="0063698D">
        <w:t>However, s</w:t>
      </w:r>
      <w:r w:rsidR="006161E9">
        <w:t xml:space="preserve">ome chapters </w:t>
      </w:r>
      <w:r w:rsidR="00AE1184">
        <w:t>draw heavily</w:t>
      </w:r>
      <w:r w:rsidR="006161E9">
        <w:t xml:space="preserve"> on expert opinion and do not present sufficient evidence to convince the reader that the findings </w:t>
      </w:r>
      <w:r w:rsidR="00CD1B2C">
        <w:t>and</w:t>
      </w:r>
      <w:r w:rsidR="006161E9">
        <w:t xml:space="preserve"> conclusions are </w:t>
      </w:r>
      <w:r w:rsidR="00024843">
        <w:t>based on the best available science</w:t>
      </w:r>
      <w:r w:rsidR="006161E9">
        <w:t>. Several corrections to information presented in the reports are recommended</w:t>
      </w:r>
      <w:r w:rsidR="00024843">
        <w:t xml:space="preserve">, </w:t>
      </w:r>
      <w:r w:rsidR="006161E9">
        <w:t xml:space="preserve">to </w:t>
      </w:r>
      <w:r w:rsidR="00024843">
        <w:t>address potentially</w:t>
      </w:r>
      <w:r w:rsidR="006161E9">
        <w:t xml:space="preserve"> misleading </w:t>
      </w:r>
      <w:r w:rsidR="00024843">
        <w:t xml:space="preserve">statements </w:t>
      </w:r>
      <w:r w:rsidR="006161E9">
        <w:t xml:space="preserve">or </w:t>
      </w:r>
      <w:r w:rsidR="00024843">
        <w:t>to recommend that further supporting evidence is provided</w:t>
      </w:r>
      <w:r w:rsidR="00827166">
        <w:t xml:space="preserve"> (Appendix A).</w:t>
      </w:r>
    </w:p>
    <w:p w:rsidR="00137C65" w:rsidRDefault="006161E9" w:rsidP="008446A7">
      <w:pPr>
        <w:pStyle w:val="Para0"/>
      </w:pPr>
      <w:r>
        <w:t xml:space="preserve">There is a general absence of management responses being triggered by the results of </w:t>
      </w:r>
      <w:r w:rsidR="00CD1B2C">
        <w:t xml:space="preserve">scientific </w:t>
      </w:r>
      <w:r>
        <w:t>monitoring, and stronger links between monitoring and m</w:t>
      </w:r>
      <w:r w:rsidR="00CD1B2C">
        <w:t xml:space="preserve">anagement are recommended. </w:t>
      </w:r>
      <w:r w:rsidR="00137C65">
        <w:t>The reports generally find that well</w:t>
      </w:r>
      <w:r w:rsidR="00CD1B2C">
        <w:t>-</w:t>
      </w:r>
      <w:r>
        <w:t xml:space="preserve">studied attributes of the reef </w:t>
      </w:r>
      <w:r w:rsidR="00CD1B2C">
        <w:t xml:space="preserve">ecosystem </w:t>
      </w:r>
      <w:r>
        <w:t>ar</w:t>
      </w:r>
      <w:r w:rsidR="00B876CB">
        <w:t>e in decline</w:t>
      </w:r>
      <w:r w:rsidR="00137C65">
        <w:t>,</w:t>
      </w:r>
      <w:r w:rsidR="00B876CB">
        <w:t xml:space="preserve"> </w:t>
      </w:r>
      <w:r w:rsidR="00137C65">
        <w:t xml:space="preserve">but that </w:t>
      </w:r>
      <w:r w:rsidR="00B876CB">
        <w:t>poorly studied</w:t>
      </w:r>
      <w:r w:rsidRPr="006161E9">
        <w:t xml:space="preserve"> </w:t>
      </w:r>
      <w:r w:rsidR="00B876CB">
        <w:t>attributes are in go</w:t>
      </w:r>
      <w:r w:rsidR="00CD1B2C">
        <w:t>od condition</w:t>
      </w:r>
      <w:r w:rsidR="00137C65">
        <w:t xml:space="preserve">. While </w:t>
      </w:r>
      <w:r w:rsidR="0063698D">
        <w:t xml:space="preserve">scientific </w:t>
      </w:r>
      <w:r w:rsidR="00137C65">
        <w:t xml:space="preserve">investigations into reef ecosystem attributes may be prioritised towards those in poor condition, it is not clear that this is the case. Nor is it clear that giving </w:t>
      </w:r>
      <w:r w:rsidR="00CD1B2C">
        <w:t>equal weighting</w:t>
      </w:r>
      <w:r w:rsidR="00137C65">
        <w:t xml:space="preserve"> to conclusions about reef ecosystem condition</w:t>
      </w:r>
      <w:r w:rsidR="00A310AD">
        <w:t>,</w:t>
      </w:r>
      <w:r w:rsidR="00137C65">
        <w:t xml:space="preserve"> based </w:t>
      </w:r>
      <w:r w:rsidR="00A310AD">
        <w:t>either on</w:t>
      </w:r>
      <w:r w:rsidR="00137C65">
        <w:t xml:space="preserve"> detailed research </w:t>
      </w:r>
      <w:r w:rsidR="00A310AD">
        <w:t>or</w:t>
      </w:r>
      <w:r w:rsidR="00137C65">
        <w:t xml:space="preserve"> expert opinion, as the reports do, is appropriate</w:t>
      </w:r>
      <w:r w:rsidR="00B876CB">
        <w:t xml:space="preserve">. </w:t>
      </w:r>
    </w:p>
    <w:p w:rsidR="002A3737" w:rsidRPr="006161E9" w:rsidRDefault="00137C65" w:rsidP="008446A7">
      <w:pPr>
        <w:pStyle w:val="Para0"/>
      </w:pPr>
      <w:r>
        <w:t xml:space="preserve">In some cases, uncertainty in the information available on </w:t>
      </w:r>
      <w:r w:rsidR="00B876CB">
        <w:t>key biological processes which are reported to contribute significantly to the decline in condition of the Great Barrier Reef could have been more extensively characterised.</w:t>
      </w:r>
    </w:p>
    <w:p w:rsidR="00012218" w:rsidRDefault="00012218" w:rsidP="008446A7">
      <w:pPr>
        <w:pStyle w:val="Para0"/>
        <w:rPr>
          <w:i/>
          <w:color w:val="42145F" w:themeColor="text1"/>
        </w:rPr>
      </w:pPr>
      <w:r>
        <w:rPr>
          <w:i/>
          <w:color w:val="42145F" w:themeColor="text1"/>
        </w:rPr>
        <w:t xml:space="preserve">Validity of </w:t>
      </w:r>
      <w:r w:rsidR="00A310AD">
        <w:rPr>
          <w:i/>
          <w:color w:val="42145F" w:themeColor="text1"/>
        </w:rPr>
        <w:t>c</w:t>
      </w:r>
      <w:r>
        <w:rPr>
          <w:i/>
          <w:color w:val="42145F" w:themeColor="text1"/>
        </w:rPr>
        <w:t>onclusions</w:t>
      </w:r>
    </w:p>
    <w:p w:rsidR="00CD2A16" w:rsidRDefault="00CD1B2C" w:rsidP="008446A7">
      <w:pPr>
        <w:pStyle w:val="Para0"/>
      </w:pPr>
      <w:r>
        <w:t xml:space="preserve">The Strategic Assessment </w:t>
      </w:r>
      <w:r w:rsidR="007C648D">
        <w:t>is considered to make</w:t>
      </w:r>
      <w:r>
        <w:t xml:space="preserve"> valid conclusions about the declining status of the Great Barrier Reef, the identification of management gaps and the </w:t>
      </w:r>
      <w:r w:rsidR="008F69B6">
        <w:t>requirement</w:t>
      </w:r>
      <w:r>
        <w:t xml:space="preserve"> </w:t>
      </w:r>
      <w:r w:rsidR="008F69B6">
        <w:t>for</w:t>
      </w:r>
      <w:r>
        <w:t xml:space="preserve"> su</w:t>
      </w:r>
      <w:r w:rsidR="00A310AD">
        <w:t>bstantial new action. However, f</w:t>
      </w:r>
      <w:r w:rsidR="0092507C" w:rsidRPr="0092507C">
        <w:t>orward</w:t>
      </w:r>
      <w:r w:rsidR="00A310AD">
        <w:t xml:space="preserve"> c</w:t>
      </w:r>
      <w:r w:rsidR="0092507C">
        <w:t xml:space="preserve">ommitments are </w:t>
      </w:r>
      <w:r w:rsidR="008F69B6">
        <w:t>a series of</w:t>
      </w:r>
      <w:r>
        <w:t xml:space="preserve"> incremental improvements</w:t>
      </w:r>
      <w:r w:rsidR="008F69B6">
        <w:t xml:space="preserve"> and </w:t>
      </w:r>
      <w:r>
        <w:t xml:space="preserve">processes, based on descriptions such as </w:t>
      </w:r>
      <w:r w:rsidR="0092507C">
        <w:t>collaborate, strengthen</w:t>
      </w:r>
      <w:r>
        <w:t>, engage, facilitate, encourage and promote</w:t>
      </w:r>
      <w:r w:rsidR="00A310AD">
        <w:t>;</w:t>
      </w:r>
      <w:r>
        <w:t xml:space="preserve"> </w:t>
      </w:r>
      <w:r w:rsidR="0092507C">
        <w:t xml:space="preserve">rather than </w:t>
      </w:r>
      <w:r w:rsidR="008F69B6">
        <w:t xml:space="preserve">specific and achievable actions </w:t>
      </w:r>
      <w:r w:rsidR="00A310AD">
        <w:t xml:space="preserve">with </w:t>
      </w:r>
      <w:r w:rsidR="008F69B6">
        <w:t>demonstra</w:t>
      </w:r>
      <w:r w:rsidR="00A310AD">
        <w:t>ble</w:t>
      </w:r>
      <w:r w:rsidR="008F69B6">
        <w:t xml:space="preserve"> impact on reef ecosystem condition</w:t>
      </w:r>
      <w:r w:rsidR="0092507C">
        <w:t xml:space="preserve">. Urgent and substantially strengthened measures will be </w:t>
      </w:r>
      <w:r w:rsidR="0092507C">
        <w:lastRenderedPageBreak/>
        <w:t>needed to address the declining condition of the Great Barrier Reef</w:t>
      </w:r>
      <w:r>
        <w:t>, but are generally lacking</w:t>
      </w:r>
      <w:r w:rsidR="0092507C">
        <w:t xml:space="preserve">. No future management </w:t>
      </w:r>
      <w:r>
        <w:t>scenarios</w:t>
      </w:r>
      <w:r w:rsidR="0092507C">
        <w:t xml:space="preserve"> and their associated effectiveness in addressing the assessed declining condition are presented. Current management resources </w:t>
      </w:r>
      <w:r>
        <w:t xml:space="preserve">are </w:t>
      </w:r>
      <w:r w:rsidR="00506AB0">
        <w:t>only briefly described</w:t>
      </w:r>
      <w:r>
        <w:t xml:space="preserve"> </w:t>
      </w:r>
      <w:r w:rsidR="0092507C">
        <w:t xml:space="preserve">in the assessment </w:t>
      </w:r>
      <w:r w:rsidR="00506AB0">
        <w:t>and</w:t>
      </w:r>
      <w:r w:rsidR="00EA1119">
        <w:t>, based on the evidence presented, have been</w:t>
      </w:r>
      <w:r w:rsidR="0092507C">
        <w:t xml:space="preserve"> insufficient to reverse the </w:t>
      </w:r>
      <w:r>
        <w:t>declining condition of key attributes</w:t>
      </w:r>
      <w:r w:rsidR="0092507C">
        <w:t>.</w:t>
      </w:r>
    </w:p>
    <w:p w:rsidR="0092507C" w:rsidRPr="0092507C" w:rsidRDefault="0092507C" w:rsidP="008446A7">
      <w:pPr>
        <w:pStyle w:val="Para0"/>
      </w:pPr>
      <w:r>
        <w:t xml:space="preserve">Some conclusions on the effectiveness of management actions appear to be overly optimistic and not supported by the evidence. The need to </w:t>
      </w:r>
      <w:r w:rsidR="009E2CBD">
        <w:t xml:space="preserve">consider a </w:t>
      </w:r>
      <w:r>
        <w:t>shift from</w:t>
      </w:r>
      <w:r w:rsidR="009E2CBD">
        <w:t xml:space="preserve"> a management approach based on</w:t>
      </w:r>
      <w:r>
        <w:t xml:space="preserve"> functional ecology to </w:t>
      </w:r>
      <w:r w:rsidR="009E2CBD">
        <w:t xml:space="preserve">one based on </w:t>
      </w:r>
      <w:r>
        <w:t xml:space="preserve">restoration ecology in the southern Great Barrier Reef </w:t>
      </w:r>
      <w:r w:rsidR="00CD1B2C">
        <w:t xml:space="preserve">appears not to be </w:t>
      </w:r>
      <w:r>
        <w:t>fully appreciated.</w:t>
      </w:r>
      <w:r w:rsidRPr="0092507C">
        <w:t xml:space="preserve"> </w:t>
      </w:r>
      <w:r w:rsidR="00A310AD">
        <w:t>Further strengthening of forward c</w:t>
      </w:r>
      <w:r w:rsidR="00CD1B2C">
        <w:t xml:space="preserve">ommitments </w:t>
      </w:r>
      <w:r w:rsidR="00084A72">
        <w:t>is</w:t>
      </w:r>
      <w:r w:rsidR="00CD1B2C">
        <w:t xml:space="preserve"> recommended to address these identified </w:t>
      </w:r>
      <w:r w:rsidR="00C854B3">
        <w:t>shortcomings</w:t>
      </w:r>
      <w:r w:rsidR="00CD1B2C">
        <w:t>.</w:t>
      </w:r>
    </w:p>
    <w:p w:rsidR="00B75C67" w:rsidRDefault="00B75C67" w:rsidP="00B75C67">
      <w:pPr>
        <w:pStyle w:val="Para0"/>
        <w:rPr>
          <w:color w:val="42145F" w:themeColor="text1"/>
        </w:rPr>
      </w:pPr>
      <w:r>
        <w:rPr>
          <w:color w:val="42145F" w:themeColor="text1"/>
        </w:rPr>
        <w:t xml:space="preserve">Comparative </w:t>
      </w:r>
      <w:r w:rsidR="00A310AD">
        <w:rPr>
          <w:color w:val="42145F" w:themeColor="text1"/>
        </w:rPr>
        <w:t>a</w:t>
      </w:r>
      <w:r>
        <w:rPr>
          <w:color w:val="42145F" w:themeColor="text1"/>
        </w:rPr>
        <w:t>ssess</w:t>
      </w:r>
      <w:r w:rsidR="00A310AD">
        <w:rPr>
          <w:color w:val="42145F" w:themeColor="text1"/>
        </w:rPr>
        <w:t xml:space="preserve">ment of State and </w:t>
      </w:r>
      <w:r w:rsidR="00880A76">
        <w:rPr>
          <w:color w:val="42145F" w:themeColor="text1"/>
        </w:rPr>
        <w:t xml:space="preserve">GBRMPA </w:t>
      </w:r>
      <w:r w:rsidR="00A310AD">
        <w:rPr>
          <w:color w:val="42145F" w:themeColor="text1"/>
        </w:rPr>
        <w:t>p</w:t>
      </w:r>
      <w:r>
        <w:rPr>
          <w:color w:val="42145F" w:themeColor="text1"/>
        </w:rPr>
        <w:t>rograms</w:t>
      </w:r>
    </w:p>
    <w:p w:rsidR="00CD2A16" w:rsidRDefault="00CD1B2C" w:rsidP="008446A7">
      <w:pPr>
        <w:pStyle w:val="Para0"/>
      </w:pPr>
      <w:r>
        <w:t xml:space="preserve">The combined State and </w:t>
      </w:r>
      <w:r w:rsidR="00880A76">
        <w:t xml:space="preserve">GBRMPA </w:t>
      </w:r>
      <w:r>
        <w:t xml:space="preserve">Strategic Assessments </w:t>
      </w:r>
      <w:r w:rsidR="00CD2A16">
        <w:t>are</w:t>
      </w:r>
      <w:r>
        <w:t xml:space="preserve"> comprehensive assessment</w:t>
      </w:r>
      <w:r w:rsidR="00CD2A16">
        <w:t>s</w:t>
      </w:r>
      <w:r>
        <w:t xml:space="preserve"> of the Great Barrier Reef and its associated coastal landscapes and catchment. While the jurisdictional complexities of the joint management arrangements complicate the message, overall the assessments collectively identify their respective strengths and weaknesses and adequately and consistently characterise the challenges for future management. </w:t>
      </w:r>
      <w:r w:rsidR="00EF73DE" w:rsidRPr="00EF73DE">
        <w:t>The</w:t>
      </w:r>
      <w:r w:rsidR="00EF73DE">
        <w:t xml:space="preserve"> </w:t>
      </w:r>
      <w:r>
        <w:t xml:space="preserve">State and </w:t>
      </w:r>
      <w:r w:rsidR="00880A76">
        <w:t xml:space="preserve">GBRMPA </w:t>
      </w:r>
      <w:r>
        <w:t>applied</w:t>
      </w:r>
      <w:r w:rsidR="00EF73DE">
        <w:t xml:space="preserve"> different methods to assess management effectiveness</w:t>
      </w:r>
      <w:r>
        <w:t xml:space="preserve"> within their respective geographic areas</w:t>
      </w:r>
      <w:r w:rsidR="00EF73DE">
        <w:t>, and cross</w:t>
      </w:r>
      <w:r w:rsidR="00A03ED3">
        <w:t>-</w:t>
      </w:r>
      <w:r w:rsidR="00EF73DE">
        <w:t>referencing between the documents</w:t>
      </w:r>
      <w:r w:rsidR="008F69B6">
        <w:t xml:space="preserve"> could be improved</w:t>
      </w:r>
      <w:r w:rsidR="00EF73DE">
        <w:t xml:space="preserve">. </w:t>
      </w:r>
      <w:r w:rsidR="00CD2A16">
        <w:t xml:space="preserve">Such </w:t>
      </w:r>
      <w:r>
        <w:t>inconsistencies</w:t>
      </w:r>
      <w:r w:rsidR="00EF73DE">
        <w:t xml:space="preserve"> detract from t</w:t>
      </w:r>
      <w:r>
        <w:t>he</w:t>
      </w:r>
      <w:r w:rsidR="00EF73DE">
        <w:t xml:space="preserve"> perception of collaboration in the preparation of the Strategic Assessment between the Queensland Government and GBRMPA. </w:t>
      </w:r>
    </w:p>
    <w:p w:rsidR="00A479E9" w:rsidRDefault="00A759DD" w:rsidP="008446A7">
      <w:pPr>
        <w:pStyle w:val="Para0"/>
      </w:pPr>
      <w:r>
        <w:t xml:space="preserve">Strengths of the combined Programs include the management of tourism, </w:t>
      </w:r>
      <w:r w:rsidR="00CA2465">
        <w:t xml:space="preserve">field management activities </w:t>
      </w:r>
      <w:r w:rsidR="00CD2A16">
        <w:t>(</w:t>
      </w:r>
      <w:r w:rsidR="00CA2465">
        <w:t xml:space="preserve">including </w:t>
      </w:r>
      <w:r>
        <w:t>compliance</w:t>
      </w:r>
      <w:r w:rsidR="00CD2A16">
        <w:t>)</w:t>
      </w:r>
      <w:r>
        <w:t xml:space="preserve"> and </w:t>
      </w:r>
      <w:r w:rsidR="00CA2465">
        <w:t>the joint assessment of activities requiring permits</w:t>
      </w:r>
      <w:r w:rsidR="00A479E9">
        <w:t xml:space="preserve">. </w:t>
      </w:r>
      <w:r w:rsidR="00CA2465">
        <w:t>Risks to the ongoing conservation of MNES that</w:t>
      </w:r>
      <w:r w:rsidR="00EF73DE">
        <w:t xml:space="preserve"> appear to be ineffectively managed by both the State and </w:t>
      </w:r>
      <w:r w:rsidR="00880A76">
        <w:t xml:space="preserve">GBRMPA </w:t>
      </w:r>
      <w:r w:rsidR="00EF73DE">
        <w:t xml:space="preserve">Programs include climate change, water quality and some fishing activities. </w:t>
      </w:r>
      <w:r w:rsidR="00CA2465">
        <w:t>Encouragingly, there</w:t>
      </w:r>
      <w:r w:rsidR="00EF73DE">
        <w:t xml:space="preserve"> appears to be strong alignment in addressing other gaps, such as </w:t>
      </w:r>
      <w:r w:rsidR="00CA2465">
        <w:t xml:space="preserve">the </w:t>
      </w:r>
      <w:r w:rsidR="00EF73DE">
        <w:t>explicit consideration of MNES</w:t>
      </w:r>
      <w:r w:rsidR="00CA2465">
        <w:t xml:space="preserve"> within legislation or policy</w:t>
      </w:r>
      <w:r w:rsidR="00EF73DE">
        <w:t xml:space="preserve">, </w:t>
      </w:r>
      <w:r w:rsidR="00CA2465">
        <w:t xml:space="preserve">and improvements in the assessment of </w:t>
      </w:r>
      <w:r w:rsidR="00EF73DE">
        <w:t>cumulative impacts and offsets.</w:t>
      </w:r>
      <w:r w:rsidR="00A479E9">
        <w:t xml:space="preserve"> </w:t>
      </w:r>
    </w:p>
    <w:p w:rsidR="00012218" w:rsidRDefault="00A310AD" w:rsidP="008446A7">
      <w:pPr>
        <w:pStyle w:val="Para0"/>
        <w:rPr>
          <w:color w:val="42145F" w:themeColor="text1"/>
        </w:rPr>
      </w:pPr>
      <w:r>
        <w:rPr>
          <w:color w:val="42145F" w:themeColor="text1"/>
        </w:rPr>
        <w:t>Conclusions and r</w:t>
      </w:r>
      <w:r w:rsidR="00012218" w:rsidRPr="00CE0B7D">
        <w:rPr>
          <w:color w:val="42145F" w:themeColor="text1"/>
        </w:rPr>
        <w:t>ecommendations</w:t>
      </w:r>
    </w:p>
    <w:p w:rsidR="008C19CA" w:rsidRPr="00C76383" w:rsidRDefault="00C76383" w:rsidP="008446A7">
      <w:pPr>
        <w:pStyle w:val="Para0"/>
      </w:pPr>
      <w:r>
        <w:t>Overall the Strategic Assessment is a comprehensive presentation of the status of the Great Barrier Reef and the effectiveness of a range of management practices</w:t>
      </w:r>
      <w:r w:rsidR="00233C46">
        <w:t xml:space="preserve">. </w:t>
      </w:r>
      <w:r w:rsidR="00E720FB">
        <w:t xml:space="preserve">It </w:t>
      </w:r>
      <w:r w:rsidR="00261085">
        <w:t>addresses</w:t>
      </w:r>
      <w:r w:rsidR="00E720FB">
        <w:t xml:space="preserve"> the majority of the requirements of the Terms of Reference, and with further detail in some key areas, will be completely consistent with the Terms of Reference. </w:t>
      </w:r>
      <w:r w:rsidR="00233C46">
        <w:t>The high quality presentation,</w:t>
      </w:r>
      <w:r>
        <w:t xml:space="preserve"> combined with </w:t>
      </w:r>
      <w:r w:rsidR="00E720FB">
        <w:t xml:space="preserve">a </w:t>
      </w:r>
      <w:r>
        <w:t xml:space="preserve">strong technical focus are major strengths. </w:t>
      </w:r>
      <w:r w:rsidR="00A310AD">
        <w:t>However, f</w:t>
      </w:r>
      <w:r w:rsidR="008C19CA">
        <w:t>orward c</w:t>
      </w:r>
      <w:r w:rsidR="00CA2465">
        <w:t>ommitments are process-</w:t>
      </w:r>
      <w:r w:rsidR="000417FF">
        <w:t xml:space="preserve">focussed, do not address identified gaps and </w:t>
      </w:r>
      <w:r w:rsidR="00CA2465">
        <w:t xml:space="preserve">are </w:t>
      </w:r>
      <w:r w:rsidR="000417FF">
        <w:t>of insufficient magnitude</w:t>
      </w:r>
      <w:r w:rsidR="00CA2465">
        <w:t xml:space="preserve"> or urgency</w:t>
      </w:r>
      <w:r w:rsidR="000417FF">
        <w:t xml:space="preserve"> to </w:t>
      </w:r>
      <w:r w:rsidR="00CA2465">
        <w:t>respond in the manner that is clearly identified in the assessment</w:t>
      </w:r>
      <w:r w:rsidR="000417FF">
        <w:t xml:space="preserve">. </w:t>
      </w:r>
      <w:r w:rsidR="008C19CA">
        <w:t>It is recommended that the scale of direct management action needs to be increased and targeted towards the critical issues contributing to the declining condition of the Great Barrier Reef. Resources required to implement the five principal activities of</w:t>
      </w:r>
      <w:r w:rsidR="00A310AD">
        <w:t xml:space="preserve"> the</w:t>
      </w:r>
      <w:r w:rsidR="008C19CA">
        <w:t xml:space="preserve"> new Program should be discussed</w:t>
      </w:r>
      <w:r w:rsidR="00A310AD">
        <w:t>,</w:t>
      </w:r>
      <w:r w:rsidR="008C19CA">
        <w:t xml:space="preserve"> including the establishment of</w:t>
      </w:r>
      <w:r w:rsidR="00A310AD">
        <w:t xml:space="preserve"> an</w:t>
      </w:r>
      <w:r w:rsidR="008C19CA">
        <w:t xml:space="preserve"> integrated monitoring program. It is recommended that actions that will reduce cumulative impacts at key sites be prioritised and funded to </w:t>
      </w:r>
      <w:r w:rsidR="00233C46">
        <w:t>improve</w:t>
      </w:r>
      <w:r w:rsidR="008C19CA">
        <w:t xml:space="preserve"> ecosystem resilience. Opportunities have been identified to improve alignment</w:t>
      </w:r>
      <w:r w:rsidR="00233C46">
        <w:t xml:space="preserve"> of the GBRMPA program with that of the Queensland Government, </w:t>
      </w:r>
      <w:r w:rsidR="008C19CA">
        <w:t>to facilitate a seamless</w:t>
      </w:r>
      <w:r w:rsidR="00233C46">
        <w:t xml:space="preserve"> approach to management of the Great Barrier Reef.</w:t>
      </w:r>
    </w:p>
    <w:p w:rsidR="00622A3C" w:rsidRDefault="00A67D18" w:rsidP="00FD10FB">
      <w:pPr>
        <w:pStyle w:val="Heading1"/>
      </w:pPr>
      <w:bookmarkStart w:id="6" w:name="_Toc378857183"/>
      <w:r>
        <w:lastRenderedPageBreak/>
        <w:t>Introduction</w:t>
      </w:r>
      <w:bookmarkEnd w:id="6"/>
    </w:p>
    <w:p w:rsidR="00A67D18" w:rsidRDefault="00A67D18" w:rsidP="00A67D18">
      <w:pPr>
        <w:pStyle w:val="Heading2"/>
      </w:pPr>
      <w:bookmarkStart w:id="7" w:name="_Toc378857184"/>
      <w:r>
        <w:t>Background</w:t>
      </w:r>
      <w:bookmarkEnd w:id="7"/>
    </w:p>
    <w:p w:rsidR="00B63774" w:rsidRDefault="001E24E8" w:rsidP="001E24E8">
      <w:pPr>
        <w:pStyle w:val="Para0"/>
      </w:pPr>
      <w:r>
        <w:t>T</w:t>
      </w:r>
      <w:r w:rsidRPr="00B9428A">
        <w:t xml:space="preserve">he Great Barrier Reef is recognised </w:t>
      </w:r>
      <w:r w:rsidR="008F69B6">
        <w:t>internationally</w:t>
      </w:r>
      <w:r w:rsidRPr="00B9428A">
        <w:t xml:space="preserve"> as an iconic natural </w:t>
      </w:r>
      <w:r w:rsidR="000A4C1E">
        <w:t>asset</w:t>
      </w:r>
      <w:r w:rsidR="00A310AD">
        <w:t>, comprising almost 3,000 reefs</w:t>
      </w:r>
      <w:r w:rsidRPr="00B9428A">
        <w:t xml:space="preserve"> which </w:t>
      </w:r>
      <w:r w:rsidR="00205D1E">
        <w:t>form</w:t>
      </w:r>
      <w:r w:rsidRPr="00B9428A">
        <w:t xml:space="preserve"> one of the </w:t>
      </w:r>
      <w:r w:rsidR="00EF1507">
        <w:t>largest, most complex and diverse e</w:t>
      </w:r>
      <w:r w:rsidRPr="00B9428A">
        <w:t xml:space="preserve">cosystems on the planet. </w:t>
      </w:r>
      <w:r w:rsidR="001660E5">
        <w:t xml:space="preserve">More than 900 islands are located throughout the Great Barrier Reef, covering a distance of 2,300 kilometres across shallow estuarine areas to deep oceanic waters. </w:t>
      </w:r>
    </w:p>
    <w:p w:rsidR="001E24E8" w:rsidRPr="00435A70" w:rsidRDefault="001E24E8" w:rsidP="001E24E8">
      <w:pPr>
        <w:pStyle w:val="Para0"/>
      </w:pPr>
      <w:r>
        <w:t>M</w:t>
      </w:r>
      <w:r w:rsidRPr="00B9428A">
        <w:t xml:space="preserve">anagement of the reef ecosystem </w:t>
      </w:r>
      <w:r w:rsidR="002B1152">
        <w:t>as a multiple-</w:t>
      </w:r>
      <w:r w:rsidR="006D7523">
        <w:t xml:space="preserve">use marine park and </w:t>
      </w:r>
      <w:r w:rsidR="008F69B6">
        <w:t>W</w:t>
      </w:r>
      <w:r w:rsidR="006D7523" w:rsidRPr="008F69B6">
        <w:t xml:space="preserve">orld </w:t>
      </w:r>
      <w:r w:rsidR="008F69B6">
        <w:t>H</w:t>
      </w:r>
      <w:r w:rsidR="006D7523" w:rsidRPr="008F69B6">
        <w:t xml:space="preserve">eritage </w:t>
      </w:r>
      <w:r w:rsidR="008F69B6">
        <w:t>A</w:t>
      </w:r>
      <w:r w:rsidR="006D7523" w:rsidRPr="008F69B6">
        <w:t>rea</w:t>
      </w:r>
      <w:r w:rsidR="006D7523">
        <w:t xml:space="preserve"> </w:t>
      </w:r>
      <w:r w:rsidRPr="00B9428A">
        <w:t>is being increasingly challenged by</w:t>
      </w:r>
      <w:r w:rsidR="00B63774">
        <w:t xml:space="preserve"> several threats,</w:t>
      </w:r>
      <w:r w:rsidRPr="00B9428A">
        <w:t xml:space="preserve"> many of which have their origin outside </w:t>
      </w:r>
      <w:r w:rsidR="006D7523">
        <w:t>of the m</w:t>
      </w:r>
      <w:r w:rsidRPr="00B9428A">
        <w:t xml:space="preserve">arine </w:t>
      </w:r>
      <w:r w:rsidR="006D7523">
        <w:t>p</w:t>
      </w:r>
      <w:r w:rsidRPr="00B9428A">
        <w:t xml:space="preserve">ark’s boundaries. </w:t>
      </w:r>
      <w:r w:rsidR="00B63774">
        <w:t>These</w:t>
      </w:r>
      <w:r w:rsidRPr="00B9428A">
        <w:t xml:space="preserve"> include climate change, </w:t>
      </w:r>
      <w:r w:rsidR="002B1152">
        <w:t xml:space="preserve">ocean acidification, </w:t>
      </w:r>
      <w:r w:rsidR="000A4C1E">
        <w:t>sediment, nutrient</w:t>
      </w:r>
      <w:r w:rsidR="006D7523">
        <w:t>s</w:t>
      </w:r>
      <w:r w:rsidR="000A4C1E">
        <w:t xml:space="preserve"> and pesticides</w:t>
      </w:r>
      <w:r w:rsidR="00E627F8">
        <w:t xml:space="preserve"> entrained with catchment runoff</w:t>
      </w:r>
      <w:r w:rsidR="000A4C1E">
        <w:t xml:space="preserve">, </w:t>
      </w:r>
      <w:r w:rsidRPr="00B9428A">
        <w:t xml:space="preserve">disease and pest outbreaks, </w:t>
      </w:r>
      <w:r w:rsidR="002B1152">
        <w:t xml:space="preserve">ports and shipping, recreation and tourism, </w:t>
      </w:r>
      <w:r w:rsidRPr="00B9428A">
        <w:t xml:space="preserve">fishing and coastal development. While the Great Barrier Reef remains one of the healthiest </w:t>
      </w:r>
      <w:r>
        <w:t xml:space="preserve">coral reef </w:t>
      </w:r>
      <w:r w:rsidRPr="00B9428A">
        <w:t>ecosystems on the planet, its condition and resilience have declined in recent decades as a result of such pressures</w:t>
      </w:r>
      <w:r w:rsidR="00B32B57">
        <w:t xml:space="preserve"> (GBRMPA 2009)</w:t>
      </w:r>
      <w:r w:rsidRPr="00B9428A">
        <w:t>.</w:t>
      </w:r>
    </w:p>
    <w:p w:rsidR="001E24E8" w:rsidRDefault="00375D12" w:rsidP="001E24E8">
      <w:pPr>
        <w:pStyle w:val="Para0bullet"/>
        <w:numPr>
          <w:ilvl w:val="0"/>
          <w:numId w:val="0"/>
        </w:numPr>
      </w:pPr>
      <w:r>
        <w:t xml:space="preserve">The </w:t>
      </w:r>
      <w:r w:rsidR="00ED71B1">
        <w:t>Australian</w:t>
      </w:r>
      <w:r>
        <w:t xml:space="preserve"> and Queensland g</w:t>
      </w:r>
      <w:r w:rsidR="001E24E8" w:rsidRPr="00B9428A">
        <w:t xml:space="preserve">overnments are </w:t>
      </w:r>
      <w:r w:rsidR="005C0861">
        <w:t xml:space="preserve">undertaking a </w:t>
      </w:r>
      <w:r w:rsidR="00D040B2">
        <w:t>Strategic Assessment of the Great Barrier Reef</w:t>
      </w:r>
      <w:r w:rsidR="005C0861">
        <w:t xml:space="preserve"> World Heritage Area and adjacent coastal zone</w:t>
      </w:r>
      <w:r w:rsidR="001E24E8">
        <w:t>, with t</w:t>
      </w:r>
      <w:r w:rsidR="001E24E8" w:rsidRPr="00B9428A">
        <w:t>he</w:t>
      </w:r>
      <w:r w:rsidR="001E24E8">
        <w:t xml:space="preserve"> </w:t>
      </w:r>
      <w:r w:rsidR="005B4043">
        <w:t xml:space="preserve">Great Barrier Reef Marine Park Authority (GBRMPA) leading the marine components and the </w:t>
      </w:r>
      <w:r w:rsidR="001E24E8">
        <w:t>Queensland Government</w:t>
      </w:r>
      <w:r w:rsidR="001E24E8" w:rsidRPr="00B9428A">
        <w:t xml:space="preserve"> leading </w:t>
      </w:r>
      <w:r w:rsidR="001E24E8">
        <w:t xml:space="preserve">the relevant coastal zone components. The Strategic Assessment will help identify, plan for and manage the unique values of the Great Barrier Reef, and is being carried out under Part 10 of the </w:t>
      </w:r>
      <w:r w:rsidR="001E24E8" w:rsidRPr="00C0011E">
        <w:rPr>
          <w:i/>
        </w:rPr>
        <w:t>Environment Protection and Biodiversity Conservation Act 1999</w:t>
      </w:r>
      <w:r w:rsidR="001E24E8">
        <w:t xml:space="preserve"> (EPBC Act).</w:t>
      </w:r>
      <w:r w:rsidR="001C2664">
        <w:t xml:space="preserve"> </w:t>
      </w:r>
      <w:r w:rsidR="005B4043">
        <w:t>GBRMPA and the</w:t>
      </w:r>
      <w:r w:rsidR="001C2664">
        <w:t xml:space="preserve"> Queensland Government </w:t>
      </w:r>
      <w:r w:rsidR="002A3737">
        <w:t>have</w:t>
      </w:r>
      <w:r w:rsidR="001C2664">
        <w:t xml:space="preserve"> together produce</w:t>
      </w:r>
      <w:r w:rsidR="002A3737">
        <w:t>d draft</w:t>
      </w:r>
      <w:r w:rsidR="001C2664">
        <w:t xml:space="preserve"> reports </w:t>
      </w:r>
      <w:r w:rsidR="002A3737">
        <w:t xml:space="preserve">for public comment </w:t>
      </w:r>
      <w:r w:rsidR="001C2664">
        <w:t xml:space="preserve">covering the marine </w:t>
      </w:r>
      <w:r w:rsidR="009D0DFB">
        <w:t>and terrestrial areas of the Great Barrier Reef Region and Coastal Zone.</w:t>
      </w:r>
    </w:p>
    <w:p w:rsidR="001E24E8" w:rsidRDefault="001E24E8" w:rsidP="001E24E8">
      <w:pPr>
        <w:pStyle w:val="Para0bullet"/>
        <w:numPr>
          <w:ilvl w:val="0"/>
          <w:numId w:val="0"/>
        </w:numPr>
      </w:pPr>
      <w:r>
        <w:t xml:space="preserve">There is a high degree of public interest in the management of the Great Barrier Reef, both within Australia and internationally. The United Nations Educational, Scientific and Cultural Organisation (UNESCO) </w:t>
      </w:r>
      <w:r w:rsidR="00CB2204">
        <w:t>World Heritage Committee</w:t>
      </w:r>
      <w:r w:rsidR="00475591">
        <w:t xml:space="preserve">, in </w:t>
      </w:r>
      <w:r>
        <w:t xml:space="preserve">its final </w:t>
      </w:r>
      <w:r w:rsidR="002B1152">
        <w:t xml:space="preserve">reactive monitoring </w:t>
      </w:r>
      <w:r>
        <w:t>mission report in June 2012</w:t>
      </w:r>
      <w:r w:rsidR="00475591">
        <w:t>,</w:t>
      </w:r>
      <w:r>
        <w:t xml:space="preserve"> call</w:t>
      </w:r>
      <w:r w:rsidR="00475591">
        <w:t>ed</w:t>
      </w:r>
      <w:r>
        <w:t xml:space="preserve"> for a halt to new </w:t>
      </w:r>
      <w:r w:rsidR="002B1152">
        <w:t xml:space="preserve">port </w:t>
      </w:r>
      <w:r>
        <w:t>developments outside of the existing</w:t>
      </w:r>
      <w:r w:rsidR="00EA1119">
        <w:t xml:space="preserve"> and long-established</w:t>
      </w:r>
      <w:r>
        <w:t xml:space="preserve"> major port areas </w:t>
      </w:r>
      <w:r w:rsidR="00EA1119">
        <w:t xml:space="preserve">within and adjoining </w:t>
      </w:r>
      <w:r>
        <w:t xml:space="preserve">the Great Barrier Reef </w:t>
      </w:r>
      <w:r w:rsidR="00EA1119">
        <w:t xml:space="preserve">World Heritage property </w:t>
      </w:r>
      <w:r>
        <w:t>until the completion of the Strategic Assessment</w:t>
      </w:r>
      <w:r w:rsidR="00B32B57">
        <w:t xml:space="preserve"> (UNESCO 2012)</w:t>
      </w:r>
      <w:r>
        <w:t xml:space="preserve">. The mission report also </w:t>
      </w:r>
      <w:r w:rsidR="009161AA">
        <w:t>made</w:t>
      </w:r>
      <w:r>
        <w:t xml:space="preserve"> several references to the Strategic Assessment as </w:t>
      </w:r>
      <w:r w:rsidR="00475591">
        <w:t xml:space="preserve">making </w:t>
      </w:r>
      <w:r>
        <w:t xml:space="preserve">an important </w:t>
      </w:r>
      <w:r w:rsidR="00475591">
        <w:t xml:space="preserve">contribution to </w:t>
      </w:r>
      <w:r>
        <w:t>the long term conservation of the Great Barrier Reef.</w:t>
      </w:r>
    </w:p>
    <w:p w:rsidR="001E24E8" w:rsidRDefault="002A3737" w:rsidP="001E24E8">
      <w:pPr>
        <w:pStyle w:val="Para0bullet"/>
        <w:numPr>
          <w:ilvl w:val="0"/>
          <w:numId w:val="0"/>
        </w:numPr>
      </w:pPr>
      <w:r>
        <w:t>GBRMPA</w:t>
      </w:r>
      <w:r w:rsidR="001E24E8">
        <w:t xml:space="preserve"> has recently </w:t>
      </w:r>
      <w:r w:rsidR="00375D12">
        <w:t>developed</w:t>
      </w:r>
      <w:r w:rsidR="001E24E8">
        <w:t xml:space="preserve"> the </w:t>
      </w:r>
      <w:r>
        <w:t>Great Barrier Reef Region</w:t>
      </w:r>
      <w:r w:rsidR="001E24E8">
        <w:t xml:space="preserve"> Strategic Assessment t</w:t>
      </w:r>
      <w:r w:rsidR="00FD10FB">
        <w:t xml:space="preserve">o </w:t>
      </w:r>
      <w:r>
        <w:t>a</w:t>
      </w:r>
      <w:r w:rsidR="00FD10FB">
        <w:t xml:space="preserve"> draft stage</w:t>
      </w:r>
      <w:r w:rsidR="00E627F8">
        <w:t xml:space="preserve"> and released </w:t>
      </w:r>
      <w:r w:rsidR="007D41B8">
        <w:t>it</w:t>
      </w:r>
      <w:r w:rsidR="00E627F8">
        <w:t xml:space="preserve"> </w:t>
      </w:r>
      <w:r>
        <w:t>for public comment</w:t>
      </w:r>
      <w:r w:rsidR="00FD10FB">
        <w:t xml:space="preserve">. </w:t>
      </w:r>
      <w:r>
        <w:t>The Strategic Assessment</w:t>
      </w:r>
      <w:r w:rsidR="00FD10FB">
        <w:t xml:space="preserve"> </w:t>
      </w:r>
      <w:r w:rsidR="001E24E8">
        <w:t>include</w:t>
      </w:r>
      <w:r w:rsidR="00FD10FB">
        <w:t>s</w:t>
      </w:r>
      <w:r w:rsidR="001E24E8">
        <w:t xml:space="preserve"> a Program Report </w:t>
      </w:r>
      <w:r w:rsidR="00CE36C6">
        <w:t>(</w:t>
      </w:r>
      <w:r w:rsidR="007159AC">
        <w:t>GBRMPA 2013a</w:t>
      </w:r>
      <w:r w:rsidR="00CE36C6">
        <w:t xml:space="preserve">), </w:t>
      </w:r>
      <w:r>
        <w:t>which describes GBRMPA’s legislative</w:t>
      </w:r>
      <w:r w:rsidR="001E24E8">
        <w:t>, planning</w:t>
      </w:r>
      <w:r>
        <w:t>, policy</w:t>
      </w:r>
      <w:r w:rsidR="001E24E8">
        <w:t xml:space="preserve"> and development</w:t>
      </w:r>
      <w:r w:rsidR="009161AA">
        <w:t xml:space="preserve"> assessment framework, and a Strategic </w:t>
      </w:r>
      <w:r w:rsidR="001E24E8">
        <w:t xml:space="preserve">Assessment Report </w:t>
      </w:r>
      <w:r w:rsidR="00CE36C6">
        <w:t>(</w:t>
      </w:r>
      <w:r w:rsidR="007159AC">
        <w:t>GBRMPA 2013b</w:t>
      </w:r>
      <w:r w:rsidR="00CE36C6">
        <w:t xml:space="preserve">), </w:t>
      </w:r>
      <w:r w:rsidR="001E24E8">
        <w:t xml:space="preserve">which contains an assessment of the Program’s </w:t>
      </w:r>
      <w:r w:rsidR="00FD10FB">
        <w:t>effectiveness in managing and protecting</w:t>
      </w:r>
      <w:r w:rsidR="001E24E8">
        <w:t xml:space="preserve"> the </w:t>
      </w:r>
      <w:r w:rsidR="001C2664">
        <w:t>Matters of National Environmental Significance (MNES)</w:t>
      </w:r>
      <w:r w:rsidR="001E24E8">
        <w:t xml:space="preserve"> of the Great Barrier Reef</w:t>
      </w:r>
      <w:r w:rsidR="001C2664">
        <w:t xml:space="preserve"> </w:t>
      </w:r>
      <w:r w:rsidR="008B4298">
        <w:t>R</w:t>
      </w:r>
      <w:r w:rsidR="00E627F8">
        <w:t>egion</w:t>
      </w:r>
      <w:r w:rsidR="001E24E8">
        <w:t xml:space="preserve">. Several </w:t>
      </w:r>
      <w:r w:rsidR="002B288B">
        <w:t>supplementary studies</w:t>
      </w:r>
      <w:r w:rsidR="001E24E8">
        <w:t xml:space="preserve"> </w:t>
      </w:r>
      <w:r w:rsidR="00D040B2">
        <w:t xml:space="preserve">have also been </w:t>
      </w:r>
      <w:r w:rsidR="002B288B">
        <w:t>completed to inform the Strategic Assessment</w:t>
      </w:r>
      <w:r>
        <w:t xml:space="preserve"> and are available on the GBRMPA website</w:t>
      </w:r>
      <w:r w:rsidR="001E24E8">
        <w:t>.</w:t>
      </w:r>
      <w:r w:rsidR="001C2664">
        <w:t xml:space="preserve"> </w:t>
      </w:r>
      <w:r w:rsidR="008F69B6">
        <w:t>These were given some consideration by the review team, along with other relevant information about the reef’s existing management arrangements.</w:t>
      </w:r>
    </w:p>
    <w:p w:rsidR="007B2CF9" w:rsidRDefault="006D7523" w:rsidP="001506A8">
      <w:pPr>
        <w:pStyle w:val="Para0bullet"/>
        <w:numPr>
          <w:ilvl w:val="0"/>
          <w:numId w:val="0"/>
        </w:numPr>
        <w:rPr>
          <w:rFonts w:cs="Arial"/>
          <w:szCs w:val="20"/>
        </w:rPr>
      </w:pPr>
      <w:r>
        <w:t xml:space="preserve">The </w:t>
      </w:r>
      <w:r w:rsidR="00CC2584">
        <w:t>purpose</w:t>
      </w:r>
      <w:r>
        <w:t xml:space="preserve"> </w:t>
      </w:r>
      <w:r w:rsidR="001506A8">
        <w:t xml:space="preserve">and scope </w:t>
      </w:r>
      <w:r>
        <w:t xml:space="preserve">of the </w:t>
      </w:r>
      <w:r w:rsidR="002B288B" w:rsidRPr="001506A8">
        <w:t>Great Barrier Reef Region</w:t>
      </w:r>
      <w:r w:rsidR="002A3737" w:rsidRPr="001506A8">
        <w:t xml:space="preserve"> </w:t>
      </w:r>
      <w:r w:rsidRPr="001506A8">
        <w:t xml:space="preserve">Strategic Assessment </w:t>
      </w:r>
      <w:r w:rsidR="00CC2584" w:rsidRPr="001506A8">
        <w:t>is</w:t>
      </w:r>
      <w:r w:rsidR="00CD0B69" w:rsidRPr="001506A8">
        <w:t xml:space="preserve"> described in Sub-C</w:t>
      </w:r>
      <w:r w:rsidR="00A95160" w:rsidRPr="001506A8">
        <w:t>hapter 1.</w:t>
      </w:r>
      <w:r w:rsidR="001506A8" w:rsidRPr="001506A8">
        <w:t>2</w:t>
      </w:r>
      <w:r w:rsidR="00A95160" w:rsidRPr="001506A8">
        <w:t xml:space="preserve"> of the Assessment Report</w:t>
      </w:r>
      <w:r w:rsidR="00E13246">
        <w:t xml:space="preserve"> and in Chapter 1 of the Program Report</w:t>
      </w:r>
      <w:r w:rsidR="00A95160" w:rsidRPr="001506A8">
        <w:t xml:space="preserve">. </w:t>
      </w:r>
      <w:r w:rsidR="00475591" w:rsidRPr="001506A8">
        <w:t xml:space="preserve">The </w:t>
      </w:r>
      <w:r w:rsidR="00431BAD" w:rsidRPr="001506A8">
        <w:t>Strategic A</w:t>
      </w:r>
      <w:r w:rsidR="00A95160" w:rsidRPr="001506A8">
        <w:t xml:space="preserve">ssessment is </w:t>
      </w:r>
      <w:r w:rsidR="001506A8" w:rsidRPr="001506A8">
        <w:t>being</w:t>
      </w:r>
      <w:r w:rsidR="001506A8">
        <w:t xml:space="preserve"> completed to evaluate and improve </w:t>
      </w:r>
      <w:r w:rsidR="00B534D4">
        <w:t>GBRMPA’s</w:t>
      </w:r>
      <w:r w:rsidR="001506A8">
        <w:t xml:space="preserve"> management of existing and emerging risks to the Great Barrier Reef, focussing on the relevant </w:t>
      </w:r>
      <w:r w:rsidR="00A95160" w:rsidRPr="00CC2584">
        <w:t>MN</w:t>
      </w:r>
      <w:r w:rsidR="008B4298">
        <w:t>ES</w:t>
      </w:r>
      <w:r w:rsidR="001506A8">
        <w:t>.</w:t>
      </w:r>
      <w:r w:rsidR="00CB2204">
        <w:t xml:space="preserve"> </w:t>
      </w:r>
      <w:r w:rsidR="008F69B6">
        <w:t>Some aspects of the Commonwealth’s management of the Great Barrier Reef are outside of GBRMPA</w:t>
      </w:r>
      <w:r w:rsidR="007D41B8">
        <w:t>’s jurisdiction</w:t>
      </w:r>
      <w:r w:rsidR="008F69B6">
        <w:t xml:space="preserve"> and are not the focus of this assessment</w:t>
      </w:r>
      <w:r w:rsidR="008B4298">
        <w:t>, as outlined in the Terms of Reference</w:t>
      </w:r>
      <w:r w:rsidR="008F69B6">
        <w:t xml:space="preserve">. </w:t>
      </w:r>
      <w:r w:rsidR="00CC2584">
        <w:rPr>
          <w:rFonts w:cs="Arial"/>
          <w:szCs w:val="20"/>
        </w:rPr>
        <w:t>The</w:t>
      </w:r>
      <w:r w:rsidR="00D91678">
        <w:rPr>
          <w:rFonts w:cs="Arial"/>
          <w:szCs w:val="20"/>
        </w:rPr>
        <w:t xml:space="preserve"> Strategic A</w:t>
      </w:r>
      <w:r w:rsidR="00A95160">
        <w:rPr>
          <w:rFonts w:cs="Arial"/>
          <w:szCs w:val="20"/>
        </w:rPr>
        <w:t xml:space="preserve">ssessment </w:t>
      </w:r>
      <w:r w:rsidR="001506A8">
        <w:rPr>
          <w:rFonts w:cs="Arial"/>
          <w:szCs w:val="20"/>
        </w:rPr>
        <w:t xml:space="preserve">also </w:t>
      </w:r>
      <w:r w:rsidR="00A95160">
        <w:rPr>
          <w:rFonts w:cs="Arial"/>
          <w:szCs w:val="20"/>
        </w:rPr>
        <w:t xml:space="preserve">forms part of </w:t>
      </w:r>
      <w:r w:rsidR="001506A8">
        <w:rPr>
          <w:rFonts w:cs="Arial"/>
          <w:szCs w:val="20"/>
        </w:rPr>
        <w:t>the Australian Government’s</w:t>
      </w:r>
      <w:r w:rsidR="00A95160">
        <w:rPr>
          <w:rFonts w:cs="Arial"/>
          <w:szCs w:val="20"/>
        </w:rPr>
        <w:t xml:space="preserve"> response to the World Heritage Committee’s</w:t>
      </w:r>
      <w:r w:rsidR="00387C26">
        <w:rPr>
          <w:rFonts w:cs="Arial"/>
          <w:szCs w:val="20"/>
        </w:rPr>
        <w:t xml:space="preserve"> </w:t>
      </w:r>
      <w:r w:rsidR="00A95160">
        <w:rPr>
          <w:rFonts w:cs="Arial"/>
          <w:szCs w:val="20"/>
        </w:rPr>
        <w:t xml:space="preserve">concerns regarding </w:t>
      </w:r>
      <w:r w:rsidR="001506A8">
        <w:rPr>
          <w:rFonts w:cs="Arial"/>
          <w:szCs w:val="20"/>
        </w:rPr>
        <w:t>development impacts on the World Heritage Area.</w:t>
      </w:r>
      <w:r w:rsidR="00A95160">
        <w:rPr>
          <w:rFonts w:cs="Arial"/>
          <w:szCs w:val="20"/>
        </w:rPr>
        <w:t xml:space="preserve"> </w:t>
      </w:r>
    </w:p>
    <w:p w:rsidR="00A67D18" w:rsidRDefault="00DE602A" w:rsidP="00A67D18">
      <w:pPr>
        <w:pStyle w:val="Heading2"/>
      </w:pPr>
      <w:bookmarkStart w:id="8" w:name="_Toc378857185"/>
      <w:r>
        <w:t>Scope of w</w:t>
      </w:r>
      <w:r w:rsidR="00A67D18">
        <w:t>ork</w:t>
      </w:r>
      <w:bookmarkEnd w:id="8"/>
    </w:p>
    <w:p w:rsidR="00B75C67" w:rsidRDefault="008446A7" w:rsidP="008446A7">
      <w:pPr>
        <w:pStyle w:val="Para0"/>
      </w:pPr>
      <w:r>
        <w:t xml:space="preserve">Sinclair Knight Merz (SKM) was engaged by the </w:t>
      </w:r>
      <w:r w:rsidR="006D7523">
        <w:t xml:space="preserve">Department of </w:t>
      </w:r>
      <w:r w:rsidR="00387C26">
        <w:t xml:space="preserve">the </w:t>
      </w:r>
      <w:r w:rsidR="006D7523">
        <w:t>Environment</w:t>
      </w:r>
      <w:r>
        <w:t xml:space="preserve"> to complete</w:t>
      </w:r>
      <w:r w:rsidR="00B75C67">
        <w:t>:</w:t>
      </w:r>
    </w:p>
    <w:p w:rsidR="00B75C67" w:rsidRDefault="00B75C67" w:rsidP="007C648D">
      <w:pPr>
        <w:pStyle w:val="Para0"/>
        <w:numPr>
          <w:ilvl w:val="0"/>
          <w:numId w:val="43"/>
        </w:numPr>
      </w:pPr>
      <w:r>
        <w:lastRenderedPageBreak/>
        <w:t>A peer review of the draft Great Barrier Reef Region Program Report and Strategic Assessment Report prepared by GBRMPA, as established in the endorsed Terms of Reference for the Great Barrier Re</w:t>
      </w:r>
      <w:r w:rsidR="00A310AD">
        <w:t>ef Region Strategic Assessment</w:t>
      </w:r>
    </w:p>
    <w:p w:rsidR="00B75C67" w:rsidRDefault="00B75C67" w:rsidP="007C648D">
      <w:pPr>
        <w:pStyle w:val="Para0"/>
        <w:numPr>
          <w:ilvl w:val="0"/>
          <w:numId w:val="43"/>
        </w:numPr>
      </w:pPr>
      <w:r>
        <w:t xml:space="preserve">A comparative analysis of the draft Great Barrier Reef Region Program and the draft Great Barrier Reef Coastal Zone Program (prepared by the Queensland Government) and associated strategic assessment documentation to ascertain gaps in management to protect matters of national environmental significance, including </w:t>
      </w:r>
      <w:r w:rsidR="007D41B8">
        <w:t xml:space="preserve">the </w:t>
      </w:r>
      <w:r>
        <w:t>outstanding universal value of the Great Barri</w:t>
      </w:r>
      <w:r w:rsidR="00A310AD">
        <w:t>er Reef World Heritage property</w:t>
      </w:r>
    </w:p>
    <w:p w:rsidR="008446A7" w:rsidRDefault="008446A7" w:rsidP="008446A7">
      <w:pPr>
        <w:pStyle w:val="Para0"/>
      </w:pPr>
      <w:r>
        <w:t>This report outlines the findings of the independent review.</w:t>
      </w:r>
    </w:p>
    <w:p w:rsidR="00CC50BF" w:rsidRDefault="007447D3" w:rsidP="00CC50BF">
      <w:pPr>
        <w:pStyle w:val="Para0bullet"/>
        <w:numPr>
          <w:ilvl w:val="0"/>
          <w:numId w:val="0"/>
        </w:numPr>
      </w:pPr>
      <w:r>
        <w:t>Terms of R</w:t>
      </w:r>
      <w:r w:rsidR="00CC50BF">
        <w:t xml:space="preserve">eference </w:t>
      </w:r>
      <w:r w:rsidR="00CE36C6">
        <w:t>(</w:t>
      </w:r>
      <w:r w:rsidR="007159AC">
        <w:t>GBRMPA 2012</w:t>
      </w:r>
      <w:r w:rsidR="00CE36C6">
        <w:t xml:space="preserve">) </w:t>
      </w:r>
      <w:r w:rsidR="00CC50BF">
        <w:t>for the Strategic Assessment were finalised in 2012</w:t>
      </w:r>
      <w:r w:rsidR="00387C26">
        <w:t>,</w:t>
      </w:r>
      <w:r w:rsidR="00CC50BF">
        <w:t xml:space="preserve"> following a public consultation process. </w:t>
      </w:r>
      <w:r w:rsidR="00A14AEB">
        <w:t xml:space="preserve">Section 7 of the Terms of Reference </w:t>
      </w:r>
      <w:r w:rsidR="009D0DFB">
        <w:t>describes</w:t>
      </w:r>
      <w:r w:rsidR="00A14AEB">
        <w:t xml:space="preserve"> the Strategic Assessment process, and requires the draft Strategic Assessment </w:t>
      </w:r>
      <w:r w:rsidR="007D41B8">
        <w:t>R</w:t>
      </w:r>
      <w:r w:rsidR="00A14AEB">
        <w:t xml:space="preserve">eport to be peer reviewed by at least three appropriately qualified persons. </w:t>
      </w:r>
      <w:r w:rsidR="00CC50BF">
        <w:t xml:space="preserve">The independent review is an important step in determining whether the Strategic Assessment </w:t>
      </w:r>
      <w:r w:rsidR="00A14AEB">
        <w:t>is consistent with</w:t>
      </w:r>
      <w:r>
        <w:t xml:space="preserve"> its Terms of R</w:t>
      </w:r>
      <w:r w:rsidR="00387C26">
        <w:t>eference and</w:t>
      </w:r>
      <w:r w:rsidR="00E13246">
        <w:t xml:space="preserve"> has</w:t>
      </w:r>
      <w:r w:rsidR="00387C26">
        <w:t xml:space="preserve"> </w:t>
      </w:r>
      <w:r w:rsidR="00CC50BF">
        <w:t>assessed and described the existing and future risks to the Great Barrier Reef</w:t>
      </w:r>
      <w:r w:rsidR="00B5010B">
        <w:t xml:space="preserve"> and how they will be managed</w:t>
      </w:r>
      <w:r w:rsidR="00CC50BF">
        <w:t>.</w:t>
      </w:r>
      <w:r w:rsidR="00CC50BF" w:rsidRPr="00EE029D">
        <w:t xml:space="preserve"> </w:t>
      </w:r>
    </w:p>
    <w:p w:rsidR="00971FF5" w:rsidRDefault="00B5010B" w:rsidP="00CC50BF">
      <w:pPr>
        <w:pStyle w:val="Para0bullet"/>
        <w:numPr>
          <w:ilvl w:val="0"/>
          <w:numId w:val="0"/>
        </w:numPr>
      </w:pPr>
      <w:r>
        <w:t xml:space="preserve">The review </w:t>
      </w:r>
      <w:r w:rsidR="00E13246">
        <w:t xml:space="preserve">team </w:t>
      </w:r>
      <w:r>
        <w:t xml:space="preserve">considered electronic </w:t>
      </w:r>
      <w:r w:rsidR="00971FF5">
        <w:t>versions of the Draft Program Report</w:t>
      </w:r>
      <w:r w:rsidR="00DC42C5">
        <w:t xml:space="preserve"> (GBRMPA 2013a)</w:t>
      </w:r>
      <w:r w:rsidR="00971FF5">
        <w:t>, Draft Strategic Assessment Report</w:t>
      </w:r>
      <w:r w:rsidR="00DC42C5">
        <w:t xml:space="preserve"> (GBRMPA 2013b)</w:t>
      </w:r>
      <w:r w:rsidR="00971FF5">
        <w:t xml:space="preserve"> and </w:t>
      </w:r>
      <w:r w:rsidR="00AF5107">
        <w:t xml:space="preserve">associated </w:t>
      </w:r>
      <w:r w:rsidR="00971FF5">
        <w:t>Draft Appendices</w:t>
      </w:r>
      <w:r w:rsidR="00AF5107">
        <w:t xml:space="preserve"> and supplementary reports available</w:t>
      </w:r>
      <w:r w:rsidR="00A14AEB">
        <w:t xml:space="preserve"> for public comment</w:t>
      </w:r>
      <w:r w:rsidR="00AF5107">
        <w:t xml:space="preserve"> on the GBRMPA website</w:t>
      </w:r>
      <w:r>
        <w:t xml:space="preserve">. These </w:t>
      </w:r>
      <w:r w:rsidR="00A14AEB">
        <w:t xml:space="preserve">reports and other relevant documentation </w:t>
      </w:r>
      <w:r w:rsidR="00971FF5">
        <w:t xml:space="preserve">were provided to SKM by </w:t>
      </w:r>
      <w:r w:rsidR="00AF5107">
        <w:t>the Department</w:t>
      </w:r>
      <w:r w:rsidR="00971FF5">
        <w:t xml:space="preserve"> </w:t>
      </w:r>
      <w:r w:rsidR="00A14AEB">
        <w:t>on 12 December 2013.</w:t>
      </w:r>
      <w:r w:rsidR="00DC42C5">
        <w:t xml:space="preserve"> The Queensland Government’s Strategic Assessment of the Great Barrier Reef Coastal Zone was also considered, including published drafts for public comment of the Program Report (Queensland Government 2013a), Assessment Report (Queensland Government, 2013b) and an independent review of an earlier draft (SKM 2013).</w:t>
      </w:r>
    </w:p>
    <w:p w:rsidR="000759DF" w:rsidRDefault="000759DF" w:rsidP="00CC50BF">
      <w:pPr>
        <w:pStyle w:val="Para0bullet"/>
        <w:numPr>
          <w:ilvl w:val="0"/>
          <w:numId w:val="0"/>
        </w:numPr>
      </w:pPr>
      <w:r>
        <w:t xml:space="preserve">This report utilises a variety of management terms when describing the Great Barrier Reef, including World Heritage Area, marine park and region. Environmental values of the Great Barrier Reef are also referred to in the context of MNES and Outstanding Universal Value (OUV). The application of these terms to the Strategic Assessment is explained in Chapter 1 of the Assessment Report, with examples of the differences in the meaning of these terms provided in Section 1.2.  </w:t>
      </w:r>
    </w:p>
    <w:p w:rsidR="00A67D18" w:rsidRDefault="00964EE2" w:rsidP="00A67D18">
      <w:pPr>
        <w:pStyle w:val="Heading2"/>
      </w:pPr>
      <w:bookmarkStart w:id="9" w:name="_Toc378857186"/>
      <w:r>
        <w:t>Methods</w:t>
      </w:r>
      <w:bookmarkEnd w:id="9"/>
    </w:p>
    <w:p w:rsidR="00120447" w:rsidRDefault="00C0076C" w:rsidP="00A67D18">
      <w:pPr>
        <w:pStyle w:val="Para0"/>
      </w:pPr>
      <w:r>
        <w:t xml:space="preserve">SKM established a </w:t>
      </w:r>
      <w:r w:rsidR="00CC50BF">
        <w:t xml:space="preserve">review team </w:t>
      </w:r>
      <w:r w:rsidR="00877516">
        <w:t xml:space="preserve">comprising its own </w:t>
      </w:r>
      <w:r w:rsidR="00120447">
        <w:t>staff and</w:t>
      </w:r>
      <w:r w:rsidR="009D0DFB">
        <w:t xml:space="preserve"> specialist</w:t>
      </w:r>
      <w:r w:rsidR="00120447">
        <w:t xml:space="preserve"> </w:t>
      </w:r>
      <w:r w:rsidR="00877516">
        <w:t xml:space="preserve">external </w:t>
      </w:r>
      <w:r w:rsidR="00120447">
        <w:t xml:space="preserve">subconsultants </w:t>
      </w:r>
      <w:r w:rsidR="00CC50BF">
        <w:t xml:space="preserve">to </w:t>
      </w:r>
      <w:r w:rsidR="00877516">
        <w:t xml:space="preserve">review </w:t>
      </w:r>
      <w:r w:rsidR="00CC50BF">
        <w:t>the draft Strategic Assessment</w:t>
      </w:r>
      <w:r w:rsidR="00120447">
        <w:t xml:space="preserve"> in accordance with the endorsed Terms of Reference</w:t>
      </w:r>
      <w:r w:rsidR="008B4298">
        <w:t xml:space="preserve"> </w:t>
      </w:r>
      <w:r w:rsidR="00120447">
        <w:t>(</w:t>
      </w:r>
      <w:r w:rsidR="007159AC">
        <w:t>GBRMPA 2012)</w:t>
      </w:r>
      <w:r w:rsidR="008B4298">
        <w:t xml:space="preserve">, which </w:t>
      </w:r>
      <w:r w:rsidR="007159AC">
        <w:t>require GBRMPA to</w:t>
      </w:r>
      <w:r w:rsidR="00120447">
        <w:t>:</w:t>
      </w:r>
    </w:p>
    <w:p w:rsidR="00120447" w:rsidRDefault="00120447" w:rsidP="007C648D">
      <w:pPr>
        <w:pStyle w:val="Para0"/>
        <w:numPr>
          <w:ilvl w:val="0"/>
          <w:numId w:val="45"/>
        </w:numPr>
      </w:pPr>
      <w:r>
        <w:t>“</w:t>
      </w:r>
      <w:r w:rsidR="006074E1">
        <w:t>E</w:t>
      </w:r>
      <w:r w:rsidR="007159AC">
        <w:t xml:space="preserve">ngage independent expertise to undertake an assessment of the effectiveness of the current Program to protect and manage the relevant MNES, including the </w:t>
      </w:r>
      <w:r w:rsidR="001F23AC">
        <w:t>Outstanding Universal Value (</w:t>
      </w:r>
      <w:r w:rsidR="007159AC">
        <w:t>OUV</w:t>
      </w:r>
      <w:r w:rsidR="001F23AC">
        <w:t>)</w:t>
      </w:r>
      <w:r w:rsidR="007159AC">
        <w:t xml:space="preserve"> of the Great Barrier Reef World Heritage Area </w:t>
      </w:r>
    </w:p>
    <w:p w:rsidR="007159AC" w:rsidRDefault="007159AC" w:rsidP="007C648D">
      <w:pPr>
        <w:pStyle w:val="Para0"/>
        <w:numPr>
          <w:ilvl w:val="0"/>
          <w:numId w:val="45"/>
        </w:numPr>
      </w:pPr>
      <w:r>
        <w:t xml:space="preserve">Arrange for the content of the draft Strategic Assessment Report to be peer </w:t>
      </w:r>
      <w:r w:rsidR="006074E1">
        <w:t>reviewed by at least three appropriately qualified persons</w:t>
      </w:r>
    </w:p>
    <w:p w:rsidR="006074E1" w:rsidRDefault="006074E1" w:rsidP="007C648D">
      <w:pPr>
        <w:pStyle w:val="Para0"/>
        <w:numPr>
          <w:ilvl w:val="0"/>
          <w:numId w:val="45"/>
        </w:numPr>
      </w:pPr>
      <w:r>
        <w:t xml:space="preserve">Provide the Minister with the independent assessment of management effectiveness, the peer review comments and a report identifying how the findings of the independent assessment and peer review have been considered in the Strategic Assessment Report and the Program Report.” </w:t>
      </w:r>
    </w:p>
    <w:p w:rsidR="006074E1" w:rsidRDefault="006074E1" w:rsidP="006074E1">
      <w:pPr>
        <w:pStyle w:val="Para0"/>
      </w:pPr>
      <w:r>
        <w:t>Chapter 8 of the Assessment Report provides a summary of the key finding</w:t>
      </w:r>
      <w:r w:rsidR="00877516">
        <w:t>s</w:t>
      </w:r>
      <w:r>
        <w:t xml:space="preserve"> of the independent assessment of management effectiveness (UniQuest 2013), which addresses the first peer review requirement</w:t>
      </w:r>
      <w:r w:rsidR="009D0DFB">
        <w:t xml:space="preserve"> of the Terms of Reference</w:t>
      </w:r>
      <w:r>
        <w:t>.</w:t>
      </w:r>
      <w:r w:rsidR="002679FD">
        <w:t xml:space="preserve"> </w:t>
      </w:r>
      <w:r w:rsidR="009D0DFB">
        <w:t>The second peer review requirement is addressed by this</w:t>
      </w:r>
      <w:r w:rsidR="002679FD">
        <w:t xml:space="preserve"> independent review</w:t>
      </w:r>
      <w:r w:rsidR="009D0DFB">
        <w:t xml:space="preserve"> by SKM</w:t>
      </w:r>
      <w:r w:rsidR="00877516">
        <w:t xml:space="preserve">. The report on this review will </w:t>
      </w:r>
      <w:r w:rsidR="002679FD">
        <w:t>form part of the information to be submitted to the Minister</w:t>
      </w:r>
      <w:r w:rsidR="008B4298">
        <w:t xml:space="preserve"> by the Department </w:t>
      </w:r>
      <w:r w:rsidR="002679FD">
        <w:t>to address th</w:t>
      </w:r>
      <w:r w:rsidR="009D0DFB">
        <w:t>e third peer review requirement of the Terms of Reference.</w:t>
      </w:r>
    </w:p>
    <w:p w:rsidR="00120447" w:rsidRDefault="002679FD" w:rsidP="00A67D18">
      <w:pPr>
        <w:pStyle w:val="Para0"/>
      </w:pPr>
      <w:r>
        <w:lastRenderedPageBreak/>
        <w:t>SKM</w:t>
      </w:r>
      <w:r w:rsidR="00877516">
        <w:t xml:space="preserve">’s core </w:t>
      </w:r>
      <w:r w:rsidR="00120447">
        <w:t xml:space="preserve">review team comprised </w:t>
      </w:r>
      <w:r w:rsidR="00877516">
        <w:t xml:space="preserve">independent </w:t>
      </w:r>
      <w:r w:rsidR="00BF6D11">
        <w:t xml:space="preserve">specialists, whose qualifications and experience are consistent with </w:t>
      </w:r>
      <w:r>
        <w:t>the requirements of the Terms of Reference</w:t>
      </w:r>
      <w:r w:rsidR="00120447">
        <w:t>:</w:t>
      </w:r>
    </w:p>
    <w:p w:rsidR="00120447" w:rsidRDefault="00120447" w:rsidP="007C648D">
      <w:pPr>
        <w:pStyle w:val="Para0"/>
        <w:numPr>
          <w:ilvl w:val="0"/>
          <w:numId w:val="44"/>
        </w:numPr>
      </w:pPr>
      <w:r>
        <w:t>Dr Michael Huber, Senior Executive Marine Scientist, Sinclair Knight Merz</w:t>
      </w:r>
      <w:r w:rsidR="002679FD">
        <w:t>.</w:t>
      </w:r>
      <w:r w:rsidR="00094F0B">
        <w:t xml:space="preserve"> Michael is SKM’s Global Practice Leader in marine science and has over 35 years</w:t>
      </w:r>
      <w:r w:rsidR="00A310AD">
        <w:t>’</w:t>
      </w:r>
      <w:r w:rsidR="00094F0B">
        <w:t xml:space="preserve"> experience in consulting and research. </w:t>
      </w:r>
      <w:r w:rsidR="00581D21" w:rsidRPr="00581D21">
        <w:t xml:space="preserve">As Member Emeritus and past Chairman of GESAMP (Group of Experts on the Scientific Aspects of Marine Environmental Protection), Mike </w:t>
      </w:r>
      <w:r w:rsidR="00581D21">
        <w:t>advises the United Nation</w:t>
      </w:r>
      <w:r w:rsidR="007D41B8">
        <w:t>s</w:t>
      </w:r>
      <w:r w:rsidR="00581D21" w:rsidRPr="00581D21">
        <w:t xml:space="preserve"> on marine environmental issues.</w:t>
      </w:r>
      <w:r w:rsidR="00581D21">
        <w:t xml:space="preserve"> </w:t>
      </w:r>
      <w:r w:rsidR="00094F0B">
        <w:t xml:space="preserve">Mike has worked with several international organisations during his career and is co-author of the </w:t>
      </w:r>
      <w:r w:rsidR="00581D21">
        <w:t>best-</w:t>
      </w:r>
      <w:r w:rsidR="00094F0B">
        <w:t xml:space="preserve">selling university text book </w:t>
      </w:r>
      <w:r w:rsidR="009D0DFB">
        <w:t>‘</w:t>
      </w:r>
      <w:r w:rsidR="00094F0B">
        <w:t>Marine Biology</w:t>
      </w:r>
      <w:r w:rsidR="009D0DFB">
        <w:t>’</w:t>
      </w:r>
      <w:r w:rsidR="00094F0B">
        <w:t xml:space="preserve"> (9</w:t>
      </w:r>
      <w:r w:rsidR="00094F0B" w:rsidRPr="00094F0B">
        <w:rPr>
          <w:vertAlign w:val="superscript"/>
        </w:rPr>
        <w:t>th</w:t>
      </w:r>
      <w:r w:rsidR="00094F0B">
        <w:t xml:space="preserve"> Edition). </w:t>
      </w:r>
    </w:p>
    <w:p w:rsidR="00120447" w:rsidRDefault="00120447" w:rsidP="007C648D">
      <w:pPr>
        <w:pStyle w:val="Para0"/>
        <w:numPr>
          <w:ilvl w:val="0"/>
          <w:numId w:val="44"/>
        </w:numPr>
      </w:pPr>
      <w:r>
        <w:t>John Gunn, Chief Executive Officer, Australian Institute of Marine Science (AIMS)</w:t>
      </w:r>
      <w:r w:rsidR="00094F0B">
        <w:t xml:space="preserve">. </w:t>
      </w:r>
      <w:r w:rsidR="00581D21">
        <w:t>John</w:t>
      </w:r>
      <w:r w:rsidR="00094F0B" w:rsidRPr="00094F0B">
        <w:t xml:space="preserve"> has significant experience in leading development of strategy, scientific research and capability, and stakeholder engagement across a research portfolio encompassing marine ecology, fisheries, coastal systems, physical and chemical oceanography, atmospheric chemistry and climate science. </w:t>
      </w:r>
      <w:r w:rsidR="00581D21">
        <w:t xml:space="preserve">Prior to joining AIMS, John had a 29-year career with CSIRO, and has </w:t>
      </w:r>
      <w:r w:rsidR="00581D21" w:rsidRPr="00581D21">
        <w:t>authored over 150 peer-reviewed publications, book chapters, papers to international com</w:t>
      </w:r>
      <w:r w:rsidR="00581D21">
        <w:t>missions and technical reports.</w:t>
      </w:r>
    </w:p>
    <w:p w:rsidR="00120447" w:rsidRDefault="00120447" w:rsidP="007C648D">
      <w:pPr>
        <w:pStyle w:val="Para0"/>
        <w:numPr>
          <w:ilvl w:val="0"/>
          <w:numId w:val="44"/>
        </w:numPr>
      </w:pPr>
      <w:r>
        <w:t>Associate Professor Peter Valentine, James Cook University (JCU).</w:t>
      </w:r>
      <w:r w:rsidR="00581D21" w:rsidRPr="00581D21">
        <w:t xml:space="preserve"> Peter is </w:t>
      </w:r>
      <w:r w:rsidR="007C02DE">
        <w:t>former H</w:t>
      </w:r>
      <w:r w:rsidR="00581D21" w:rsidRPr="00581D21">
        <w:t xml:space="preserve">ead of the School of Earth and Environmental Sciences at </w:t>
      </w:r>
      <w:r w:rsidR="00B828B5">
        <w:t>JCU</w:t>
      </w:r>
      <w:r w:rsidR="00581D21" w:rsidRPr="00581D21">
        <w:t xml:space="preserve">, where he teaches in protected area management and natural resource management. His research interests are focussed on protected area management and related conservation </w:t>
      </w:r>
      <w:r w:rsidR="007C02DE">
        <w:t xml:space="preserve">science </w:t>
      </w:r>
      <w:r w:rsidR="00581D21" w:rsidRPr="00581D21">
        <w:t xml:space="preserve">issues. </w:t>
      </w:r>
      <w:r w:rsidR="00B828B5">
        <w:t>Peter</w:t>
      </w:r>
      <w:r w:rsidR="00581D21" w:rsidRPr="00581D21">
        <w:t xml:space="preserve"> has worked extensively on World Heritage matters and has provided advice to governments and agencies in many countries around the world. </w:t>
      </w:r>
      <w:r w:rsidR="00B828B5">
        <w:t>He</w:t>
      </w:r>
      <w:r w:rsidR="00581D21" w:rsidRPr="00581D21">
        <w:t xml:space="preserve"> has a detailed knowledge of World Heritage matters of the Wet Tropics and Great Barrier Reef, and is a member of the </w:t>
      </w:r>
      <w:r w:rsidR="00FD2ECE">
        <w:t>IUCN’s</w:t>
      </w:r>
      <w:r w:rsidR="00581D21" w:rsidRPr="00581D21">
        <w:t xml:space="preserve"> World Commission on Protected Areas.</w:t>
      </w:r>
    </w:p>
    <w:p w:rsidR="00120447" w:rsidRDefault="00BF6D11" w:rsidP="00120447">
      <w:pPr>
        <w:pStyle w:val="Para0"/>
      </w:pPr>
      <w:r>
        <w:t xml:space="preserve">The core </w:t>
      </w:r>
      <w:r w:rsidR="00120447">
        <w:t xml:space="preserve">review team </w:t>
      </w:r>
      <w:r>
        <w:t xml:space="preserve">were supported by several additional </w:t>
      </w:r>
      <w:r w:rsidR="00120447">
        <w:t>SKM staff</w:t>
      </w:r>
      <w:r>
        <w:t xml:space="preserve">, including: </w:t>
      </w:r>
      <w:r w:rsidR="00120447">
        <w:t xml:space="preserve">Miles Yeates (Project Manager and Senior Marine Scientist), Susanne Cooper (Executive Consultant), Craig Clifton (Technical Reviewer) and Gavin Elphinstone (Project Director). </w:t>
      </w:r>
    </w:p>
    <w:p w:rsidR="00A67D18" w:rsidRDefault="00CC50BF" w:rsidP="00A67D18">
      <w:pPr>
        <w:pStyle w:val="Para0"/>
      </w:pPr>
      <w:r>
        <w:t xml:space="preserve">The </w:t>
      </w:r>
      <w:r w:rsidR="008A5830">
        <w:t>method adopted</w:t>
      </w:r>
      <w:r>
        <w:t xml:space="preserve"> for the </w:t>
      </w:r>
      <w:r w:rsidR="00C0076C">
        <w:t>review</w:t>
      </w:r>
      <w:r>
        <w:t xml:space="preserve"> was agreed with </w:t>
      </w:r>
      <w:r w:rsidR="00AF5107">
        <w:t>the Department</w:t>
      </w:r>
      <w:r>
        <w:t xml:space="preserve"> prior to the </w:t>
      </w:r>
      <w:r w:rsidR="00C0076C">
        <w:t>project</w:t>
      </w:r>
      <w:r>
        <w:t xml:space="preserve"> commencing, </w:t>
      </w:r>
      <w:r w:rsidR="00C0076C">
        <w:t>and</w:t>
      </w:r>
      <w:r>
        <w:t xml:space="preserve"> is summarised as follows:</w:t>
      </w:r>
    </w:p>
    <w:p w:rsidR="00CC50BF" w:rsidRDefault="00C0076C" w:rsidP="00E21C0E">
      <w:pPr>
        <w:pStyle w:val="Para0bullet"/>
        <w:ind w:left="851"/>
      </w:pPr>
      <w:r>
        <w:t>A p</w:t>
      </w:r>
      <w:r w:rsidR="00CC50BF">
        <w:t xml:space="preserve">roject inception meeting was held </w:t>
      </w:r>
      <w:r w:rsidR="00B5010B">
        <w:t>to confirm</w:t>
      </w:r>
      <w:r w:rsidR="00CC50BF">
        <w:t xml:space="preserve"> project objectives, methods, communication</w:t>
      </w:r>
      <w:r>
        <w:t xml:space="preserve"> channels</w:t>
      </w:r>
      <w:r w:rsidR="00A310AD">
        <w:t xml:space="preserve"> and timeframes</w:t>
      </w:r>
    </w:p>
    <w:p w:rsidR="00CC50BF" w:rsidRDefault="00CC50BF" w:rsidP="00E21C0E">
      <w:pPr>
        <w:pStyle w:val="Para0bullet"/>
        <w:ind w:left="851"/>
      </w:pPr>
      <w:r>
        <w:t xml:space="preserve">A briefing </w:t>
      </w:r>
      <w:r w:rsidR="00B5010B">
        <w:t xml:space="preserve">was given by </w:t>
      </w:r>
      <w:r>
        <w:t xml:space="preserve">the </w:t>
      </w:r>
      <w:r w:rsidR="00AF5107">
        <w:t>Department</w:t>
      </w:r>
      <w:r>
        <w:t xml:space="preserve"> </w:t>
      </w:r>
      <w:r w:rsidR="00AF5107">
        <w:t>at the start of the project</w:t>
      </w:r>
      <w:r w:rsidR="00B5010B">
        <w:t xml:space="preserve">. It </w:t>
      </w:r>
      <w:r>
        <w:t>provide</w:t>
      </w:r>
      <w:r w:rsidR="00B5010B">
        <w:t>d</w:t>
      </w:r>
      <w:r w:rsidR="00BF6D11">
        <w:t xml:space="preserve"> the</w:t>
      </w:r>
      <w:r w:rsidR="003C5E55">
        <w:t xml:space="preserve"> SKM</w:t>
      </w:r>
      <w:r w:rsidR="00BF6D11">
        <w:t>-led team</w:t>
      </w:r>
      <w:r w:rsidR="003C5E55">
        <w:t xml:space="preserve"> with background on the S</w:t>
      </w:r>
      <w:r>
        <w:t>trategic Assessment</w:t>
      </w:r>
      <w:r w:rsidR="00D91678">
        <w:t xml:space="preserve"> and the approach that had been taken to developing the documents</w:t>
      </w:r>
      <w:r>
        <w:t>.</w:t>
      </w:r>
    </w:p>
    <w:p w:rsidR="000A4C1E" w:rsidRDefault="009331B6" w:rsidP="00E21C0E">
      <w:pPr>
        <w:pStyle w:val="Para0bullet"/>
        <w:ind w:left="851"/>
      </w:pPr>
      <w:r>
        <w:t xml:space="preserve">The </w:t>
      </w:r>
      <w:r w:rsidR="008B4298">
        <w:t xml:space="preserve">draft </w:t>
      </w:r>
      <w:r>
        <w:t xml:space="preserve">Program Report, Assessment Report and Appendices were reviewed, with an </w:t>
      </w:r>
      <w:r w:rsidR="000A4C1E">
        <w:t>assessment made of the</w:t>
      </w:r>
      <w:r>
        <w:t>ir</w:t>
      </w:r>
      <w:r w:rsidR="000A4C1E">
        <w:t>:</w:t>
      </w:r>
    </w:p>
    <w:p w:rsidR="00CC50BF" w:rsidRDefault="00FD2ECE" w:rsidP="007C648D">
      <w:pPr>
        <w:pStyle w:val="Para0bullet"/>
        <w:numPr>
          <w:ilvl w:val="0"/>
          <w:numId w:val="39"/>
        </w:numPr>
        <w:tabs>
          <w:tab w:val="clear" w:pos="851"/>
          <w:tab w:val="left" w:pos="1276"/>
        </w:tabs>
        <w:ind w:left="1276" w:hanging="425"/>
      </w:pPr>
      <w:r>
        <w:t>C</w:t>
      </w:r>
      <w:r w:rsidR="00AC7435">
        <w:t xml:space="preserve">onsistency </w:t>
      </w:r>
      <w:r w:rsidR="00CC50BF">
        <w:t>with the Terms of Reference</w:t>
      </w:r>
    </w:p>
    <w:p w:rsidR="00CC50BF" w:rsidRDefault="00FD2ECE" w:rsidP="007C648D">
      <w:pPr>
        <w:pStyle w:val="Para0bullet"/>
        <w:numPr>
          <w:ilvl w:val="0"/>
          <w:numId w:val="39"/>
        </w:numPr>
        <w:tabs>
          <w:tab w:val="clear" w:pos="851"/>
          <w:tab w:val="left" w:pos="1276"/>
        </w:tabs>
        <w:ind w:left="1276" w:hanging="425"/>
      </w:pPr>
      <w:r>
        <w:t>S</w:t>
      </w:r>
      <w:r w:rsidR="00AC7435">
        <w:t xml:space="preserve">tructure </w:t>
      </w:r>
      <w:r w:rsidR="00CC50BF">
        <w:t>and cohesiveness of presentation</w:t>
      </w:r>
      <w:r w:rsidR="007447D3">
        <w:t xml:space="preserve"> </w:t>
      </w:r>
      <w:r>
        <w:t>–</w:t>
      </w:r>
      <w:r w:rsidR="00CC50BF">
        <w:t xml:space="preserve"> </w:t>
      </w:r>
      <w:r>
        <w:t>the review team</w:t>
      </w:r>
      <w:r w:rsidR="00CC50BF">
        <w:t xml:space="preserve"> considered whether the information was appropriately structured, presented in a clear, concise and well</w:t>
      </w:r>
      <w:r w:rsidR="00AC7435">
        <w:t>-</w:t>
      </w:r>
      <w:r w:rsidR="00CC50BF">
        <w:t xml:space="preserve">written manner, and whether the goals and objectives </w:t>
      </w:r>
      <w:r w:rsidR="00D91678">
        <w:t xml:space="preserve">of the assessment </w:t>
      </w:r>
      <w:r w:rsidR="00CC50BF">
        <w:t>were feasible, well-defined and targe</w:t>
      </w:r>
      <w:r w:rsidR="00A310AD">
        <w:t>ted towards the material issues</w:t>
      </w:r>
    </w:p>
    <w:p w:rsidR="00CC50BF" w:rsidRDefault="00FD2ECE" w:rsidP="007C648D">
      <w:pPr>
        <w:pStyle w:val="Para0bullet"/>
        <w:numPr>
          <w:ilvl w:val="0"/>
          <w:numId w:val="39"/>
        </w:numPr>
        <w:tabs>
          <w:tab w:val="clear" w:pos="851"/>
          <w:tab w:val="left" w:pos="1276"/>
        </w:tabs>
        <w:ind w:left="1276" w:hanging="425"/>
      </w:pPr>
      <w:r>
        <w:t>B</w:t>
      </w:r>
      <w:r w:rsidR="00AC7435">
        <w:t xml:space="preserve">readth </w:t>
      </w:r>
      <w:r w:rsidR="00CC50BF">
        <w:t>and depth</w:t>
      </w:r>
      <w:r w:rsidR="007447D3">
        <w:t xml:space="preserve"> </w:t>
      </w:r>
      <w:r>
        <w:t>–</w:t>
      </w:r>
      <w:r w:rsidR="00CC50BF">
        <w:t xml:space="preserve"> </w:t>
      </w:r>
      <w:r>
        <w:t>the review team</w:t>
      </w:r>
      <w:r w:rsidR="00CC50BF">
        <w:t xml:space="preserve"> considered whether the coverage </w:t>
      </w:r>
      <w:r w:rsidR="00D91678">
        <w:t xml:space="preserve">of the assessment </w:t>
      </w:r>
      <w:r w:rsidR="00CC50BF">
        <w:t>was adequate, and whether issues had been addressed in sufficient depth, or been overlooked</w:t>
      </w:r>
    </w:p>
    <w:p w:rsidR="00CC50BF" w:rsidRDefault="00FD2ECE" w:rsidP="007C648D">
      <w:pPr>
        <w:pStyle w:val="Para0bullet"/>
        <w:numPr>
          <w:ilvl w:val="0"/>
          <w:numId w:val="39"/>
        </w:numPr>
        <w:tabs>
          <w:tab w:val="clear" w:pos="851"/>
          <w:tab w:val="left" w:pos="1276"/>
        </w:tabs>
        <w:ind w:left="1276" w:hanging="425"/>
      </w:pPr>
      <w:r>
        <w:t>T</w:t>
      </w:r>
      <w:r w:rsidR="007447D3">
        <w:t xml:space="preserve">echnical accuracy </w:t>
      </w:r>
      <w:r>
        <w:t>–</w:t>
      </w:r>
      <w:r w:rsidR="00AC7435">
        <w:t xml:space="preserve"> </w:t>
      </w:r>
      <w:r>
        <w:t>the review team</w:t>
      </w:r>
      <w:r w:rsidR="00AC7435">
        <w:t xml:space="preserve"> </w:t>
      </w:r>
      <w:r w:rsidR="00C0076C">
        <w:t xml:space="preserve">considered </w:t>
      </w:r>
      <w:r w:rsidR="008A5830">
        <w:t>whether</w:t>
      </w:r>
      <w:r w:rsidR="00C0076C">
        <w:t xml:space="preserve"> uncertainty </w:t>
      </w:r>
      <w:r w:rsidR="008A5830">
        <w:t>had been</w:t>
      </w:r>
      <w:r w:rsidR="00CC50BF">
        <w:t xml:space="preserve"> adequately </w:t>
      </w:r>
      <w:r w:rsidR="00C0076C">
        <w:t>characterised</w:t>
      </w:r>
      <w:r w:rsidR="00CC50BF">
        <w:t xml:space="preserve"> and </w:t>
      </w:r>
      <w:r w:rsidR="008A5830">
        <w:t>whether</w:t>
      </w:r>
      <w:r w:rsidR="00CC50BF">
        <w:t xml:space="preserve"> </w:t>
      </w:r>
      <w:r w:rsidR="00AC7435">
        <w:t xml:space="preserve">any </w:t>
      </w:r>
      <w:r w:rsidR="00CC50BF">
        <w:t xml:space="preserve">conflict </w:t>
      </w:r>
      <w:r w:rsidR="009161AA">
        <w:t xml:space="preserve">in the available information </w:t>
      </w:r>
      <w:r w:rsidR="002B1152">
        <w:t>had been recorded and assessed</w:t>
      </w:r>
    </w:p>
    <w:p w:rsidR="00CC50BF" w:rsidRDefault="00FD2ECE" w:rsidP="007C648D">
      <w:pPr>
        <w:pStyle w:val="Para0bullet"/>
        <w:numPr>
          <w:ilvl w:val="0"/>
          <w:numId w:val="39"/>
        </w:numPr>
        <w:tabs>
          <w:tab w:val="clear" w:pos="851"/>
          <w:tab w:val="left" w:pos="1276"/>
        </w:tabs>
        <w:ind w:left="1276" w:hanging="425"/>
      </w:pPr>
      <w:r>
        <w:t>C</w:t>
      </w:r>
      <w:r w:rsidR="007447D3">
        <w:t xml:space="preserve">onclusions </w:t>
      </w:r>
      <w:r w:rsidR="00A310AD">
        <w:t xml:space="preserve">– </w:t>
      </w:r>
      <w:r w:rsidR="00CC50BF">
        <w:t>to deter</w:t>
      </w:r>
      <w:r w:rsidR="00C0076C">
        <w:t>mine whether they were evidence-</w:t>
      </w:r>
      <w:r w:rsidR="00CC50BF">
        <w:t xml:space="preserve">based, </w:t>
      </w:r>
      <w:r w:rsidR="009331B6">
        <w:t>valid</w:t>
      </w:r>
      <w:r w:rsidR="00CC50BF">
        <w:t xml:space="preserve"> and comprehensive. </w:t>
      </w:r>
      <w:r w:rsidR="009161AA">
        <w:t>The</w:t>
      </w:r>
      <w:r w:rsidR="00CC50BF">
        <w:t xml:space="preserve"> change process assumed in the Strategic Assessment </w:t>
      </w:r>
      <w:r w:rsidR="009161AA">
        <w:t>was</w:t>
      </w:r>
      <w:r w:rsidR="00CC50BF">
        <w:t xml:space="preserve"> tested for feasibility, and the </w:t>
      </w:r>
      <w:r w:rsidR="00F91145">
        <w:t>presentat</w:t>
      </w:r>
      <w:r w:rsidR="00B41457">
        <w:t>ion of the implications of the Strategic A</w:t>
      </w:r>
      <w:r w:rsidR="00F91145">
        <w:t xml:space="preserve">ssessment </w:t>
      </w:r>
      <w:r w:rsidR="00C0076C">
        <w:t>was</w:t>
      </w:r>
      <w:r w:rsidR="00F91145">
        <w:t xml:space="preserve"> reviewed.</w:t>
      </w:r>
    </w:p>
    <w:p w:rsidR="00AF5107" w:rsidRDefault="00F61EF7" w:rsidP="00E21C0E">
      <w:pPr>
        <w:pStyle w:val="Para0bullet"/>
        <w:ind w:left="851"/>
      </w:pPr>
      <w:r>
        <w:lastRenderedPageBreak/>
        <w:t>A</w:t>
      </w:r>
      <w:r w:rsidR="00AF5107">
        <w:t xml:space="preserve"> comparative assessment of the State and </w:t>
      </w:r>
      <w:r w:rsidR="00880A76">
        <w:t xml:space="preserve">GBRMPA </w:t>
      </w:r>
      <w:r w:rsidR="00AF5107">
        <w:t xml:space="preserve">Strategic Assessments was </w:t>
      </w:r>
      <w:r w:rsidR="00BF6D11">
        <w:t xml:space="preserve">undertaken </w:t>
      </w:r>
      <w:r w:rsidR="00AF5107">
        <w:t xml:space="preserve">to </w:t>
      </w:r>
      <w:r>
        <w:t>determine the extent to which the proposed Programs align and complement each other to provide an integrated and comprehensive management approach for protecting MNES, particularly MNES associated with the Great B</w:t>
      </w:r>
      <w:r w:rsidR="00543E44">
        <w:t>arrier Reef World Heritage Area</w:t>
      </w:r>
    </w:p>
    <w:p w:rsidR="00F91145" w:rsidRDefault="00F91145" w:rsidP="00E21C0E">
      <w:pPr>
        <w:pStyle w:val="Para0bullet"/>
        <w:ind w:left="851"/>
      </w:pPr>
      <w:r>
        <w:t xml:space="preserve">Conclusions from the review were drawn, and areas requiring further work were identified. Recommendations on improving the </w:t>
      </w:r>
      <w:r w:rsidR="009161AA">
        <w:t>Strategic A</w:t>
      </w:r>
      <w:r>
        <w:t xml:space="preserve">ssessment </w:t>
      </w:r>
      <w:r w:rsidR="00AC7435">
        <w:t xml:space="preserve">have been </w:t>
      </w:r>
      <w:r>
        <w:t xml:space="preserve">made and </w:t>
      </w:r>
      <w:r w:rsidR="00AC7435">
        <w:t xml:space="preserve">are </w:t>
      </w:r>
      <w:r>
        <w:t xml:space="preserve">presented in this </w:t>
      </w:r>
      <w:r w:rsidR="00135D2F">
        <w:t>report</w:t>
      </w:r>
      <w:r>
        <w:t>.</w:t>
      </w:r>
    </w:p>
    <w:p w:rsidR="00A67D18" w:rsidRDefault="00F91145" w:rsidP="00A67D18">
      <w:pPr>
        <w:pStyle w:val="Para0"/>
      </w:pPr>
      <w:r>
        <w:t xml:space="preserve">The review team worked independently of </w:t>
      </w:r>
      <w:r w:rsidR="00AF5107">
        <w:t>GBRMPA</w:t>
      </w:r>
      <w:r w:rsidR="006562AB">
        <w:t xml:space="preserve"> and did not directly interact with </w:t>
      </w:r>
      <w:r w:rsidR="008B4298">
        <w:t>it</w:t>
      </w:r>
      <w:r w:rsidR="006562AB">
        <w:t xml:space="preserve"> during the review process. </w:t>
      </w:r>
      <w:r w:rsidR="009331B6">
        <w:t xml:space="preserve">In addition to reviewing the Strategic Assessment documents, </w:t>
      </w:r>
      <w:r w:rsidR="00AF5107">
        <w:t>the review team</w:t>
      </w:r>
      <w:r w:rsidR="009331B6">
        <w:t xml:space="preserve"> referred to other relevant reports and literature available in the public domain.</w:t>
      </w:r>
      <w:r>
        <w:t xml:space="preserve"> Weekly progress reports were provided to </w:t>
      </w:r>
      <w:r w:rsidR="00135D2F">
        <w:t>the Department of the Environment</w:t>
      </w:r>
      <w:r>
        <w:t xml:space="preserve"> during the review process. </w:t>
      </w:r>
      <w:r w:rsidR="00E275F6">
        <w:t xml:space="preserve">SKM </w:t>
      </w:r>
      <w:r w:rsidR="008B4298">
        <w:t>has</w:t>
      </w:r>
      <w:r w:rsidR="00E275F6">
        <w:t xml:space="preserve"> not provide</w:t>
      </w:r>
      <w:r w:rsidR="008B4298">
        <w:t>d</w:t>
      </w:r>
      <w:r w:rsidR="00E275F6">
        <w:t xml:space="preserve"> fee</w:t>
      </w:r>
      <w:r w:rsidR="00444471">
        <w:t xml:space="preserve">dback on </w:t>
      </w:r>
      <w:r w:rsidR="00AF5107">
        <w:t xml:space="preserve">any </w:t>
      </w:r>
      <w:r w:rsidR="00444471">
        <w:t xml:space="preserve">editorial </w:t>
      </w:r>
      <w:r w:rsidR="009161AA">
        <w:t xml:space="preserve">or formatting </w:t>
      </w:r>
      <w:r w:rsidR="006562AB">
        <w:t>issues in the documents</w:t>
      </w:r>
      <w:r w:rsidR="00444471">
        <w:t xml:space="preserve">. </w:t>
      </w:r>
    </w:p>
    <w:p w:rsidR="00A67D18" w:rsidRDefault="00A67D18" w:rsidP="00A67D18">
      <w:pPr>
        <w:pStyle w:val="Heading2"/>
      </w:pPr>
      <w:bookmarkStart w:id="10" w:name="_Toc378857187"/>
      <w:r>
        <w:t xml:space="preserve">Structure of </w:t>
      </w:r>
      <w:r w:rsidR="001E24E8">
        <w:t xml:space="preserve">this </w:t>
      </w:r>
      <w:r>
        <w:t>report</w:t>
      </w:r>
      <w:bookmarkEnd w:id="10"/>
    </w:p>
    <w:p w:rsidR="00477D3D" w:rsidRDefault="00EB5DB0" w:rsidP="009C0371">
      <w:pPr>
        <w:pStyle w:val="Para0"/>
      </w:pPr>
      <w:r>
        <w:t xml:space="preserve">The main body of </w:t>
      </w:r>
      <w:r w:rsidR="006569F1">
        <w:t>this</w:t>
      </w:r>
      <w:r>
        <w:t xml:space="preserve"> report presents the findings of the </w:t>
      </w:r>
      <w:r w:rsidR="00477D3D">
        <w:t xml:space="preserve">independent </w:t>
      </w:r>
      <w:r>
        <w:t>review</w:t>
      </w:r>
      <w:r w:rsidR="009F5E2B">
        <w:t xml:space="preserve">, </w:t>
      </w:r>
      <w:r w:rsidR="00477D3D">
        <w:t>by evaluating:</w:t>
      </w:r>
    </w:p>
    <w:p w:rsidR="00477D3D" w:rsidRDefault="00543E44" w:rsidP="007C648D">
      <w:pPr>
        <w:pStyle w:val="Para0"/>
        <w:numPr>
          <w:ilvl w:val="0"/>
          <w:numId w:val="41"/>
        </w:numPr>
      </w:pPr>
      <w:r>
        <w:t>T</w:t>
      </w:r>
      <w:r w:rsidR="008A5830">
        <w:t xml:space="preserve">he </w:t>
      </w:r>
      <w:r w:rsidR="009F5E2B">
        <w:t xml:space="preserve">consistency </w:t>
      </w:r>
      <w:r w:rsidR="008A5830">
        <w:t xml:space="preserve">of the Strategic Assessment </w:t>
      </w:r>
      <w:r w:rsidR="009F5E2B">
        <w:t xml:space="preserve">with the </w:t>
      </w:r>
      <w:r w:rsidR="008B4298">
        <w:t>Terms of R</w:t>
      </w:r>
      <w:r>
        <w:t>eference (Section 2)</w:t>
      </w:r>
    </w:p>
    <w:p w:rsidR="00135D2F" w:rsidRDefault="00543E44" w:rsidP="007C648D">
      <w:pPr>
        <w:pStyle w:val="Para0"/>
        <w:numPr>
          <w:ilvl w:val="0"/>
          <w:numId w:val="41"/>
        </w:numPr>
      </w:pPr>
      <w:r>
        <w:t>I</w:t>
      </w:r>
      <w:r w:rsidR="008A5830">
        <w:t>ts</w:t>
      </w:r>
      <w:r w:rsidR="009F5E2B">
        <w:t xml:space="preserve"> structur</w:t>
      </w:r>
      <w:r>
        <w:t>e and cohesiveness (Section 3)</w:t>
      </w:r>
    </w:p>
    <w:p w:rsidR="00477D3D" w:rsidRDefault="00543E44" w:rsidP="007C648D">
      <w:pPr>
        <w:pStyle w:val="Para0"/>
        <w:numPr>
          <w:ilvl w:val="0"/>
          <w:numId w:val="41"/>
        </w:numPr>
      </w:pPr>
      <w:r>
        <w:t>I</w:t>
      </w:r>
      <w:r w:rsidR="008A5830">
        <w:t>ts</w:t>
      </w:r>
      <w:r>
        <w:t xml:space="preserve"> breadth and depth (Section 4)</w:t>
      </w:r>
    </w:p>
    <w:p w:rsidR="00477D3D" w:rsidRDefault="00543E44" w:rsidP="007C648D">
      <w:pPr>
        <w:pStyle w:val="Para0"/>
        <w:numPr>
          <w:ilvl w:val="0"/>
          <w:numId w:val="41"/>
        </w:numPr>
      </w:pPr>
      <w:r>
        <w:t>T</w:t>
      </w:r>
      <w:r w:rsidR="00B41457">
        <w:t xml:space="preserve">he accuracy of </w:t>
      </w:r>
      <w:r w:rsidR="009F5E2B">
        <w:t xml:space="preserve">technical </w:t>
      </w:r>
      <w:r w:rsidR="00B41457">
        <w:t>aspects</w:t>
      </w:r>
      <w:r w:rsidR="00477D3D">
        <w:t xml:space="preserve"> (Section 5)</w:t>
      </w:r>
    </w:p>
    <w:p w:rsidR="00477D3D" w:rsidRDefault="00543E44" w:rsidP="007C648D">
      <w:pPr>
        <w:pStyle w:val="Para0"/>
        <w:numPr>
          <w:ilvl w:val="0"/>
          <w:numId w:val="41"/>
        </w:numPr>
      </w:pPr>
      <w:r>
        <w:t>T</w:t>
      </w:r>
      <w:r w:rsidR="008A5830">
        <w:t xml:space="preserve">he </w:t>
      </w:r>
      <w:r w:rsidR="009F5E2B">
        <w:t>validi</w:t>
      </w:r>
      <w:r>
        <w:t>ty of conclusions (Section 6)</w:t>
      </w:r>
    </w:p>
    <w:p w:rsidR="009C6DE7" w:rsidRDefault="00543E44" w:rsidP="007C648D">
      <w:pPr>
        <w:pStyle w:val="Para0"/>
        <w:numPr>
          <w:ilvl w:val="0"/>
          <w:numId w:val="41"/>
        </w:numPr>
      </w:pPr>
      <w:r>
        <w:t>I</w:t>
      </w:r>
      <w:r w:rsidR="00A14AEB">
        <w:t xml:space="preserve">ts consistency </w:t>
      </w:r>
      <w:r w:rsidR="009C6DE7">
        <w:t xml:space="preserve">with the </w:t>
      </w:r>
      <w:r w:rsidR="008B4298">
        <w:t>Queensland Government</w:t>
      </w:r>
      <w:r w:rsidR="009C6DE7">
        <w:t xml:space="preserve"> Strategic Assessment</w:t>
      </w:r>
      <w:r w:rsidR="00A14AEB">
        <w:t xml:space="preserve"> </w:t>
      </w:r>
      <w:r w:rsidR="008B4298">
        <w:t xml:space="preserve">of the Coastal Zone, </w:t>
      </w:r>
      <w:r w:rsidR="00A14AEB">
        <w:t>and the combined effectiveness of both assessments in protecting MNES</w:t>
      </w:r>
      <w:r>
        <w:t xml:space="preserve"> (Section 7)</w:t>
      </w:r>
    </w:p>
    <w:p w:rsidR="00E275F6" w:rsidRDefault="009C6DE7" w:rsidP="00477D3D">
      <w:pPr>
        <w:pStyle w:val="Para0"/>
        <w:ind w:left="60"/>
      </w:pPr>
      <w:r>
        <w:t>C</w:t>
      </w:r>
      <w:r w:rsidR="009F5E2B">
        <w:t xml:space="preserve">onclusions and recommendations are </w:t>
      </w:r>
      <w:r w:rsidR="00B41457">
        <w:t>described</w:t>
      </w:r>
      <w:r>
        <w:t xml:space="preserve"> in Section 8</w:t>
      </w:r>
      <w:r w:rsidR="009F5E2B">
        <w:t>. A detai</w:t>
      </w:r>
      <w:r w:rsidR="006123BC">
        <w:t>led list of comments and recommended</w:t>
      </w:r>
      <w:r w:rsidR="009F5E2B">
        <w:t xml:space="preserve"> </w:t>
      </w:r>
      <w:r w:rsidR="00901965">
        <w:t xml:space="preserve">actions to improve </w:t>
      </w:r>
      <w:r w:rsidR="009F5E2B">
        <w:t xml:space="preserve">the </w:t>
      </w:r>
      <w:r w:rsidR="006562AB">
        <w:t xml:space="preserve">Strategic Assessment </w:t>
      </w:r>
      <w:r w:rsidR="009F5E2B">
        <w:t>documents is provided in Appendix A</w:t>
      </w:r>
      <w:r w:rsidR="006562AB">
        <w:t>. These</w:t>
      </w:r>
      <w:r w:rsidR="00901965">
        <w:t xml:space="preserve"> recommendations</w:t>
      </w:r>
      <w:r w:rsidR="006562AB">
        <w:t xml:space="preserve"> </w:t>
      </w:r>
      <w:r w:rsidR="00BF6D11">
        <w:t xml:space="preserve">are intended to </w:t>
      </w:r>
      <w:r w:rsidR="009F5E2B">
        <w:t xml:space="preserve">assist </w:t>
      </w:r>
      <w:r>
        <w:t>GBRMPA</w:t>
      </w:r>
      <w:r w:rsidR="006562AB">
        <w:t xml:space="preserve"> and </w:t>
      </w:r>
      <w:r w:rsidR="00A14AEB">
        <w:t>the</w:t>
      </w:r>
      <w:r w:rsidR="00EB5DB0">
        <w:t xml:space="preserve"> </w:t>
      </w:r>
      <w:r w:rsidR="00B41457">
        <w:t xml:space="preserve">Department of </w:t>
      </w:r>
      <w:r w:rsidR="006562AB">
        <w:t xml:space="preserve">the </w:t>
      </w:r>
      <w:r w:rsidR="00B41457">
        <w:t>Environment</w:t>
      </w:r>
      <w:r w:rsidR="009C0371">
        <w:t xml:space="preserve"> </w:t>
      </w:r>
      <w:r w:rsidR="006562AB">
        <w:t xml:space="preserve">in </w:t>
      </w:r>
      <w:r w:rsidR="00BF6D11">
        <w:t>revising</w:t>
      </w:r>
      <w:r w:rsidR="006562AB">
        <w:t xml:space="preserve"> the Strategic Assessment</w:t>
      </w:r>
      <w:r w:rsidR="009C0371">
        <w:t>.</w:t>
      </w:r>
    </w:p>
    <w:p w:rsidR="00A67D18" w:rsidRDefault="00D055DA" w:rsidP="00A67D18">
      <w:pPr>
        <w:pStyle w:val="Heading1"/>
      </w:pPr>
      <w:bookmarkStart w:id="11" w:name="_Toc378857188"/>
      <w:r>
        <w:lastRenderedPageBreak/>
        <w:t>Consistency with</w:t>
      </w:r>
      <w:r w:rsidR="007E18B6">
        <w:t xml:space="preserve"> the</w:t>
      </w:r>
      <w:r>
        <w:t xml:space="preserve"> Terms of Reference</w:t>
      </w:r>
      <w:bookmarkEnd w:id="11"/>
    </w:p>
    <w:p w:rsidR="00742738" w:rsidRDefault="00742738" w:rsidP="00742738">
      <w:pPr>
        <w:pStyle w:val="Heading2"/>
      </w:pPr>
      <w:bookmarkStart w:id="12" w:name="_Toc378857189"/>
      <w:r>
        <w:t>Overview of the Terms of Reference</w:t>
      </w:r>
      <w:bookmarkEnd w:id="12"/>
    </w:p>
    <w:p w:rsidR="00E407C7" w:rsidRDefault="000E57BC" w:rsidP="00D055DA">
      <w:pPr>
        <w:pStyle w:val="Para0"/>
      </w:pPr>
      <w:r>
        <w:rPr>
          <w:b/>
          <w:noProof/>
          <w:color w:val="310F47" w:themeColor="text1" w:themeShade="BF"/>
          <w:lang w:eastAsia="en-AU"/>
        </w:rPr>
        <mc:AlternateContent>
          <mc:Choice Requires="wps">
            <w:drawing>
              <wp:anchor distT="0" distB="0" distL="114300" distR="114300" simplePos="0" relativeHeight="251681792" behindDoc="0" locked="0" layoutInCell="1" allowOverlap="1">
                <wp:simplePos x="0" y="0"/>
                <wp:positionH relativeFrom="column">
                  <wp:posOffset>3232785</wp:posOffset>
                </wp:positionH>
                <wp:positionV relativeFrom="paragraph">
                  <wp:posOffset>173990</wp:posOffset>
                </wp:positionV>
                <wp:extent cx="2876550" cy="3133725"/>
                <wp:effectExtent l="38100" t="38100" r="114300" b="123825"/>
                <wp:wrapSquare wrapText="bothSides"/>
                <wp:docPr id="6" name="Rounded 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76550" cy="3133725"/>
                        </a:xfrm>
                        <a:prstGeom prst="roundRect">
                          <a:avLst/>
                        </a:prstGeom>
                        <a:solidFill>
                          <a:schemeClr val="accent6">
                            <a:lumMod val="20000"/>
                            <a:lumOff val="80000"/>
                          </a:schemeClr>
                        </a:solidFill>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233787" w:rsidRPr="004D6945" w:rsidRDefault="00233787" w:rsidP="00624620">
                            <w:pPr>
                              <w:spacing w:before="40" w:after="40"/>
                              <w:ind w:right="-104"/>
                              <w:rPr>
                                <w:rFonts w:asciiTheme="minorHAnsi" w:hAnsiTheme="minorHAnsi"/>
                                <w:b/>
                                <w:color w:val="7030A0"/>
                                <w:sz w:val="22"/>
                              </w:rPr>
                            </w:pPr>
                            <w:r>
                              <w:rPr>
                                <w:rFonts w:asciiTheme="minorHAnsi" w:hAnsiTheme="minorHAnsi"/>
                                <w:b/>
                                <w:color w:val="7030A0"/>
                                <w:sz w:val="22"/>
                              </w:rPr>
                              <w:t xml:space="preserve">Terms of Reference for the Strategic Assessment have been addressed in significant detail throughout the Program and Assessment reports. Some aspects of the assessment process, such as public consultation, have exceeded the requirements of the Terms of Reference, which has improved the breadth of the issues considered. Some, mostly minor, specific requirements of the Terms of Reference have not been addressed in sufficient detail, including the description of management resources and clear assessment of compliance with endorsement criteria.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6" o:spid="_x0000_s1026" style="position:absolute;margin-left:254.55pt;margin-top:13.7pt;width:226.5pt;height:246.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" fillcolor="#dce6f2 [665]" strokecolor="#78736b [1604]" strokeweight="2pt">
                <v:shadow on="t" color="black" opacity="26214f" origin="-.5,-.5" offset=".74836mm,.74836mm"/>
                <v:path arrowok="t"/>
                <v:textbox>
                  <w:txbxContent>
                    <w:p w:rsidR="00233787" w:rsidRPr="004D6945" w:rsidRDefault="00233787" w:rsidP="00624620">
                      <w:pPr>
                        <w:spacing w:before="40" w:after="40"/>
                        <w:ind w:right="-104"/>
                        <w:rPr>
                          <w:rFonts w:asciiTheme="minorHAnsi" w:hAnsiTheme="minorHAnsi"/>
                          <w:b/>
                          <w:color w:val="7030A0"/>
                          <w:sz w:val="22"/>
                        </w:rPr>
                      </w:pPr>
                      <w:r>
                        <w:rPr>
                          <w:rFonts w:asciiTheme="minorHAnsi" w:hAnsiTheme="minorHAnsi"/>
                          <w:b/>
                          <w:color w:val="7030A0"/>
                          <w:sz w:val="22"/>
                        </w:rPr>
                        <w:t xml:space="preserve">Terms of Reference for the Strategic Assessment have been addressed in significant detail throughout the Program and Assessment reports. Some aspects of the assessment process, such as public consultation, have exceeded the requirements of the Terms of Reference, which has improved the breadth of the issues considered. Some, mostly minor, specific requirements of the Terms of Reference have not been addressed in sufficient detail, including the description of management resources and clear assessment of compliance with endorsement criteria.  </w:t>
                      </w:r>
                    </w:p>
                  </w:txbxContent>
                </v:textbox>
                <w10:wrap type="square"/>
              </v:roundrect>
            </w:pict>
          </mc:Fallback>
        </mc:AlternateContent>
      </w:r>
      <w:r w:rsidR="00742738">
        <w:t xml:space="preserve">The </w:t>
      </w:r>
      <w:r w:rsidR="003C3DB0">
        <w:t>T</w:t>
      </w:r>
      <w:r w:rsidR="00742738">
        <w:t xml:space="preserve">erms of Reference for the Strategic Assessment </w:t>
      </w:r>
      <w:r w:rsidR="003C3DB0">
        <w:t>(</w:t>
      </w:r>
      <w:r w:rsidR="007159AC">
        <w:t>GBRMPA 2012)</w:t>
      </w:r>
      <w:r w:rsidR="007447D3">
        <w:t xml:space="preserve"> </w:t>
      </w:r>
      <w:r w:rsidR="00742738">
        <w:t xml:space="preserve">provide a description of the geographic </w:t>
      </w:r>
      <w:r w:rsidR="00295452">
        <w:t xml:space="preserve">area to be considered </w:t>
      </w:r>
      <w:r w:rsidR="00B534D4">
        <w:t>in the assessment</w:t>
      </w:r>
      <w:r w:rsidR="00295452">
        <w:t xml:space="preserve">, </w:t>
      </w:r>
      <w:r w:rsidR="000C5AA0">
        <w:t>which is</w:t>
      </w:r>
      <w:r w:rsidR="00295452">
        <w:t xml:space="preserve"> the </w:t>
      </w:r>
      <w:r w:rsidR="00742738">
        <w:t xml:space="preserve">Great Barrier Reef </w:t>
      </w:r>
      <w:r w:rsidR="00295452">
        <w:t xml:space="preserve">Region and adjacent areas </w:t>
      </w:r>
      <w:r w:rsidR="005F56AE">
        <w:t>whose condition and management</w:t>
      </w:r>
      <w:r w:rsidR="000C5AA0">
        <w:t xml:space="preserve"> </w:t>
      </w:r>
      <w:r w:rsidR="00295452">
        <w:t xml:space="preserve">may affect the </w:t>
      </w:r>
      <w:r w:rsidR="000C5AA0">
        <w:t>Region</w:t>
      </w:r>
      <w:r w:rsidR="00295452">
        <w:t>. B</w:t>
      </w:r>
      <w:r w:rsidR="00742738">
        <w:t xml:space="preserve">ackground </w:t>
      </w:r>
      <w:r w:rsidR="003C3DB0">
        <w:t xml:space="preserve">information </w:t>
      </w:r>
      <w:r w:rsidR="00742738">
        <w:t xml:space="preserve">and context </w:t>
      </w:r>
      <w:r w:rsidR="003C3DB0">
        <w:t>for</w:t>
      </w:r>
      <w:r w:rsidR="00742738">
        <w:t xml:space="preserve"> the Strategic Assessment</w:t>
      </w:r>
      <w:r w:rsidR="00E407C7">
        <w:t xml:space="preserve"> is </w:t>
      </w:r>
      <w:r w:rsidR="003C5E55">
        <w:t xml:space="preserve">also </w:t>
      </w:r>
      <w:r w:rsidR="00E407C7">
        <w:t xml:space="preserve">provided, and </w:t>
      </w:r>
      <w:r w:rsidR="00742738">
        <w:t xml:space="preserve">matters to be addressed in the Program description and </w:t>
      </w:r>
      <w:r w:rsidR="003C3DB0">
        <w:t>a</w:t>
      </w:r>
      <w:r w:rsidR="00742738">
        <w:t>ssessment</w:t>
      </w:r>
      <w:r w:rsidR="00E407C7">
        <w:t xml:space="preserve"> are prescribed</w:t>
      </w:r>
      <w:r w:rsidR="00742738">
        <w:t xml:space="preserve">. </w:t>
      </w:r>
    </w:p>
    <w:p w:rsidR="003C3DB0" w:rsidRDefault="00F42C69" w:rsidP="00D055DA">
      <w:pPr>
        <w:pStyle w:val="Para0"/>
      </w:pPr>
      <w:r>
        <w:t>A description of the scope of the Strat</w:t>
      </w:r>
      <w:r w:rsidR="00DE7C3F">
        <w:t xml:space="preserve">egic Assessment is provided in </w:t>
      </w:r>
      <w:r w:rsidR="00CD0B69">
        <w:t>S</w:t>
      </w:r>
      <w:r w:rsidR="00DE7C3F" w:rsidRPr="00495555">
        <w:t>ub-C</w:t>
      </w:r>
      <w:r w:rsidRPr="00495555">
        <w:t>hapter</w:t>
      </w:r>
      <w:r w:rsidR="00CD0B69">
        <w:t> </w:t>
      </w:r>
      <w:r w:rsidR="009913F7">
        <w:t>1.2</w:t>
      </w:r>
      <w:r w:rsidR="008C56AF">
        <w:t xml:space="preserve"> of the </w:t>
      </w:r>
      <w:r w:rsidR="009913F7">
        <w:t>Assessment Report. Text boxes appear at the commencement of each chapter in the Assessment Report, outlining the relevant sections of the Terms of Reference</w:t>
      </w:r>
      <w:r w:rsidR="00E407C7">
        <w:t xml:space="preserve"> that are addressed in </w:t>
      </w:r>
      <w:r w:rsidR="000C5AA0">
        <w:t>that</w:t>
      </w:r>
      <w:r w:rsidR="00E407C7">
        <w:t xml:space="preserve"> chapter</w:t>
      </w:r>
      <w:r>
        <w:t>.</w:t>
      </w:r>
      <w:r w:rsidR="00CD7D48">
        <w:t xml:space="preserve"> </w:t>
      </w:r>
    </w:p>
    <w:p w:rsidR="003C3DB0" w:rsidRDefault="003C3DB0" w:rsidP="003C3DB0">
      <w:pPr>
        <w:pStyle w:val="Heading2"/>
      </w:pPr>
      <w:bookmarkStart w:id="13" w:name="_Toc378857190"/>
      <w:r>
        <w:t>Purpose and description of the Program</w:t>
      </w:r>
      <w:bookmarkEnd w:id="13"/>
    </w:p>
    <w:p w:rsidR="00BF21EC" w:rsidRDefault="00BF21EC" w:rsidP="000C5AA0">
      <w:pPr>
        <w:pStyle w:val="Para0"/>
      </w:pPr>
      <w:r>
        <w:t>The Program Report provides a description of the current Program</w:t>
      </w:r>
      <w:r w:rsidR="003C5E55">
        <w:t xml:space="preserve">, and future </w:t>
      </w:r>
      <w:r w:rsidR="004D5330">
        <w:t xml:space="preserve">management </w:t>
      </w:r>
      <w:r w:rsidR="003C5E55">
        <w:t>measures</w:t>
      </w:r>
      <w:r>
        <w:t xml:space="preserve"> in the form of </w:t>
      </w:r>
      <w:r w:rsidR="00FD2ECE">
        <w:t>s</w:t>
      </w:r>
      <w:r>
        <w:t>t</w:t>
      </w:r>
      <w:r w:rsidR="00FD2ECE">
        <w:t>rengthened management and f</w:t>
      </w:r>
      <w:r>
        <w:t xml:space="preserve">orward </w:t>
      </w:r>
      <w:r w:rsidR="00FD2ECE">
        <w:t>c</w:t>
      </w:r>
      <w:r>
        <w:t>ommitments for the 25 year duration of the Program. While the purpose of the Program Report is briefly defined in the introduction, the purpose of the Program, including Program objectives</w:t>
      </w:r>
      <w:r w:rsidR="00543E44">
        <w:t>,</w:t>
      </w:r>
      <w:r>
        <w:t xml:space="preserve"> are not clearly outlined. The Program Report could achieve greater consistency with the Terms of Reference by having a new </w:t>
      </w:r>
      <w:r w:rsidR="00CD5A17">
        <w:t>section</w:t>
      </w:r>
      <w:r>
        <w:t xml:space="preserve"> which describes the purpose and clear objectives of the Program. </w:t>
      </w:r>
    </w:p>
    <w:p w:rsidR="000C5AA0" w:rsidRPr="000C5AA0" w:rsidRDefault="00BF21EC" w:rsidP="000C5AA0">
      <w:pPr>
        <w:pStyle w:val="Para0"/>
      </w:pPr>
      <w:r>
        <w:t xml:space="preserve">Legislation, plans, policies and other </w:t>
      </w:r>
      <w:r w:rsidR="004D5330">
        <w:t>Program</w:t>
      </w:r>
      <w:r>
        <w:t xml:space="preserve"> </w:t>
      </w:r>
      <w:r w:rsidR="004D5330">
        <w:t>components</w:t>
      </w:r>
      <w:r>
        <w:t xml:space="preserve"> </w:t>
      </w:r>
      <w:r w:rsidR="004D5330">
        <w:t>are comprehensively</w:t>
      </w:r>
      <w:r>
        <w:t xml:space="preserve"> described and provide a clear </w:t>
      </w:r>
      <w:r w:rsidR="004D5330">
        <w:t>overview</w:t>
      </w:r>
      <w:r>
        <w:t xml:space="preserve"> of </w:t>
      </w:r>
      <w:r w:rsidR="007E1785">
        <w:t>GBRMPA</w:t>
      </w:r>
      <w:r>
        <w:t>’s activities in the management of the Great Barrier Reef.</w:t>
      </w:r>
      <w:r w:rsidR="007452C5">
        <w:t xml:space="preserve"> </w:t>
      </w:r>
      <w:r w:rsidR="001B6E74">
        <w:t xml:space="preserve">The Program description could be expanded to include details of the Authority’s work internationally in sharing knowledge on marine protected area management and </w:t>
      </w:r>
      <w:r w:rsidR="004D5330">
        <w:t xml:space="preserve">in </w:t>
      </w:r>
      <w:r w:rsidR="001B6E74">
        <w:t xml:space="preserve">advocating for the management of global threats to coral reefs. </w:t>
      </w:r>
      <w:r w:rsidR="007452C5">
        <w:t>Aspects of the Program prescribed by the Terms of Reference, such as adaptive management and implementation arrangements</w:t>
      </w:r>
      <w:r w:rsidR="00543E44">
        <w:t>,</w:t>
      </w:r>
      <w:r w:rsidR="007452C5">
        <w:t xml:space="preserve"> are </w:t>
      </w:r>
      <w:r w:rsidR="004D5330">
        <w:t>logically</w:t>
      </w:r>
      <w:r w:rsidR="007452C5">
        <w:t xml:space="preserve"> described. </w:t>
      </w:r>
      <w:r w:rsidR="00FD2ECE">
        <w:t>A description of the p</w:t>
      </w:r>
      <w:r w:rsidR="007452C5">
        <w:t xml:space="preserve">rinciples for managing environmental impacts within the Great Barrier Reef Region </w:t>
      </w:r>
      <w:r w:rsidR="00543E44">
        <w:t>assist in understanding</w:t>
      </w:r>
      <w:r w:rsidR="007452C5">
        <w:t xml:space="preserve"> the Program</w:t>
      </w:r>
      <w:r w:rsidR="00FD2ECE">
        <w:t>’s application</w:t>
      </w:r>
      <w:r w:rsidR="007452C5">
        <w:t xml:space="preserve"> across such a large and diverse geographic area.</w:t>
      </w:r>
    </w:p>
    <w:p w:rsidR="003C3DB0" w:rsidRDefault="00E21ED7" w:rsidP="002B46D8">
      <w:pPr>
        <w:pStyle w:val="Heading2"/>
      </w:pPr>
      <w:bookmarkStart w:id="14" w:name="_Toc378857191"/>
      <w:r>
        <w:t>Matters of National Environmental Significance</w:t>
      </w:r>
      <w:bookmarkEnd w:id="14"/>
    </w:p>
    <w:p w:rsidR="007452C5" w:rsidRDefault="007452C5" w:rsidP="007452C5">
      <w:pPr>
        <w:pStyle w:val="Para0"/>
      </w:pPr>
      <w:r>
        <w:t xml:space="preserve">The Program </w:t>
      </w:r>
      <w:r w:rsidR="00FD2ECE">
        <w:t>and Assessment r</w:t>
      </w:r>
      <w:r>
        <w:t>eport</w:t>
      </w:r>
      <w:r w:rsidR="005F56AE">
        <w:t>s</w:t>
      </w:r>
      <w:r>
        <w:t xml:space="preserve"> </w:t>
      </w:r>
      <w:r w:rsidR="005F56AE">
        <w:t xml:space="preserve">provide </w:t>
      </w:r>
      <w:r>
        <w:t xml:space="preserve">a thorough and systematic description and assessment of MNES. Key attributes, connectivity and ecosystem processes fundamental to the relevant MNES are identified, assessed and discussed. </w:t>
      </w:r>
      <w:r w:rsidR="001B6E74">
        <w:t>The</w:t>
      </w:r>
      <w:r w:rsidR="00C470A2">
        <w:t xml:space="preserve"> MNES assessment largely </w:t>
      </w:r>
      <w:r w:rsidR="001B6E74">
        <w:t>focus</w:t>
      </w:r>
      <w:r w:rsidR="00C470A2">
        <w:t>es</w:t>
      </w:r>
      <w:r w:rsidR="001B6E74">
        <w:t xml:space="preserve"> on the Marine Park, </w:t>
      </w:r>
      <w:r w:rsidR="008B4298">
        <w:t>presumably</w:t>
      </w:r>
      <w:r w:rsidR="00C470A2">
        <w:t xml:space="preserve"> </w:t>
      </w:r>
      <w:r w:rsidR="001B6E74">
        <w:t xml:space="preserve">based on </w:t>
      </w:r>
      <w:r w:rsidR="00C470A2">
        <w:t xml:space="preserve">the </w:t>
      </w:r>
      <w:r w:rsidR="001B6E74">
        <w:t xml:space="preserve">assumption that values relevant to other MNES are implicitly </w:t>
      </w:r>
      <w:r w:rsidR="009F0690">
        <w:t>encapsulated within the marine park</w:t>
      </w:r>
      <w:r w:rsidR="00543E44">
        <w:t xml:space="preserve"> (see page 12</w:t>
      </w:r>
      <w:r w:rsidR="00543E44">
        <w:noBreakHyphen/>
      </w:r>
      <w:r w:rsidR="001B6E74">
        <w:t xml:space="preserve">5 of the Assessment Report). Where gaps exist in the identification of MNES, there are recommendations </w:t>
      </w:r>
      <w:r w:rsidR="00FC5DA9">
        <w:t>o</w:t>
      </w:r>
      <w:r w:rsidR="00C470A2">
        <w:t>n</w:t>
      </w:r>
      <w:r w:rsidR="00FC5DA9">
        <w:t xml:space="preserve"> </w:t>
      </w:r>
      <w:r w:rsidR="00C470A2">
        <w:t>how they might be</w:t>
      </w:r>
      <w:r w:rsidR="001B6E74">
        <w:t xml:space="preserve"> address</w:t>
      </w:r>
      <w:r w:rsidR="00C470A2">
        <w:t>ed</w:t>
      </w:r>
      <w:r w:rsidR="001B6E74">
        <w:t>.</w:t>
      </w:r>
      <w:r w:rsidR="009F0690">
        <w:t xml:space="preserve"> </w:t>
      </w:r>
      <w:r w:rsidR="00C70ED0">
        <w:t xml:space="preserve">The condition and trend of MNES </w:t>
      </w:r>
      <w:r w:rsidR="00C470A2">
        <w:t>(</w:t>
      </w:r>
      <w:r w:rsidR="00C70ED0">
        <w:t>including OUV</w:t>
      </w:r>
      <w:r w:rsidR="00C470A2">
        <w:t>)</w:t>
      </w:r>
      <w:r w:rsidR="00C70ED0">
        <w:t xml:space="preserve"> are benchmarked, with information gaps identified and part</w:t>
      </w:r>
      <w:r w:rsidR="00C470A2">
        <w:t>ly</w:t>
      </w:r>
      <w:r w:rsidR="00C70ED0">
        <w:t xml:space="preserve"> filled through additional studies commissioned </w:t>
      </w:r>
      <w:r w:rsidR="003C5E55">
        <w:t>during early stages of the</w:t>
      </w:r>
      <w:r w:rsidR="00C70ED0">
        <w:t xml:space="preserve"> Strategic Assessment</w:t>
      </w:r>
      <w:r w:rsidR="003C5E55">
        <w:t xml:space="preserve"> process</w:t>
      </w:r>
      <w:r w:rsidR="00C70ED0">
        <w:t>.</w:t>
      </w:r>
    </w:p>
    <w:p w:rsidR="007E6EE7" w:rsidRDefault="00E21ED7" w:rsidP="007E6EE7">
      <w:pPr>
        <w:pStyle w:val="Heading2"/>
      </w:pPr>
      <w:bookmarkStart w:id="15" w:name="_Toc378857192"/>
      <w:r>
        <w:lastRenderedPageBreak/>
        <w:t xml:space="preserve">Assessment of impacts on </w:t>
      </w:r>
      <w:r w:rsidR="00543E44">
        <w:t>Matters of National Environmental Significance</w:t>
      </w:r>
      <w:bookmarkEnd w:id="15"/>
    </w:p>
    <w:p w:rsidR="007E6EE7" w:rsidRDefault="00857040" w:rsidP="00857040">
      <w:pPr>
        <w:pStyle w:val="Para0"/>
      </w:pPr>
      <w:r>
        <w:t>Impacts on MNES are comprehensively described at a variety of spatial scales</w:t>
      </w:r>
      <w:r w:rsidR="003C5E55">
        <w:t xml:space="preserve">, including local, regional and </w:t>
      </w:r>
      <w:r w:rsidR="00C470A2">
        <w:t xml:space="preserve">at a </w:t>
      </w:r>
      <w:r w:rsidR="009F0690">
        <w:t>whole-of-</w:t>
      </w:r>
      <w:r w:rsidR="003C5E55">
        <w:t>Great Barrier Reef scale</w:t>
      </w:r>
      <w:r>
        <w:t>. The consideration of impacts is broad, and considers past, present and future activities, direct, indirect</w:t>
      </w:r>
      <w:r w:rsidR="00FC5DA9">
        <w:t xml:space="preserve"> </w:t>
      </w:r>
      <w:r>
        <w:t>and cumulative impacts, and the impacts of climate change, both present and future. Key information gaps are identified and processes are proposed to address critical information needs.</w:t>
      </w:r>
    </w:p>
    <w:p w:rsidR="00857040" w:rsidRDefault="00857040" w:rsidP="00961EE4">
      <w:pPr>
        <w:pStyle w:val="Heading2"/>
      </w:pPr>
      <w:bookmarkStart w:id="16" w:name="_Toc378857193"/>
      <w:r>
        <w:t>Measures to address impacts</w:t>
      </w:r>
      <w:bookmarkEnd w:id="16"/>
    </w:p>
    <w:p w:rsidR="00857040" w:rsidRDefault="00857040" w:rsidP="00857040">
      <w:pPr>
        <w:pStyle w:val="Para0"/>
      </w:pPr>
      <w:r>
        <w:t xml:space="preserve">There is extensive description and discussion in the Program and Assessment reports on </w:t>
      </w:r>
      <w:r w:rsidR="00C470A2">
        <w:t xml:space="preserve">current and proposed </w:t>
      </w:r>
      <w:r>
        <w:t>measures to address impacts on MNES, including OUV. Some climate change scenarios are described</w:t>
      </w:r>
      <w:r w:rsidR="00C470A2">
        <w:t>,</w:t>
      </w:r>
      <w:r>
        <w:t xml:space="preserve"> although there is </w:t>
      </w:r>
      <w:r w:rsidR="003C5E55">
        <w:t>limited</w:t>
      </w:r>
      <w:r>
        <w:t xml:space="preserve"> discussion on how the Great Barrier Reef can be managed for resilience in the face of </w:t>
      </w:r>
      <w:r w:rsidR="00543E44">
        <w:t>potential</w:t>
      </w:r>
      <w:r>
        <w:t xml:space="preserve"> change</w:t>
      </w:r>
      <w:r w:rsidR="00543E44">
        <w:t>s</w:t>
      </w:r>
      <w:r>
        <w:t>. Methods are applie</w:t>
      </w:r>
      <w:r w:rsidR="00FC5DA9">
        <w:t xml:space="preserve">d to identify direct, indirect </w:t>
      </w:r>
      <w:r>
        <w:t xml:space="preserve">and cumulative impacts, with </w:t>
      </w:r>
      <w:r w:rsidR="00FC5DA9">
        <w:t>e</w:t>
      </w:r>
      <w:r>
        <w:t xml:space="preserve">nvironmental, social, cultural (both indigenous and historic) and economic issues </w:t>
      </w:r>
      <w:r w:rsidR="00FC5DA9">
        <w:t>also</w:t>
      </w:r>
      <w:r>
        <w:t xml:space="preserve"> considered. Existing and future opportunities </w:t>
      </w:r>
      <w:r w:rsidR="003C5E55">
        <w:t>to</w:t>
      </w:r>
      <w:r>
        <w:t xml:space="preserve"> work with other management agencies at a variety of scales are also outlined.</w:t>
      </w:r>
    </w:p>
    <w:p w:rsidR="00D84D06" w:rsidRDefault="00C470A2" w:rsidP="00857040">
      <w:pPr>
        <w:pStyle w:val="Para0"/>
      </w:pPr>
      <w:r>
        <w:t xml:space="preserve">An </w:t>
      </w:r>
      <w:r w:rsidR="00D84D06">
        <w:t xml:space="preserve">independent assessment of management effectiveness is summarised in Chapter 8 of the Assessment Report. Demonstration cases illustrating how the Program is applied are </w:t>
      </w:r>
      <w:r w:rsidR="009F0690">
        <w:t xml:space="preserve">briefly </w:t>
      </w:r>
      <w:r w:rsidR="00D84D06">
        <w:t xml:space="preserve">summarised for a range of </w:t>
      </w:r>
      <w:r w:rsidR="009F0690">
        <w:t xml:space="preserve">relevant </w:t>
      </w:r>
      <w:r w:rsidR="00D84D06">
        <w:t xml:space="preserve">management issues, </w:t>
      </w:r>
      <w:r w:rsidR="009F0690">
        <w:t xml:space="preserve">including </w:t>
      </w:r>
      <w:r w:rsidR="00D84D06">
        <w:t xml:space="preserve">planning, </w:t>
      </w:r>
      <w:r w:rsidR="003C5E55">
        <w:t>operations</w:t>
      </w:r>
      <w:r w:rsidR="00D84D06">
        <w:t xml:space="preserve">, threatened species, habitats and water quality. Detailed demonstration case reports are referenced </w:t>
      </w:r>
      <w:r w:rsidR="009F0690">
        <w:t xml:space="preserve">in the reports </w:t>
      </w:r>
      <w:r w:rsidR="003C5E55">
        <w:t>to</w:t>
      </w:r>
      <w:r w:rsidR="00D84D06">
        <w:t xml:space="preserve"> the GBRMPA website, </w:t>
      </w:r>
      <w:r w:rsidR="009F0690">
        <w:t>but were not published at the time of this independent review</w:t>
      </w:r>
      <w:r w:rsidR="00D84D06">
        <w:t xml:space="preserve">. </w:t>
      </w:r>
    </w:p>
    <w:p w:rsidR="005B2C51" w:rsidRPr="00C70ED0" w:rsidRDefault="005B2C51" w:rsidP="005B2C51">
      <w:pPr>
        <w:pStyle w:val="Para0"/>
      </w:pPr>
      <w:r>
        <w:t xml:space="preserve">The </w:t>
      </w:r>
      <w:r w:rsidR="009F0690">
        <w:t>assessment</w:t>
      </w:r>
      <w:r>
        <w:t xml:space="preserve"> </w:t>
      </w:r>
      <w:r w:rsidR="00C470A2">
        <w:t>does not</w:t>
      </w:r>
      <w:r>
        <w:t xml:space="preserve"> emphasise </w:t>
      </w:r>
      <w:r w:rsidR="006F1E25">
        <w:t>any</w:t>
      </w:r>
      <w:r>
        <w:t xml:space="preserve"> requirement for </w:t>
      </w:r>
      <w:r w:rsidR="006F1E25">
        <w:t xml:space="preserve">additional </w:t>
      </w:r>
      <w:r>
        <w:t xml:space="preserve">resources to </w:t>
      </w:r>
      <w:r w:rsidR="006F1E25">
        <w:t xml:space="preserve">help </w:t>
      </w:r>
      <w:r>
        <w:t>fill major gaps identified within the curren</w:t>
      </w:r>
      <w:r w:rsidR="009F0690">
        <w:t>t P</w:t>
      </w:r>
      <w:r>
        <w:t xml:space="preserve">rogram. A major shift towards target-based and adaptive management over the next few years </w:t>
      </w:r>
      <w:r w:rsidR="009F0690">
        <w:t xml:space="preserve">is likely to require </w:t>
      </w:r>
      <w:r>
        <w:t xml:space="preserve">new capability within </w:t>
      </w:r>
      <w:r w:rsidR="00B534D4">
        <w:t>GBRMPA</w:t>
      </w:r>
      <w:r>
        <w:t>, a well-designed and appropriately-resourced Integr</w:t>
      </w:r>
      <w:r w:rsidR="009F0690">
        <w:t xml:space="preserve">ated Monitoring Program, and </w:t>
      </w:r>
      <w:r>
        <w:t>ongoin</w:t>
      </w:r>
      <w:r w:rsidR="009F0690">
        <w:t>g commitment to a strategic research and development</w:t>
      </w:r>
      <w:r>
        <w:t xml:space="preserve"> program. All of these activities are critical elements of the Future Program, yet the resources required to achieve this </w:t>
      </w:r>
      <w:r w:rsidR="009F0690">
        <w:t>change</w:t>
      </w:r>
      <w:r w:rsidR="006F1E25">
        <w:t xml:space="preserve"> have not been identified</w:t>
      </w:r>
      <w:r w:rsidR="009F0690">
        <w:t>. Indeed the assessment</w:t>
      </w:r>
      <w:r>
        <w:t xml:space="preserve"> </w:t>
      </w:r>
      <w:r w:rsidR="008B4298">
        <w:t>appears to seek</w:t>
      </w:r>
      <w:r>
        <w:t xml:space="preserve"> to </w:t>
      </w:r>
      <w:r w:rsidR="009F0690">
        <w:t xml:space="preserve">accommodate </w:t>
      </w:r>
      <w:r>
        <w:t xml:space="preserve">the </w:t>
      </w:r>
      <w:r w:rsidR="009F0690">
        <w:t>future P</w:t>
      </w:r>
      <w:r>
        <w:t xml:space="preserve">rogram within </w:t>
      </w:r>
      <w:r w:rsidR="006F1E25">
        <w:t xml:space="preserve">its </w:t>
      </w:r>
      <w:r>
        <w:t xml:space="preserve">existing </w:t>
      </w:r>
      <w:r w:rsidR="009F0690">
        <w:t>management resources.</w:t>
      </w:r>
    </w:p>
    <w:p w:rsidR="00961EE4" w:rsidRDefault="00E21ED7" w:rsidP="00961EE4">
      <w:pPr>
        <w:pStyle w:val="Heading2"/>
      </w:pPr>
      <w:bookmarkStart w:id="17" w:name="_Toc378857194"/>
      <w:r>
        <w:t xml:space="preserve">Projected condition of </w:t>
      </w:r>
      <w:r w:rsidR="00543E44">
        <w:t>Matters of National Environmental Significance</w:t>
      </w:r>
      <w:bookmarkEnd w:id="17"/>
    </w:p>
    <w:p w:rsidR="00857040" w:rsidRPr="00857040" w:rsidRDefault="00D84D06" w:rsidP="00857040">
      <w:pPr>
        <w:pStyle w:val="Para0"/>
      </w:pPr>
      <w:r>
        <w:t>Chapter 11 of</w:t>
      </w:r>
      <w:r w:rsidR="009F0690">
        <w:t xml:space="preserve"> the Assessment Report describes</w:t>
      </w:r>
      <w:r>
        <w:t xml:space="preserve"> the projected condition of MNES, based on an evaluation of their current status, trends, actual </w:t>
      </w:r>
      <w:r w:rsidR="001A6025">
        <w:t xml:space="preserve">impacts </w:t>
      </w:r>
      <w:r>
        <w:t xml:space="preserve">and potential future impacts. This </w:t>
      </w:r>
      <w:r w:rsidR="001A6025">
        <w:t xml:space="preserve">evaluation </w:t>
      </w:r>
      <w:r>
        <w:t>is guided in part by the independent assessment of management effectiveness, and the current understanding of ecosystem resilience. A risk assessment is applied to the information available to assess the future risks to MNES including OUV</w:t>
      </w:r>
      <w:r w:rsidR="009F0690">
        <w:t xml:space="preserve"> of the </w:t>
      </w:r>
      <w:r w:rsidR="00FC5DA9">
        <w:t>World H</w:t>
      </w:r>
      <w:r w:rsidR="009F0690" w:rsidRPr="00FC5DA9">
        <w:t xml:space="preserve">eritage </w:t>
      </w:r>
      <w:r w:rsidR="00FC5DA9">
        <w:t>A</w:t>
      </w:r>
      <w:r w:rsidRPr="00FC5DA9">
        <w:t>rea</w:t>
      </w:r>
      <w:r>
        <w:t xml:space="preserve">. </w:t>
      </w:r>
    </w:p>
    <w:p w:rsidR="00E21ED7" w:rsidRDefault="00E21ED7" w:rsidP="00E21ED7">
      <w:pPr>
        <w:pStyle w:val="Heading2"/>
      </w:pPr>
      <w:bookmarkStart w:id="18" w:name="_Toc378857195"/>
      <w:r>
        <w:t>Proposed program</w:t>
      </w:r>
      <w:bookmarkEnd w:id="18"/>
    </w:p>
    <w:p w:rsidR="00D84D06" w:rsidRDefault="00D84D06" w:rsidP="00D84D06">
      <w:pPr>
        <w:pStyle w:val="Para0"/>
      </w:pPr>
      <w:r>
        <w:t xml:space="preserve">The Program </w:t>
      </w:r>
      <w:r w:rsidR="00FC5DA9">
        <w:t>and Assessment r</w:t>
      </w:r>
      <w:r>
        <w:t>eport</w:t>
      </w:r>
      <w:r w:rsidR="007256AA">
        <w:t>s</w:t>
      </w:r>
      <w:r>
        <w:t xml:space="preserve"> outline details of recommended changes to the Program to improve its effectiveness in protecting MNES and the Great Barrier Reef generally.</w:t>
      </w:r>
      <w:r w:rsidR="001A6025">
        <w:t xml:space="preserve"> Forward c</w:t>
      </w:r>
      <w:r w:rsidR="00A26598">
        <w:t xml:space="preserve">ommitments and </w:t>
      </w:r>
      <w:r w:rsidR="001A6025">
        <w:t>n</w:t>
      </w:r>
      <w:r w:rsidR="00A26598">
        <w:t xml:space="preserve">ew </w:t>
      </w:r>
      <w:r w:rsidR="001A6025">
        <w:t>i</w:t>
      </w:r>
      <w:r w:rsidR="00A26598">
        <w:t>nitiatives are focussed on processes rather than outcomes, and do not comprehensiv</w:t>
      </w:r>
      <w:r w:rsidR="009F0690">
        <w:t>ely address the gaps identified, based on t</w:t>
      </w:r>
      <w:r w:rsidR="00A26598">
        <w:t>he current an</w:t>
      </w:r>
      <w:r w:rsidR="001A6025">
        <w:t>d projected condition of MNES. Recommended i</w:t>
      </w:r>
      <w:r w:rsidR="00A26598">
        <w:t>mprovements to related local, state and national government progr</w:t>
      </w:r>
      <w:r w:rsidR="009F0690">
        <w:t xml:space="preserve">ams are given limited attention, despite the acknowledgement that many of the management challenges lie outside of </w:t>
      </w:r>
      <w:r w:rsidR="00B534D4">
        <w:t>GBRMPA</w:t>
      </w:r>
      <w:r w:rsidR="009F0690">
        <w:t>’s jurisdiction.</w:t>
      </w:r>
    </w:p>
    <w:p w:rsidR="00E43DCF" w:rsidRDefault="00E43DCF" w:rsidP="00E43DCF">
      <w:pPr>
        <w:pStyle w:val="Para0"/>
      </w:pPr>
      <w:r>
        <w:t>A key element of the proposed Program is the overarching management framework that underpins the holistic, integrated approach to managing the reef and extends beyond the Region’s boundaries to include land-based and freshwater activities and impacts. The report states this framework will ‘guide all parties working together to protect MNES in the Region’ (Page 18 of Program Report) and therefore the health and resilience of the reef.</w:t>
      </w:r>
      <w:r w:rsidRPr="00E43DCF">
        <w:t xml:space="preserve"> </w:t>
      </w:r>
      <w:r>
        <w:t xml:space="preserve">Some further clarification of the purpose, scope, stakeholder involvement and authority of the management framework would be valuable. </w:t>
      </w:r>
    </w:p>
    <w:p w:rsidR="00E43DCF" w:rsidRPr="00D84D06" w:rsidRDefault="00E43DCF" w:rsidP="00D84D06">
      <w:pPr>
        <w:pStyle w:val="Para0"/>
      </w:pPr>
      <w:r>
        <w:lastRenderedPageBreak/>
        <w:t xml:space="preserve">The need for collaboration particularly with land-based stakeholders is seen as critical to effectively managing the reef, given the Authority’s limited ability to influence decisions about land-based development and activities.   The agricultural sector is a key industry in this regard, yet the report has few suggestions about managing the impacts from these activities beyond strengthening collaboration and partnerships. Given the central role of the agricultural sector in the Great Barrier Reef catchment, it is recommended that more specific discussion of improved management arrangements is described to provide greater consistency with the </w:t>
      </w:r>
      <w:r w:rsidR="008B4298">
        <w:t>Terms of Reference.</w:t>
      </w:r>
    </w:p>
    <w:p w:rsidR="00E21ED7" w:rsidRDefault="00E21ED7" w:rsidP="00E21ED7">
      <w:pPr>
        <w:pStyle w:val="Heading2"/>
      </w:pPr>
      <w:bookmarkStart w:id="19" w:name="_Toc378857196"/>
      <w:r>
        <w:t xml:space="preserve">Strategic Assessment </w:t>
      </w:r>
      <w:r w:rsidR="00543E44">
        <w:t>p</w:t>
      </w:r>
      <w:r>
        <w:t>rocess</w:t>
      </w:r>
      <w:bookmarkEnd w:id="19"/>
    </w:p>
    <w:p w:rsidR="00A26598" w:rsidRDefault="00A26598" w:rsidP="00A26598">
      <w:pPr>
        <w:pStyle w:val="Para0"/>
      </w:pPr>
      <w:r>
        <w:t xml:space="preserve">There is evidence of collaboration </w:t>
      </w:r>
      <w:r w:rsidR="009F0690">
        <w:t xml:space="preserve">by </w:t>
      </w:r>
      <w:r w:rsidR="00B534D4">
        <w:t>GBRMPA</w:t>
      </w:r>
      <w:r w:rsidR="009F0690">
        <w:t xml:space="preserve"> </w:t>
      </w:r>
      <w:r>
        <w:t xml:space="preserve">with the Queensland Government in </w:t>
      </w:r>
      <w:r w:rsidR="009F0690">
        <w:t>conducting</w:t>
      </w:r>
      <w:r>
        <w:t xml:space="preserve"> the Strategic Assessment, as required by the Terms of Reference. A diverse and relevant group of demonstration cases has been selected to illustrate the application of State and </w:t>
      </w:r>
      <w:r w:rsidR="00880A76">
        <w:t xml:space="preserve">GBRMPA </w:t>
      </w:r>
      <w:r>
        <w:t>Programs, and reference</w:t>
      </w:r>
      <w:r w:rsidR="007256AA">
        <w:t>s</w:t>
      </w:r>
      <w:r>
        <w:t xml:space="preserve"> to joint management arrangements and the</w:t>
      </w:r>
      <w:r w:rsidR="001A6025">
        <w:t xml:space="preserve"> associated</w:t>
      </w:r>
      <w:r>
        <w:t xml:space="preserve"> intergovernmental agreement are accurate. The jurisdictional boundary between the </w:t>
      </w:r>
      <w:r w:rsidR="009F0690">
        <w:t>Great Barrier Reef</w:t>
      </w:r>
      <w:r>
        <w:t xml:space="preserve"> Region and </w:t>
      </w:r>
      <w:r w:rsidR="009F0690">
        <w:t>Great Barrier Reef</w:t>
      </w:r>
      <w:r>
        <w:t xml:space="preserve"> Coastal Zone is </w:t>
      </w:r>
      <w:r w:rsidR="001A6025">
        <w:t>prominent when reviewing both Strategic Assessments</w:t>
      </w:r>
      <w:r w:rsidR="009F0690">
        <w:t>,</w:t>
      </w:r>
      <w:r>
        <w:t xml:space="preserve"> and further </w:t>
      </w:r>
      <w:r w:rsidR="001A6025">
        <w:t>refinements</w:t>
      </w:r>
      <w:r>
        <w:t xml:space="preserve"> could be made to</w:t>
      </w:r>
      <w:r w:rsidR="001A6025">
        <w:t xml:space="preserve"> both </w:t>
      </w:r>
      <w:r w:rsidR="009F0690">
        <w:t>assessments</w:t>
      </w:r>
      <w:r w:rsidR="001A6025">
        <w:t xml:space="preserve"> to</w:t>
      </w:r>
      <w:r>
        <w:t xml:space="preserve"> provide a </w:t>
      </w:r>
      <w:r w:rsidR="001A6025">
        <w:t>‘</w:t>
      </w:r>
      <w:r>
        <w:t>whole of ecosystem</w:t>
      </w:r>
      <w:r w:rsidR="001A6025">
        <w:t>’</w:t>
      </w:r>
      <w:r>
        <w:t xml:space="preserve"> presentation of information. </w:t>
      </w:r>
      <w:r w:rsidR="009F0690">
        <w:t>The</w:t>
      </w:r>
      <w:r>
        <w:t xml:space="preserve"> </w:t>
      </w:r>
      <w:r w:rsidR="009F0690">
        <w:t>differing</w:t>
      </w:r>
      <w:r>
        <w:t xml:space="preserve"> methods applied to the assessment of management effectiveness</w:t>
      </w:r>
      <w:r w:rsidR="001A6025">
        <w:t xml:space="preserve"> within each Strategic Assessment </w:t>
      </w:r>
      <w:r>
        <w:t>mak</w:t>
      </w:r>
      <w:r w:rsidR="001A6025">
        <w:t xml:space="preserve">e it difficult to gain a </w:t>
      </w:r>
      <w:r>
        <w:t>perspective</w:t>
      </w:r>
      <w:r w:rsidR="00FC5DA9">
        <w:t xml:space="preserve"> of the combined management effectiveness across the entire Great Barrier Reef. This </w:t>
      </w:r>
      <w:r w:rsidR="002B6B2E">
        <w:t>indicates</w:t>
      </w:r>
      <w:r w:rsidR="007256AA">
        <w:t xml:space="preserve"> a</w:t>
      </w:r>
      <w:r>
        <w:t xml:space="preserve"> lack of coordination between the Queensland Government and GBRMPA during </w:t>
      </w:r>
      <w:r w:rsidR="002B6B2E">
        <w:t>development of the</w:t>
      </w:r>
      <w:r>
        <w:t xml:space="preserve"> assessment </w:t>
      </w:r>
      <w:r w:rsidR="002B6B2E">
        <w:t>method</w:t>
      </w:r>
      <w:r>
        <w:t>.</w:t>
      </w:r>
    </w:p>
    <w:p w:rsidR="00A26598" w:rsidRDefault="00A26598" w:rsidP="00A26598">
      <w:pPr>
        <w:pStyle w:val="Para0"/>
      </w:pPr>
      <w:r>
        <w:t xml:space="preserve">Public engagement during the Strategic Assessment process is well described and extensive, exceeding the requirements </w:t>
      </w:r>
      <w:r w:rsidR="001A6025">
        <w:t>of</w:t>
      </w:r>
      <w:r w:rsidR="009F0690">
        <w:t xml:space="preserve"> the Terms of R</w:t>
      </w:r>
      <w:r>
        <w:t xml:space="preserve">eference. Stakeholder workshops were held at major centres along the Great Barrier Reef at various stages </w:t>
      </w:r>
      <w:r w:rsidR="009F0690">
        <w:t>of</w:t>
      </w:r>
      <w:r>
        <w:t xml:space="preserve"> the assessment</w:t>
      </w:r>
      <w:r w:rsidR="009F0690">
        <w:t xml:space="preserve"> process</w:t>
      </w:r>
      <w:r w:rsidR="007256AA">
        <w:t xml:space="preserve">. These were supplemented by </w:t>
      </w:r>
      <w:r>
        <w:t>targeted consultation</w:t>
      </w:r>
      <w:r w:rsidR="007256AA">
        <w:t>s</w:t>
      </w:r>
      <w:r>
        <w:t xml:space="preserve"> with key groups. Engagement with </w:t>
      </w:r>
      <w:r w:rsidR="00FC5DA9">
        <w:t>T</w:t>
      </w:r>
      <w:r>
        <w:t>r</w:t>
      </w:r>
      <w:r w:rsidR="00FC5DA9">
        <w:t>aditional O</w:t>
      </w:r>
      <w:r>
        <w:t xml:space="preserve">wners </w:t>
      </w:r>
      <w:r w:rsidR="001A6025">
        <w:t>is a strength</w:t>
      </w:r>
      <w:r>
        <w:t xml:space="preserve"> of the assessment process</w:t>
      </w:r>
      <w:r w:rsidR="001A6025">
        <w:t>, which i</w:t>
      </w:r>
      <w:r>
        <w:t>s reflected throughout the Program description and Assessment Report</w:t>
      </w:r>
      <w:r w:rsidR="00FA7015">
        <w:t>. D</w:t>
      </w:r>
      <w:r w:rsidR="001A6025">
        <w:t>escriptions of</w:t>
      </w:r>
      <w:r>
        <w:t xml:space="preserve"> the important links </w:t>
      </w:r>
      <w:r w:rsidRPr="00FC5DA9">
        <w:t xml:space="preserve">between </w:t>
      </w:r>
      <w:r w:rsidR="00FC5DA9" w:rsidRPr="00FC5DA9">
        <w:t>Traditional O</w:t>
      </w:r>
      <w:r w:rsidRPr="00FC5DA9">
        <w:t>wners</w:t>
      </w:r>
      <w:r>
        <w:t xml:space="preserve"> and the</w:t>
      </w:r>
      <w:r w:rsidR="00FA7015">
        <w:t>ir</w:t>
      </w:r>
      <w:r>
        <w:t xml:space="preserve"> land and sea country </w:t>
      </w:r>
      <w:r w:rsidR="00FA7015">
        <w:t xml:space="preserve">are </w:t>
      </w:r>
      <w:r w:rsidR="007256AA">
        <w:t xml:space="preserve">widespread </w:t>
      </w:r>
      <w:r w:rsidR="00FA7015">
        <w:t xml:space="preserve">through the document and give due recognition to the contribution made by </w:t>
      </w:r>
      <w:r w:rsidR="00FC5DA9">
        <w:t>Traditional O</w:t>
      </w:r>
      <w:r w:rsidR="00FA7015" w:rsidRPr="00FC5DA9">
        <w:t>wners</w:t>
      </w:r>
      <w:r w:rsidR="00FA7015">
        <w:t xml:space="preserve"> to management of the reef ecosystem, past and present.</w:t>
      </w:r>
    </w:p>
    <w:p w:rsidR="00AE23DD" w:rsidRDefault="00AE23DD" w:rsidP="00A26598">
      <w:pPr>
        <w:pStyle w:val="Para0"/>
      </w:pPr>
      <w:r>
        <w:t>Independent review requirements of the Terms of Reference have been met</w:t>
      </w:r>
      <w:r w:rsidR="001A6025">
        <w:t xml:space="preserve"> or are in progress</w:t>
      </w:r>
      <w:r>
        <w:t xml:space="preserve">. The independent assessment of management effectiveness and its associated summary chapter are a strength </w:t>
      </w:r>
      <w:r w:rsidR="001A6025">
        <w:t xml:space="preserve">of the Assessment Report </w:t>
      </w:r>
      <w:r>
        <w:t xml:space="preserve">and assist in identifying </w:t>
      </w:r>
      <w:r w:rsidR="001A6025">
        <w:t xml:space="preserve">gaps in current management activities </w:t>
      </w:r>
      <w:r w:rsidR="00FA7015">
        <w:t xml:space="preserve">and </w:t>
      </w:r>
      <w:r w:rsidR="001A6025">
        <w:t>where elements of the Program need to be strengthened</w:t>
      </w:r>
      <w:r>
        <w:t xml:space="preserve">. </w:t>
      </w:r>
    </w:p>
    <w:p w:rsidR="00E21ED7" w:rsidRDefault="00543E44" w:rsidP="00E21ED7">
      <w:pPr>
        <w:pStyle w:val="Heading2"/>
      </w:pPr>
      <w:bookmarkStart w:id="20" w:name="_Toc378857197"/>
      <w:r>
        <w:t>Endorsement c</w:t>
      </w:r>
      <w:r w:rsidR="00E21ED7">
        <w:t>riteria</w:t>
      </w:r>
      <w:bookmarkEnd w:id="20"/>
    </w:p>
    <w:p w:rsidR="00E21ED7" w:rsidRDefault="005755AF" w:rsidP="00961EE4">
      <w:pPr>
        <w:pStyle w:val="Para0"/>
      </w:pPr>
      <w:r>
        <w:t xml:space="preserve">There is limited discussion </w:t>
      </w:r>
      <w:r w:rsidR="00FA7015">
        <w:t>of</w:t>
      </w:r>
      <w:r>
        <w:t xml:space="preserve"> how the Strategic Assessment as a whole has met the endorsement criteria outlined in Section 8 of the Terms of Reference. The only exception is that the independent </w:t>
      </w:r>
      <w:r w:rsidR="002B6B2E">
        <w:t>assessment</w:t>
      </w:r>
      <w:r>
        <w:t xml:space="preserve"> of management effectiveness summary (Chapter 8) concludes that </w:t>
      </w:r>
      <w:r w:rsidR="00EF747A">
        <w:t>inputs, process</w:t>
      </w:r>
      <w:r>
        <w:t xml:space="preserve"> and outcomes </w:t>
      </w:r>
      <w:r w:rsidR="00EF747A">
        <w:t xml:space="preserve">were the elements of the management cycle where current management arrangements were least likely to meet the endorsement criteria. A table summarising how each endorsement criterion has been met would </w:t>
      </w:r>
      <w:r w:rsidR="00FA7015">
        <w:t>provide clarity to</w:t>
      </w:r>
      <w:r w:rsidR="00EF747A">
        <w:t xml:space="preserve"> the assessment </w:t>
      </w:r>
      <w:r w:rsidR="00FA7015">
        <w:t xml:space="preserve">process </w:t>
      </w:r>
      <w:r w:rsidR="00EF747A">
        <w:t xml:space="preserve">and </w:t>
      </w:r>
      <w:r w:rsidR="001A6025">
        <w:t>more clearly demonstrate</w:t>
      </w:r>
      <w:r w:rsidR="00EF747A">
        <w:t xml:space="preserve"> consistency with the Terms of Reference.</w:t>
      </w:r>
    </w:p>
    <w:p w:rsidR="00B71E53" w:rsidRPr="00961EE4" w:rsidRDefault="004F27A6" w:rsidP="00B71E53">
      <w:pPr>
        <w:pStyle w:val="Heading2"/>
      </w:pPr>
      <w:bookmarkStart w:id="21" w:name="_Toc378857198"/>
      <w:r>
        <w:t>Further work</w:t>
      </w:r>
      <w:bookmarkEnd w:id="21"/>
    </w:p>
    <w:p w:rsidR="00B71E53" w:rsidRDefault="005669FF" w:rsidP="00765671">
      <w:pPr>
        <w:pStyle w:val="Para0"/>
      </w:pPr>
      <w:r>
        <w:t xml:space="preserve">The </w:t>
      </w:r>
      <w:r w:rsidR="00765671">
        <w:t>draft reports reviewed</w:t>
      </w:r>
      <w:r>
        <w:t xml:space="preserve"> by SKM</w:t>
      </w:r>
      <w:r w:rsidR="00765671">
        <w:t xml:space="preserve"> </w:t>
      </w:r>
      <w:r w:rsidR="004F27A6">
        <w:t xml:space="preserve">meet the majority of the requirements of the </w:t>
      </w:r>
      <w:r w:rsidR="00581EF6">
        <w:t>Terms of Reference</w:t>
      </w:r>
      <w:r w:rsidR="00765671">
        <w:t>.</w:t>
      </w:r>
      <w:r w:rsidR="00B71E53">
        <w:t xml:space="preserve"> In order to </w:t>
      </w:r>
      <w:r w:rsidR="00E33646">
        <w:t xml:space="preserve">be </w:t>
      </w:r>
      <w:r w:rsidR="00B71E53">
        <w:t xml:space="preserve">completely </w:t>
      </w:r>
      <w:r w:rsidR="00E33646">
        <w:t>consistent with</w:t>
      </w:r>
      <w:r w:rsidR="00B71E53">
        <w:t xml:space="preserve"> the Terms of Reference, </w:t>
      </w:r>
      <w:r w:rsidR="001A6025">
        <w:t xml:space="preserve">some </w:t>
      </w:r>
      <w:r w:rsidR="002B6B2E">
        <w:t>further work on</w:t>
      </w:r>
      <w:r w:rsidR="00B71E53">
        <w:t xml:space="preserve"> the following issues </w:t>
      </w:r>
      <w:r w:rsidR="009C6AA9">
        <w:t>is</w:t>
      </w:r>
      <w:r w:rsidR="00B71E53">
        <w:t xml:space="preserve"> </w:t>
      </w:r>
      <w:r w:rsidR="00FA7015">
        <w:t>recommended</w:t>
      </w:r>
      <w:r w:rsidR="00B71E53">
        <w:t>:</w:t>
      </w:r>
    </w:p>
    <w:p w:rsidR="00EF747A" w:rsidRDefault="00EF747A" w:rsidP="007C648D">
      <w:pPr>
        <w:pStyle w:val="Para0"/>
        <w:numPr>
          <w:ilvl w:val="0"/>
          <w:numId w:val="42"/>
        </w:numPr>
      </w:pPr>
      <w:r>
        <w:t xml:space="preserve">Provide additional information on </w:t>
      </w:r>
      <w:r w:rsidR="00B534D4">
        <w:t>GBRMPA’s</w:t>
      </w:r>
      <w:r>
        <w:t xml:space="preserve"> work internationally as part of the Program description, including working in an advisory capacity and raising awareness of the impacts of climate change on coral reef ecosystems</w:t>
      </w:r>
    </w:p>
    <w:p w:rsidR="00EF747A" w:rsidRDefault="00EF747A" w:rsidP="007C648D">
      <w:pPr>
        <w:pStyle w:val="Para0"/>
        <w:numPr>
          <w:ilvl w:val="0"/>
          <w:numId w:val="42"/>
        </w:numPr>
      </w:pPr>
      <w:r>
        <w:t>Improve the availability of detai</w:t>
      </w:r>
      <w:r w:rsidR="00FA7015">
        <w:t xml:space="preserve">led demonstration case reports </w:t>
      </w:r>
      <w:r>
        <w:t xml:space="preserve">by </w:t>
      </w:r>
      <w:r w:rsidR="00FA7015">
        <w:t>publishing them with other Strategic Assessment documentation</w:t>
      </w:r>
    </w:p>
    <w:p w:rsidR="005B2C51" w:rsidRDefault="005B2C51" w:rsidP="007C648D">
      <w:pPr>
        <w:pStyle w:val="Para0"/>
        <w:numPr>
          <w:ilvl w:val="0"/>
          <w:numId w:val="42"/>
        </w:numPr>
      </w:pPr>
      <w:r>
        <w:lastRenderedPageBreak/>
        <w:t>The</w:t>
      </w:r>
      <w:r w:rsidRPr="005B2C51">
        <w:t xml:space="preserve"> additional </w:t>
      </w:r>
      <w:r w:rsidR="00FA7015">
        <w:t xml:space="preserve">management </w:t>
      </w:r>
      <w:r w:rsidRPr="005B2C51">
        <w:t xml:space="preserve">resources required to implement the five principal activities set </w:t>
      </w:r>
      <w:r>
        <w:t>out in the proposed Program should be outlined</w:t>
      </w:r>
    </w:p>
    <w:p w:rsidR="00E43DCF" w:rsidRDefault="00E43DCF" w:rsidP="007C648D">
      <w:pPr>
        <w:pStyle w:val="Para0"/>
        <w:numPr>
          <w:ilvl w:val="0"/>
          <w:numId w:val="42"/>
        </w:numPr>
      </w:pPr>
      <w:r>
        <w:t xml:space="preserve">Additional description of the management framework, including its structure, stakeholders, scope </w:t>
      </w:r>
      <w:r w:rsidR="00543E44">
        <w:t>and implementation arrangements</w:t>
      </w:r>
    </w:p>
    <w:p w:rsidR="00E43DCF" w:rsidRDefault="00E43DCF" w:rsidP="00E43DCF">
      <w:pPr>
        <w:pStyle w:val="Para0"/>
        <w:numPr>
          <w:ilvl w:val="0"/>
          <w:numId w:val="42"/>
        </w:numPr>
      </w:pPr>
      <w:r>
        <w:t>More information on improved and effective approaches for collaboration and partnerships with the agricultural sector and other stakeholders of t</w:t>
      </w:r>
      <w:r w:rsidR="00543E44">
        <w:t>he Great Barrier Reef catchment</w:t>
      </w:r>
    </w:p>
    <w:p w:rsidR="00EF747A" w:rsidRDefault="00EF747A" w:rsidP="007C648D">
      <w:pPr>
        <w:pStyle w:val="Para0"/>
        <w:numPr>
          <w:ilvl w:val="0"/>
          <w:numId w:val="42"/>
        </w:numPr>
      </w:pPr>
      <w:r>
        <w:t>Explain why the method applied to the assessment of management effectiveness differed significantly from that of the Queensland Government</w:t>
      </w:r>
      <w:r w:rsidR="001A6025">
        <w:t>’</w:t>
      </w:r>
      <w:r>
        <w:t xml:space="preserve">s assessment of the </w:t>
      </w:r>
      <w:r w:rsidR="001A6025">
        <w:t>Great Barrier Reef</w:t>
      </w:r>
      <w:r>
        <w:t xml:space="preserve"> Coastal Zone, and the implications of these differences in presenting a ‘whole of ecosystem’ picture. </w:t>
      </w:r>
      <w:r w:rsidR="00675185">
        <w:t xml:space="preserve">Consider opportunities for greater alignment of the </w:t>
      </w:r>
      <w:r w:rsidR="00FA7015">
        <w:t xml:space="preserve">State and </w:t>
      </w:r>
      <w:r w:rsidR="00880A76">
        <w:t xml:space="preserve">GBRMPA </w:t>
      </w:r>
      <w:r w:rsidR="00FA7015">
        <w:t>Strategic A</w:t>
      </w:r>
      <w:r w:rsidR="00675185">
        <w:t>ssessme</w:t>
      </w:r>
      <w:r w:rsidR="00543E44">
        <w:t>nts prior to their finalisation</w:t>
      </w:r>
    </w:p>
    <w:p w:rsidR="00EF747A" w:rsidRDefault="00FA7015" w:rsidP="007C648D">
      <w:pPr>
        <w:pStyle w:val="Para0"/>
        <w:numPr>
          <w:ilvl w:val="0"/>
          <w:numId w:val="42"/>
        </w:numPr>
      </w:pPr>
      <w:r>
        <w:t xml:space="preserve">Focus the </w:t>
      </w:r>
      <w:r w:rsidR="00A310AD">
        <w:t>forward c</w:t>
      </w:r>
      <w:r w:rsidR="00EF747A">
        <w:t xml:space="preserve">ommitments on outcomes </w:t>
      </w:r>
      <w:r w:rsidR="00FC5DA9">
        <w:t>in addition to</w:t>
      </w:r>
      <w:r w:rsidR="00EF747A">
        <w:t xml:space="preserve"> process</w:t>
      </w:r>
      <w:r w:rsidR="004576CE">
        <w:t>es</w:t>
      </w:r>
      <w:r w:rsidR="00EF747A">
        <w:t>, with a view to filling the gaps identified in the Assessment Report. Expand the recommendations to</w:t>
      </w:r>
      <w:r>
        <w:t xml:space="preserve"> include</w:t>
      </w:r>
      <w:r w:rsidR="00543E44">
        <w:t xml:space="preserve"> other local, s</w:t>
      </w:r>
      <w:r w:rsidR="002B6B2E">
        <w:t>tate and national programs</w:t>
      </w:r>
    </w:p>
    <w:p w:rsidR="00EF747A" w:rsidRDefault="004576CE" w:rsidP="007C648D">
      <w:pPr>
        <w:pStyle w:val="Para0"/>
        <w:numPr>
          <w:ilvl w:val="0"/>
          <w:numId w:val="42"/>
        </w:numPr>
      </w:pPr>
      <w:r>
        <w:t>Present</w:t>
      </w:r>
      <w:r w:rsidR="00EF747A">
        <w:t xml:space="preserve"> a </w:t>
      </w:r>
      <w:r>
        <w:t xml:space="preserve">clear </w:t>
      </w:r>
      <w:r w:rsidR="00EF747A">
        <w:t>summary of how the Strategic Assessment has met the</w:t>
      </w:r>
      <w:r>
        <w:t xml:space="preserve"> endorsement criteria</w:t>
      </w:r>
    </w:p>
    <w:p w:rsidR="00D055DA" w:rsidRDefault="00D055DA" w:rsidP="00D055DA">
      <w:pPr>
        <w:pStyle w:val="Heading1"/>
      </w:pPr>
      <w:bookmarkStart w:id="22" w:name="_Toc378857199"/>
      <w:r>
        <w:lastRenderedPageBreak/>
        <w:t xml:space="preserve">Structure of </w:t>
      </w:r>
      <w:r w:rsidR="00543E44">
        <w:t>r</w:t>
      </w:r>
      <w:r w:rsidR="00E717CD">
        <w:t>eports</w:t>
      </w:r>
      <w:r w:rsidR="00543E44">
        <w:t xml:space="preserve"> and c</w:t>
      </w:r>
      <w:r>
        <w:t xml:space="preserve">ohesiveness of </w:t>
      </w:r>
      <w:r w:rsidR="00543E44">
        <w:t>p</w:t>
      </w:r>
      <w:r>
        <w:t>resentation</w:t>
      </w:r>
      <w:bookmarkEnd w:id="22"/>
    </w:p>
    <w:p w:rsidR="0079623C" w:rsidRDefault="00FC3191" w:rsidP="0079623C">
      <w:pPr>
        <w:pStyle w:val="Heading2"/>
      </w:pPr>
      <w:bookmarkStart w:id="23" w:name="_Toc378857200"/>
      <w:r>
        <w:t>Introduction</w:t>
      </w:r>
      <w:bookmarkEnd w:id="23"/>
    </w:p>
    <w:p w:rsidR="00581B3A" w:rsidRDefault="000E57BC" w:rsidP="00B12362">
      <w:pPr>
        <w:pStyle w:val="Para0"/>
      </w:pPr>
      <w:r>
        <w:rPr>
          <w:b/>
          <w:noProof/>
          <w:color w:val="310F47" w:themeColor="text1" w:themeShade="BF"/>
          <w:lang w:eastAsia="en-AU"/>
        </w:rPr>
        <mc:AlternateContent>
          <mc:Choice Requires="wps">
            <w:drawing>
              <wp:anchor distT="0" distB="0" distL="114300" distR="114300" simplePos="0" relativeHeight="251677696" behindDoc="0" locked="0" layoutInCell="1" allowOverlap="1">
                <wp:simplePos x="0" y="0"/>
                <wp:positionH relativeFrom="column">
                  <wp:posOffset>2927985</wp:posOffset>
                </wp:positionH>
                <wp:positionV relativeFrom="paragraph">
                  <wp:posOffset>135890</wp:posOffset>
                </wp:positionV>
                <wp:extent cx="3038475" cy="3429000"/>
                <wp:effectExtent l="38100" t="38100" r="123825" b="114300"/>
                <wp:wrapSquare wrapText="bothSides"/>
                <wp:docPr id="79" name="Rounded 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38475" cy="3429000"/>
                        </a:xfrm>
                        <a:prstGeom prst="roundRect">
                          <a:avLst/>
                        </a:prstGeom>
                        <a:solidFill>
                          <a:schemeClr val="accent6">
                            <a:lumMod val="20000"/>
                            <a:lumOff val="80000"/>
                          </a:schemeClr>
                        </a:solidFill>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233787" w:rsidRPr="004D6945" w:rsidRDefault="00233787" w:rsidP="008C79EF">
                            <w:pPr>
                              <w:spacing w:before="40" w:after="40"/>
                              <w:ind w:right="-104"/>
                              <w:rPr>
                                <w:rFonts w:asciiTheme="minorHAnsi" w:hAnsiTheme="minorHAnsi"/>
                                <w:b/>
                                <w:color w:val="7030A0"/>
                                <w:sz w:val="22"/>
                              </w:rPr>
                            </w:pPr>
                            <w:r>
                              <w:rPr>
                                <w:rFonts w:asciiTheme="minorHAnsi" w:hAnsiTheme="minorHAnsi"/>
                                <w:b/>
                                <w:color w:val="7030A0"/>
                                <w:sz w:val="22"/>
                              </w:rPr>
                              <w:t xml:space="preserve">The Strategic Assessment successfully compiles a large amount of complex information, and is professionally presented and annotated to assist in exploring chapters of interest or the entire document. The integration of science throughout the documents is seamless and adds significant credibility and confidence to the key findings. While jurisdictionally complex, management arrangements are well-described and provide a sound basis for the interpretation of forward commitments and assessment of their effectiveness. Improvements are suggested to further the tangibility of management responses and enhance readability for a wide, international audience.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79" o:spid="_x0000_s1027" style="position:absolute;margin-left:230.55pt;margin-top:10.7pt;width:239.25pt;height:270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" fillcolor="#dce6f2 [665]" strokecolor="#78736b [1604]" strokeweight="2pt">
                <v:shadow on="t" color="black" opacity="26214f" origin="-.5,-.5" offset=".74836mm,.74836mm"/>
                <v:path arrowok="t"/>
                <v:textbox>
                  <w:txbxContent>
                    <w:p w:rsidR="00233787" w:rsidRPr="004D6945" w:rsidRDefault="00233787" w:rsidP="008C79EF">
                      <w:pPr>
                        <w:spacing w:before="40" w:after="40"/>
                        <w:ind w:right="-104"/>
                        <w:rPr>
                          <w:rFonts w:asciiTheme="minorHAnsi" w:hAnsiTheme="minorHAnsi"/>
                          <w:b/>
                          <w:color w:val="7030A0"/>
                          <w:sz w:val="22"/>
                        </w:rPr>
                      </w:pPr>
                      <w:r>
                        <w:rPr>
                          <w:rFonts w:asciiTheme="minorHAnsi" w:hAnsiTheme="minorHAnsi"/>
                          <w:b/>
                          <w:color w:val="7030A0"/>
                          <w:sz w:val="22"/>
                        </w:rPr>
                        <w:t xml:space="preserve">The Strategic Assessment successfully compiles a large amount of complex information, and is professionally presented and annotated to assist in exploring chapters of interest or the entire document. The integration of science throughout the documents is seamless and adds significant credibility and confidence to the key findings. While jurisdictionally complex, management arrangements are well-described and provide a sound basis for the interpretation of forward commitments and assessment of their effectiveness. Improvements are suggested to further the tangibility of management responses and enhance readability for a wide, international audience. </w:t>
                      </w:r>
                    </w:p>
                  </w:txbxContent>
                </v:textbox>
                <w10:wrap type="square"/>
              </v:roundrect>
            </w:pict>
          </mc:Fallback>
        </mc:AlternateContent>
      </w:r>
      <w:r w:rsidR="00FC3191">
        <w:t xml:space="preserve">This section examines whether the content of the </w:t>
      </w:r>
      <w:r w:rsidR="003B07D6">
        <w:t xml:space="preserve">Strategic Assessment </w:t>
      </w:r>
      <w:r w:rsidR="00FC3191">
        <w:t xml:space="preserve">reports is appropriately structured, and whether information is presented in a clear, concise and well written manner. The cohesiveness, or degree to which </w:t>
      </w:r>
      <w:r w:rsidR="00E74158">
        <w:t>sections of the Strategic Assessment fit toget</w:t>
      </w:r>
      <w:r w:rsidR="0071469D">
        <w:t xml:space="preserve">her logically is also described. Consideration is given to whether the </w:t>
      </w:r>
      <w:r w:rsidR="00E74158">
        <w:t xml:space="preserve">objectives </w:t>
      </w:r>
      <w:r w:rsidR="0071469D">
        <w:t>of the assessment were</w:t>
      </w:r>
      <w:r w:rsidR="00E74158">
        <w:t xml:space="preserve"> feasible, well-defined and targeted towards the material issues affecting the Great Barrier Reef.</w:t>
      </w:r>
      <w:r w:rsidR="00FC3191">
        <w:t xml:space="preserve"> </w:t>
      </w:r>
      <w:r w:rsidR="008734C6">
        <w:t>Some</w:t>
      </w:r>
      <w:r w:rsidR="00625384">
        <w:t xml:space="preserve"> </w:t>
      </w:r>
      <w:r w:rsidR="009F33B2">
        <w:t>recommendations</w:t>
      </w:r>
      <w:r w:rsidR="00854B0A">
        <w:t xml:space="preserve"> for </w:t>
      </w:r>
      <w:r w:rsidR="0081698C">
        <w:t>improvement</w:t>
      </w:r>
      <w:r w:rsidR="00854B0A">
        <w:t xml:space="preserve"> of the documents</w:t>
      </w:r>
      <w:r w:rsidR="0081698C">
        <w:t xml:space="preserve"> </w:t>
      </w:r>
      <w:r w:rsidR="00625384">
        <w:t xml:space="preserve">have been </w:t>
      </w:r>
      <w:r w:rsidR="00D7620B">
        <w:t xml:space="preserve">made. These </w:t>
      </w:r>
      <w:r w:rsidR="009F33B2">
        <w:t>will</w:t>
      </w:r>
      <w:r w:rsidR="0081698C">
        <w:t xml:space="preserve"> </w:t>
      </w:r>
      <w:r w:rsidR="00625384">
        <w:t>enhanc</w:t>
      </w:r>
      <w:r w:rsidR="00D7620B">
        <w:t>e</w:t>
      </w:r>
      <w:r w:rsidR="0081698C">
        <w:t xml:space="preserve"> the </w:t>
      </w:r>
      <w:r w:rsidR="00D7620B">
        <w:t xml:space="preserve">reports’ readability </w:t>
      </w:r>
      <w:r w:rsidR="00F31EF5">
        <w:t>for a wide audience</w:t>
      </w:r>
      <w:r w:rsidR="0081698C">
        <w:t xml:space="preserve">. </w:t>
      </w:r>
    </w:p>
    <w:p w:rsidR="00071CB3" w:rsidRDefault="00071CB3" w:rsidP="00071CB3">
      <w:pPr>
        <w:pStyle w:val="Heading2"/>
      </w:pPr>
      <w:bookmarkStart w:id="24" w:name="_Toc378857201"/>
      <w:r>
        <w:t>Presentation and cohesiveness</w:t>
      </w:r>
      <w:bookmarkEnd w:id="24"/>
    </w:p>
    <w:p w:rsidR="00C52ACD" w:rsidRDefault="00EE3EBB" w:rsidP="004A6B5B">
      <w:pPr>
        <w:pStyle w:val="Para0bullet"/>
        <w:numPr>
          <w:ilvl w:val="0"/>
          <w:numId w:val="0"/>
        </w:numPr>
      </w:pPr>
      <w:r>
        <w:t xml:space="preserve">The Strategic Assessment overall is well written and comprehensive, particularly aspects relating to the review of literature and the presentation of science. The Program and Assessment Reports are </w:t>
      </w:r>
      <w:r w:rsidR="00C52ACD">
        <w:t>informative</w:t>
      </w:r>
      <w:r>
        <w:t xml:space="preserve">, concise and make excellent use of </w:t>
      </w:r>
      <w:r w:rsidRPr="003A12EC">
        <w:t xml:space="preserve">tables </w:t>
      </w:r>
      <w:r w:rsidR="00482A4A">
        <w:t xml:space="preserve">and figures </w:t>
      </w:r>
      <w:r w:rsidRPr="003A12EC">
        <w:t>to present and summarise key information</w:t>
      </w:r>
      <w:r>
        <w:t xml:space="preserve">. </w:t>
      </w:r>
      <w:r w:rsidR="00482A4A">
        <w:t xml:space="preserve">This </w:t>
      </w:r>
      <w:r w:rsidR="00D40037">
        <w:t xml:space="preserve">approach has provided an effective </w:t>
      </w:r>
      <w:r w:rsidR="00620247">
        <w:t>presentation of a very large amount of information.</w:t>
      </w:r>
      <w:r w:rsidR="00620247" w:rsidRPr="004A6B5B">
        <w:t xml:space="preserve"> </w:t>
      </w:r>
      <w:r w:rsidR="001D395C">
        <w:t xml:space="preserve">Chapters 4 to 7 of the </w:t>
      </w:r>
      <w:r w:rsidR="00482A4A">
        <w:t xml:space="preserve">Assessment Report can be </w:t>
      </w:r>
      <w:r w:rsidR="00C52ACD">
        <w:t>diff</w:t>
      </w:r>
      <w:r w:rsidR="00620247">
        <w:t xml:space="preserve">icult to </w:t>
      </w:r>
      <w:r w:rsidR="00482A4A">
        <w:t>assimilate as a package</w:t>
      </w:r>
      <w:r w:rsidR="00D40037">
        <w:t>,</w:t>
      </w:r>
      <w:r w:rsidR="00482A4A">
        <w:t xml:space="preserve"> due to the </w:t>
      </w:r>
      <w:r w:rsidR="00D7620B">
        <w:t>large quantity</w:t>
      </w:r>
      <w:r w:rsidR="00482A4A">
        <w:t xml:space="preserve"> of information presented</w:t>
      </w:r>
      <w:r w:rsidR="00620247">
        <w:t xml:space="preserve">. </w:t>
      </w:r>
    </w:p>
    <w:p w:rsidR="004A6B5B" w:rsidRDefault="00C52ACD" w:rsidP="004A6B5B">
      <w:pPr>
        <w:pStyle w:val="Para0bullet"/>
        <w:numPr>
          <w:ilvl w:val="0"/>
          <w:numId w:val="0"/>
        </w:numPr>
      </w:pPr>
      <w:r>
        <w:t xml:space="preserve">The literature review and technical aspects of the assessment are </w:t>
      </w:r>
      <w:r w:rsidR="00482A4A">
        <w:t xml:space="preserve">particularly </w:t>
      </w:r>
      <w:r>
        <w:t xml:space="preserve">strong, and provide the reader with confidence that the information presented is current, relevant and objective. </w:t>
      </w:r>
      <w:r w:rsidR="00EE3EBB">
        <w:t xml:space="preserve">The introductory chapters of both reports provide a sound </w:t>
      </w:r>
      <w:r w:rsidR="00D40037">
        <w:t>foundation</w:t>
      </w:r>
      <w:r w:rsidR="00EE3EBB">
        <w:t xml:space="preserve"> for </w:t>
      </w:r>
      <w:r w:rsidR="00D40037">
        <w:t xml:space="preserve">the </w:t>
      </w:r>
      <w:r>
        <w:t xml:space="preserve">consideration of </w:t>
      </w:r>
      <w:r w:rsidR="00D40037">
        <w:t xml:space="preserve">more detailed </w:t>
      </w:r>
      <w:r>
        <w:t xml:space="preserve">information in </w:t>
      </w:r>
      <w:r w:rsidR="00D40037">
        <w:t>the following</w:t>
      </w:r>
      <w:r w:rsidR="00EE3EBB">
        <w:t xml:space="preserve"> chapters. Statements within th</w:t>
      </w:r>
      <w:r w:rsidR="00D40037">
        <w:t>e reports are well referenced, and a</w:t>
      </w:r>
      <w:r w:rsidR="00EE3EBB">
        <w:t xml:space="preserve"> summary of outcomes is provided at the</w:t>
      </w:r>
      <w:r>
        <w:t xml:space="preserve"> conclusion of </w:t>
      </w:r>
      <w:r w:rsidR="00D40037">
        <w:t>most</w:t>
      </w:r>
      <w:r>
        <w:t xml:space="preserve"> chapters</w:t>
      </w:r>
      <w:r w:rsidR="00EE3EBB">
        <w:t xml:space="preserve">, </w:t>
      </w:r>
      <w:r w:rsidR="00D7620B">
        <w:t xml:space="preserve">which helps </w:t>
      </w:r>
      <w:r w:rsidR="00D40037">
        <w:t xml:space="preserve">to consolidate </w:t>
      </w:r>
      <w:r w:rsidR="00EE3EBB">
        <w:t xml:space="preserve">key findings before </w:t>
      </w:r>
      <w:r w:rsidR="00D7620B">
        <w:t xml:space="preserve">readers </w:t>
      </w:r>
      <w:r w:rsidR="00EE3EBB">
        <w:t>mov</w:t>
      </w:r>
      <w:r w:rsidR="00D7620B">
        <w:t>e</w:t>
      </w:r>
      <w:r w:rsidR="00EE3EBB">
        <w:t xml:space="preserve"> on</w:t>
      </w:r>
      <w:r w:rsidR="00D7620B">
        <w:t xml:space="preserve"> </w:t>
      </w:r>
      <w:r w:rsidR="00EE3EBB">
        <w:t xml:space="preserve">to subsequent text. </w:t>
      </w:r>
      <w:r w:rsidR="00482A4A">
        <w:t>However, the</w:t>
      </w:r>
      <w:r>
        <w:t xml:space="preserve"> structure of </w:t>
      </w:r>
      <w:r w:rsidR="00D40037">
        <w:t>chapter</w:t>
      </w:r>
      <w:r>
        <w:t xml:space="preserve"> summaries is essentially a </w:t>
      </w:r>
      <w:r w:rsidRPr="00CC4F89">
        <w:t xml:space="preserve">catalogue of findings rather </w:t>
      </w:r>
      <w:r w:rsidR="00482A4A">
        <w:t xml:space="preserve">than an articulated </w:t>
      </w:r>
      <w:r w:rsidRPr="00CC4F89">
        <w:t xml:space="preserve">interpretation of what </w:t>
      </w:r>
      <w:r>
        <w:t>the information</w:t>
      </w:r>
      <w:r w:rsidRPr="00CC4F89">
        <w:t xml:space="preserve"> means in relation to the status of the </w:t>
      </w:r>
      <w:r w:rsidR="0071469D" w:rsidRPr="0071469D">
        <w:t>W</w:t>
      </w:r>
      <w:r w:rsidRPr="0071469D">
        <w:t xml:space="preserve">orld </w:t>
      </w:r>
      <w:r w:rsidR="0071469D" w:rsidRPr="0071469D">
        <w:t>H</w:t>
      </w:r>
      <w:r w:rsidRPr="0071469D">
        <w:t xml:space="preserve">eritage </w:t>
      </w:r>
      <w:r w:rsidR="0071469D" w:rsidRPr="0071469D">
        <w:t>A</w:t>
      </w:r>
      <w:r w:rsidRPr="0071469D">
        <w:t>rea.</w:t>
      </w:r>
      <w:r>
        <w:t xml:space="preserve"> Further analysis of </w:t>
      </w:r>
      <w:r w:rsidRPr="00CC4F89">
        <w:t xml:space="preserve">the effectiveness of management and the prospects for the future under various </w:t>
      </w:r>
      <w:r>
        <w:t xml:space="preserve">management </w:t>
      </w:r>
      <w:r w:rsidR="0071469D">
        <w:t xml:space="preserve">and climate </w:t>
      </w:r>
      <w:r w:rsidRPr="00CC4F89">
        <w:t>scenarios</w:t>
      </w:r>
      <w:r w:rsidR="00620247">
        <w:t xml:space="preserve"> would be </w:t>
      </w:r>
      <w:r w:rsidR="00482A4A">
        <w:t xml:space="preserve">a </w:t>
      </w:r>
      <w:r w:rsidR="00620247">
        <w:t>valuable</w:t>
      </w:r>
      <w:r w:rsidR="00482A4A">
        <w:t xml:space="preserve"> addition to </w:t>
      </w:r>
      <w:r w:rsidR="001D395C">
        <w:t xml:space="preserve">the most relevant </w:t>
      </w:r>
      <w:r w:rsidR="00D40037">
        <w:t>of these</w:t>
      </w:r>
      <w:r w:rsidR="00482A4A">
        <w:t xml:space="preserve"> summaries</w:t>
      </w:r>
      <w:r w:rsidR="00620247">
        <w:t xml:space="preserve">. </w:t>
      </w:r>
      <w:r w:rsidR="00D40037">
        <w:t>These</w:t>
      </w:r>
      <w:r w:rsidR="00620247">
        <w:t xml:space="preserve"> could </w:t>
      </w:r>
      <w:r w:rsidR="00482A4A">
        <w:t xml:space="preserve">include an analysis of the likely benefits of future management scenarios, including </w:t>
      </w:r>
      <w:r>
        <w:t>business as usual, modest additional effort or</w:t>
      </w:r>
      <w:r w:rsidRPr="00CC4F89">
        <w:t xml:space="preserve"> major “transformational” </w:t>
      </w:r>
      <w:r>
        <w:t xml:space="preserve">changes </w:t>
      </w:r>
      <w:r w:rsidRPr="00CC4F89">
        <w:t xml:space="preserve">together with </w:t>
      </w:r>
      <w:r w:rsidR="0071469D">
        <w:t>effective global action</w:t>
      </w:r>
      <w:r>
        <w:t xml:space="preserve"> on climate change</w:t>
      </w:r>
      <w:r w:rsidRPr="00CC4F89">
        <w:t>. </w:t>
      </w:r>
      <w:r w:rsidR="004A6B5B">
        <w:t xml:space="preserve">There has </w:t>
      </w:r>
      <w:r>
        <w:t xml:space="preserve">clearly </w:t>
      </w:r>
      <w:r w:rsidR="004A6B5B">
        <w:t xml:space="preserve">been extensive consultation during the </w:t>
      </w:r>
      <w:r w:rsidR="00482A4A">
        <w:t xml:space="preserve">Strategic Assessment process, which </w:t>
      </w:r>
      <w:r>
        <w:t>has</w:t>
      </w:r>
      <w:r w:rsidR="004A6B5B">
        <w:t xml:space="preserve"> resulted in a balanced </w:t>
      </w:r>
      <w:r>
        <w:t>appreciation and presentation</w:t>
      </w:r>
      <w:r w:rsidR="004A6B5B">
        <w:t xml:space="preserve"> of a variety of complex issues. </w:t>
      </w:r>
    </w:p>
    <w:p w:rsidR="00071CB3" w:rsidRDefault="00071CB3" w:rsidP="00071CB3">
      <w:pPr>
        <w:pStyle w:val="Para0bullet"/>
        <w:numPr>
          <w:ilvl w:val="0"/>
          <w:numId w:val="0"/>
        </w:numPr>
      </w:pPr>
      <w:r w:rsidRPr="00CC4F89">
        <w:t xml:space="preserve">While almost all of the </w:t>
      </w:r>
      <w:r>
        <w:t xml:space="preserve">information about the declining condition of the Great Barrier Reef </w:t>
      </w:r>
      <w:r w:rsidRPr="00CC4F89">
        <w:t xml:space="preserve">is </w:t>
      </w:r>
      <w:r>
        <w:t>presented</w:t>
      </w:r>
      <w:r w:rsidRPr="00CC4F89">
        <w:t xml:space="preserve"> in the </w:t>
      </w:r>
      <w:r w:rsidR="00D40037">
        <w:t>assessment</w:t>
      </w:r>
      <w:r w:rsidRPr="00CC4F89">
        <w:t xml:space="preserve">, the </w:t>
      </w:r>
      <w:r w:rsidR="00482A4A">
        <w:t>chapter summaries</w:t>
      </w:r>
      <w:r w:rsidRPr="00CC4F89">
        <w:t xml:space="preserve"> don’t always </w:t>
      </w:r>
      <w:r>
        <w:t xml:space="preserve">present such findings </w:t>
      </w:r>
      <w:r w:rsidR="0071469D">
        <w:t>explicitly</w:t>
      </w:r>
      <w:r w:rsidRPr="00CC4F89">
        <w:t>. The sta</w:t>
      </w:r>
      <w:r w:rsidR="00543E44">
        <w:t>tement on p</w:t>
      </w:r>
      <w:r w:rsidR="00482A4A">
        <w:t>age</w:t>
      </w:r>
      <w:r>
        <w:t xml:space="preserve"> 7-13 </w:t>
      </w:r>
      <w:r w:rsidR="00482A4A">
        <w:t xml:space="preserve">of the Assessment Report </w:t>
      </w:r>
      <w:r w:rsidRPr="00CC4F89">
        <w:t xml:space="preserve">that “at the scale of the </w:t>
      </w:r>
      <w:r w:rsidR="00D40037">
        <w:t>Great Barrier Reef</w:t>
      </w:r>
      <w:r w:rsidRPr="00CC4F89">
        <w:t xml:space="preserve"> </w:t>
      </w:r>
      <w:r w:rsidR="00D40037">
        <w:t>R</w:t>
      </w:r>
      <w:r w:rsidRPr="00CC4F89">
        <w:t xml:space="preserve">egion, most of its habitats and species are assessed to be in good to very good condition” may be technically correct, but if most of its </w:t>
      </w:r>
      <w:r w:rsidRPr="00DB1312">
        <w:rPr>
          <w:i/>
        </w:rPr>
        <w:t>key</w:t>
      </w:r>
      <w:r w:rsidRPr="00CC4F89">
        <w:t xml:space="preserve"> habitats and species (corals, seagrasses, seabirds, dolphins, dugong, turtles) are in </w:t>
      </w:r>
      <w:r w:rsidR="00D40037">
        <w:t>‘</w:t>
      </w:r>
      <w:r w:rsidRPr="00CC4F89">
        <w:t>very poor</w:t>
      </w:r>
      <w:r w:rsidR="00D40037">
        <w:t>’</w:t>
      </w:r>
      <w:r w:rsidRPr="00CC4F89">
        <w:t xml:space="preserve"> to </w:t>
      </w:r>
      <w:r w:rsidR="00D40037">
        <w:t>‘</w:t>
      </w:r>
      <w:r w:rsidRPr="00CC4F89">
        <w:t>poor</w:t>
      </w:r>
      <w:r w:rsidR="00D40037">
        <w:t>’</w:t>
      </w:r>
      <w:r w:rsidRPr="00CC4F89">
        <w:t xml:space="preserve"> condition and </w:t>
      </w:r>
      <w:r w:rsidR="00482A4A">
        <w:t xml:space="preserve">are </w:t>
      </w:r>
      <w:r w:rsidRPr="00CC4F89">
        <w:t xml:space="preserve">declining in the southern </w:t>
      </w:r>
      <w:r>
        <w:t>Great Barrier Reef</w:t>
      </w:r>
      <w:r w:rsidRPr="00CC4F89">
        <w:t xml:space="preserve">, </w:t>
      </w:r>
      <w:r>
        <w:t xml:space="preserve">then the statement could be </w:t>
      </w:r>
      <w:r w:rsidR="00482A4A">
        <w:t>viewed as</w:t>
      </w:r>
      <w:r>
        <w:t xml:space="preserve"> </w:t>
      </w:r>
      <w:r w:rsidR="0071469D">
        <w:t>misleading</w:t>
      </w:r>
      <w:r>
        <w:t xml:space="preserve"> </w:t>
      </w:r>
      <w:r w:rsidR="00677F87">
        <w:t>about</w:t>
      </w:r>
      <w:r w:rsidR="00D40037">
        <w:t xml:space="preserve"> the true status of the reef ecosystem.</w:t>
      </w:r>
      <w:r>
        <w:t xml:space="preserve"> </w:t>
      </w:r>
      <w:r w:rsidR="00677F87">
        <w:t>This</w:t>
      </w:r>
      <w:r w:rsidRPr="00CC4F89">
        <w:t xml:space="preserve"> </w:t>
      </w:r>
      <w:r w:rsidR="00677F87">
        <w:t>approach of presenting a positive perspective in the chapter summaries is</w:t>
      </w:r>
      <w:r w:rsidRPr="00CC4F89">
        <w:t xml:space="preserve"> not nearly as evident in the</w:t>
      </w:r>
      <w:r w:rsidR="00677F87">
        <w:t xml:space="preserve"> </w:t>
      </w:r>
      <w:r w:rsidR="00482A4A">
        <w:t>‘Strategic Assessment I</w:t>
      </w:r>
      <w:r w:rsidR="00677F87">
        <w:t>n Brief</w:t>
      </w:r>
      <w:r w:rsidR="00482A4A">
        <w:t>’</w:t>
      </w:r>
      <w:r w:rsidR="00677F87">
        <w:t xml:space="preserve"> </w:t>
      </w:r>
      <w:r w:rsidR="00482A4A">
        <w:t>s</w:t>
      </w:r>
      <w:r w:rsidRPr="00CC4F89">
        <w:t>ummary</w:t>
      </w:r>
      <w:r w:rsidR="00482A4A">
        <w:t xml:space="preserve"> which provides a more balance</w:t>
      </w:r>
      <w:r w:rsidR="001D395C">
        <w:t>d appraisal</w:t>
      </w:r>
      <w:r w:rsidR="00D40037">
        <w:t>.</w:t>
      </w:r>
    </w:p>
    <w:p w:rsidR="00071CB3" w:rsidRDefault="001D395C" w:rsidP="00071CB3">
      <w:pPr>
        <w:pStyle w:val="Para0bullet"/>
        <w:numPr>
          <w:ilvl w:val="0"/>
          <w:numId w:val="0"/>
        </w:numPr>
      </w:pPr>
      <w:r>
        <w:t xml:space="preserve">There is some </w:t>
      </w:r>
      <w:r w:rsidR="00071CB3" w:rsidRPr="00CC4F89">
        <w:t>lack of coherence between the structure and categorisation of drivers</w:t>
      </w:r>
      <w:r w:rsidR="00677F87">
        <w:t>, impacts and</w:t>
      </w:r>
      <w:r w:rsidR="00071CB3" w:rsidRPr="00CC4F89">
        <w:t xml:space="preserve"> condition that makes it difficult to determine if all of the key drivers and impacts have been adequat</w:t>
      </w:r>
      <w:r w:rsidR="00677F87">
        <w:t xml:space="preserve">ely considered in the condition and </w:t>
      </w:r>
      <w:r w:rsidR="00071CB3" w:rsidRPr="00CC4F89">
        <w:t xml:space="preserve">trends </w:t>
      </w:r>
      <w:r w:rsidR="00482A4A">
        <w:t>chapter</w:t>
      </w:r>
      <w:r w:rsidR="008A63FC">
        <w:t xml:space="preserve"> (Chapter 7)</w:t>
      </w:r>
      <w:r w:rsidR="00071CB3" w:rsidRPr="00CC4F89">
        <w:t xml:space="preserve">. </w:t>
      </w:r>
      <w:r w:rsidR="00677F87">
        <w:t xml:space="preserve">The </w:t>
      </w:r>
      <w:r w:rsidR="00D40037">
        <w:t xml:space="preserve">approach to the </w:t>
      </w:r>
      <w:r w:rsidR="00677F87">
        <w:t xml:space="preserve">identification of </w:t>
      </w:r>
      <w:r w:rsidR="00071CB3">
        <w:t>i</w:t>
      </w:r>
      <w:r w:rsidR="00071CB3" w:rsidRPr="00CC4F89">
        <w:t xml:space="preserve">nformation gaps is </w:t>
      </w:r>
      <w:r w:rsidR="00071CB3">
        <w:t>sound</w:t>
      </w:r>
      <w:r w:rsidR="00677F87">
        <w:t xml:space="preserve">, but in </w:t>
      </w:r>
      <w:r w:rsidR="00677F87">
        <w:lastRenderedPageBreak/>
        <w:t>its current form, presents as</w:t>
      </w:r>
      <w:r w:rsidR="00071CB3" w:rsidRPr="00CC4F89">
        <w:t xml:space="preserve"> an un</w:t>
      </w:r>
      <w:r w:rsidR="00D40037">
        <w:t>-</w:t>
      </w:r>
      <w:r w:rsidR="00071CB3" w:rsidRPr="00CC4F89">
        <w:t>prioritised catalogue of gaps</w:t>
      </w:r>
      <w:r w:rsidR="00677F87">
        <w:t>. Further analysis to determine the cost and benefits of filling each gap through management actions would improve the effectiveness of the assessment and assist the reader in reaching conclusions about the adequacy of the</w:t>
      </w:r>
      <w:r w:rsidR="00482A4A">
        <w:t xml:space="preserve"> proposed management</w:t>
      </w:r>
      <w:r w:rsidR="00677F87">
        <w:t xml:space="preserve"> response</w:t>
      </w:r>
      <w:r w:rsidR="00482A4A">
        <w:t>s.</w:t>
      </w:r>
      <w:r w:rsidR="00071CB3" w:rsidRPr="00CC4F89">
        <w:t xml:space="preserve"> </w:t>
      </w:r>
    </w:p>
    <w:p w:rsidR="00781EBD" w:rsidRDefault="00781EBD" w:rsidP="00781EBD">
      <w:pPr>
        <w:pStyle w:val="Para0"/>
      </w:pPr>
      <w:r>
        <w:t>Throughout the c</w:t>
      </w:r>
      <w:r w:rsidRPr="00366558">
        <w:t xml:space="preserve">hapters covering analyses of current and future condition and risk, the rates of decline in key biodiversity assets (coral reefs, seagrasses, endangered or vulnerable species) </w:t>
      </w:r>
      <w:r>
        <w:t>appear</w:t>
      </w:r>
      <w:r w:rsidRPr="00366558">
        <w:t xml:space="preserve"> to be underemphasi</w:t>
      </w:r>
      <w:r>
        <w:t>s</w:t>
      </w:r>
      <w:r w:rsidRPr="00366558">
        <w:t>ed. This seems in part due to the approach taken which gives equal weighting to every component of</w:t>
      </w:r>
      <w:r>
        <w:t xml:space="preserve"> the ecosystem – plankton and </w:t>
      </w:r>
      <w:r w:rsidRPr="00366558">
        <w:t xml:space="preserve">herbivorous fish are given equal </w:t>
      </w:r>
      <w:r>
        <w:t>weighting with coral reefs and sea</w:t>
      </w:r>
      <w:r w:rsidRPr="00366558">
        <w:t xml:space="preserve">grass habitats. </w:t>
      </w:r>
      <w:r w:rsidR="0086037A">
        <w:t>The apparent</w:t>
      </w:r>
      <w:r>
        <w:t xml:space="preserve"> under</w:t>
      </w:r>
      <w:r w:rsidRPr="00366558">
        <w:t xml:space="preserve">emphasis </w:t>
      </w:r>
      <w:r w:rsidR="0071469D">
        <w:t>(of key biodiversity assets</w:t>
      </w:r>
      <w:r w:rsidR="0086037A">
        <w:t xml:space="preserve">) </w:t>
      </w:r>
      <w:r w:rsidRPr="00366558">
        <w:t xml:space="preserve">is not mirrored in </w:t>
      </w:r>
      <w:r>
        <w:t xml:space="preserve">the </w:t>
      </w:r>
      <w:r w:rsidRPr="00366558">
        <w:t xml:space="preserve">Summary Chapter, nor </w:t>
      </w:r>
      <w:r>
        <w:t>the i</w:t>
      </w:r>
      <w:r w:rsidRPr="00366558">
        <w:t xml:space="preserve">ntroduction to the Program </w:t>
      </w:r>
      <w:r>
        <w:t>Report</w:t>
      </w:r>
      <w:r w:rsidRPr="00366558">
        <w:t xml:space="preserve">. It would </w:t>
      </w:r>
      <w:r>
        <w:t xml:space="preserve">be useful for analysis </w:t>
      </w:r>
      <w:r w:rsidRPr="00366558">
        <w:t>within these chapte</w:t>
      </w:r>
      <w:r>
        <w:t xml:space="preserve">rs to discuss how </w:t>
      </w:r>
      <w:r w:rsidR="007E1785">
        <w:t>GBRMPA</w:t>
      </w:r>
      <w:r w:rsidRPr="00366558">
        <w:t xml:space="preserve"> views the relative criticality of the various values and attributes they </w:t>
      </w:r>
      <w:r>
        <w:t>have sought to evaluate</w:t>
      </w:r>
      <w:r w:rsidRPr="00366558">
        <w:t xml:space="preserve">.  </w:t>
      </w:r>
    </w:p>
    <w:p w:rsidR="00071CB3" w:rsidRDefault="00071CB3" w:rsidP="00071CB3">
      <w:pPr>
        <w:pStyle w:val="Para0bullet"/>
        <w:numPr>
          <w:ilvl w:val="0"/>
          <w:numId w:val="0"/>
        </w:numPr>
      </w:pPr>
      <w:r>
        <w:t xml:space="preserve">At times there is an element of assumed information </w:t>
      </w:r>
      <w:r w:rsidR="0086037A">
        <w:t>which,</w:t>
      </w:r>
      <w:r>
        <w:t xml:space="preserve"> if stated</w:t>
      </w:r>
      <w:r w:rsidR="0086037A">
        <w:t>,</w:t>
      </w:r>
      <w:r>
        <w:t xml:space="preserve"> would add value to </w:t>
      </w:r>
      <w:r w:rsidR="00482A4A">
        <w:t xml:space="preserve">the </w:t>
      </w:r>
      <w:r>
        <w:t>reports, particularly for audience</w:t>
      </w:r>
      <w:r w:rsidR="0086037A">
        <w:t>s</w:t>
      </w:r>
      <w:r>
        <w:t xml:space="preserve"> unfamiliar with the Great Barrier Reef. For example, </w:t>
      </w:r>
      <w:r w:rsidR="00543E44">
        <w:t>p</w:t>
      </w:r>
      <w:r w:rsidRPr="003A12EC">
        <w:t xml:space="preserve">age 32 of </w:t>
      </w:r>
      <w:r w:rsidR="00543E44">
        <w:t xml:space="preserve">the </w:t>
      </w:r>
      <w:r w:rsidRPr="003A12EC">
        <w:t>Program Report</w:t>
      </w:r>
      <w:r>
        <w:t xml:space="preserve"> states that the </w:t>
      </w:r>
      <w:r w:rsidR="00D40037">
        <w:t>Reef Recovery P</w:t>
      </w:r>
      <w:r>
        <w:t xml:space="preserve">rogram will be </w:t>
      </w:r>
      <w:r w:rsidRPr="003A12EC">
        <w:t xml:space="preserve">rolled out with priority </w:t>
      </w:r>
      <w:r w:rsidR="00543E44">
        <w:t xml:space="preserve">given to Keppel Bay, Mackay, </w:t>
      </w:r>
      <w:r w:rsidRPr="003A12EC">
        <w:t>Townsville, P</w:t>
      </w:r>
      <w:r w:rsidR="001D395C">
        <w:t>rincess Charlotte and Bathurst b</w:t>
      </w:r>
      <w:r w:rsidRPr="003A12EC">
        <w:t>ays</w:t>
      </w:r>
      <w:r>
        <w:t xml:space="preserve">, without any reference to the reason for prioritising these locations. </w:t>
      </w:r>
      <w:r w:rsidRPr="003A12EC">
        <w:t xml:space="preserve">Demonstration case reports </w:t>
      </w:r>
      <w:r w:rsidR="00D40037">
        <w:t>were not available on the website at the time of the independent review, despite being well into the period for public comment on the draft assessment documents</w:t>
      </w:r>
      <w:r w:rsidRPr="003A12EC">
        <w:t>.</w:t>
      </w:r>
      <w:r>
        <w:t xml:space="preserve"> In the absence of the </w:t>
      </w:r>
      <w:r w:rsidR="00826B8E">
        <w:t xml:space="preserve">demonstration </w:t>
      </w:r>
      <w:r>
        <w:t>case</w:t>
      </w:r>
      <w:r w:rsidR="00D40037">
        <w:t xml:space="preserve"> reports</w:t>
      </w:r>
      <w:r>
        <w:t xml:space="preserve">, some further detail </w:t>
      </w:r>
      <w:r w:rsidR="00826B8E">
        <w:t>with</w:t>
      </w:r>
      <w:r>
        <w:t xml:space="preserve">in the </w:t>
      </w:r>
      <w:r w:rsidR="00D40037">
        <w:t xml:space="preserve">very </w:t>
      </w:r>
      <w:r>
        <w:t xml:space="preserve">concise summaries would </w:t>
      </w:r>
      <w:r w:rsidR="00BF2814">
        <w:t xml:space="preserve">have been </w:t>
      </w:r>
      <w:r>
        <w:t>valuable.</w:t>
      </w:r>
    </w:p>
    <w:p w:rsidR="0008721D" w:rsidRPr="002F1B32" w:rsidRDefault="002F1B32" w:rsidP="002F1B32">
      <w:pPr>
        <w:pStyle w:val="Para0"/>
      </w:pPr>
      <w:r>
        <w:t>The structure and logic</w:t>
      </w:r>
      <w:r w:rsidR="0008721D">
        <w:t xml:space="preserve"> of responses</w:t>
      </w:r>
      <w:r>
        <w:t xml:space="preserve"> to the issues rai</w:t>
      </w:r>
      <w:r w:rsidR="00071CB3">
        <w:t>sed in the Strategic Assessment (</w:t>
      </w:r>
      <w:r>
        <w:t>as outlined in Chapter 5 of the Program Report</w:t>
      </w:r>
      <w:r w:rsidR="00071CB3">
        <w:t>)</w:t>
      </w:r>
      <w:r>
        <w:t xml:space="preserve"> </w:t>
      </w:r>
      <w:r w:rsidR="00AB1FD4">
        <w:t>are appropriate</w:t>
      </w:r>
      <w:r>
        <w:t xml:space="preserve">. </w:t>
      </w:r>
      <w:r w:rsidR="0008721D">
        <w:t>Five new initiatives are proposed to enhance protection and reduce impacts on relevan</w:t>
      </w:r>
      <w:r w:rsidR="00071CB3">
        <w:t>t MNES. The outcomes and target-</w:t>
      </w:r>
      <w:r w:rsidR="0008721D">
        <w:t xml:space="preserve">based </w:t>
      </w:r>
      <w:r w:rsidR="00AB1FD4">
        <w:t>management</w:t>
      </w:r>
      <w:r w:rsidR="0008721D">
        <w:t xml:space="preserve"> framework</w:t>
      </w:r>
      <w:r w:rsidR="00071CB3">
        <w:t xml:space="preserve"> described</w:t>
      </w:r>
      <w:r w:rsidR="0008721D">
        <w:t xml:space="preserve"> is a sound approach</w:t>
      </w:r>
      <w:r w:rsidR="00071CB3">
        <w:t xml:space="preserve"> to improving the effectiveness of management action</w:t>
      </w:r>
      <w:r w:rsidR="000F3EC0">
        <w:t>s</w:t>
      </w:r>
      <w:r w:rsidR="00AB1FD4">
        <w:t>. However, t</w:t>
      </w:r>
      <w:r w:rsidR="0008721D">
        <w:t xml:space="preserve">he proposed targets </w:t>
      </w:r>
      <w:r w:rsidR="000F3EC0">
        <w:t xml:space="preserve">as described </w:t>
      </w:r>
      <w:r w:rsidR="0008721D">
        <w:t xml:space="preserve">are too vague, </w:t>
      </w:r>
      <w:r w:rsidR="00AB1FD4">
        <w:t>and essentially call</w:t>
      </w:r>
      <w:r w:rsidR="0008721D">
        <w:t xml:space="preserve"> for an unspecified level of improvement. </w:t>
      </w:r>
      <w:r w:rsidR="00071CB3">
        <w:t>In order to be effective, the process of</w:t>
      </w:r>
      <w:r w:rsidR="0008721D">
        <w:t xml:space="preserve"> setting targets will require scientific input and the development of conceptual and quantitative models. The cumulative impact policy and net benefit policy are important components of the response to the issues </w:t>
      </w:r>
      <w:r w:rsidR="00071CB3">
        <w:t>identified</w:t>
      </w:r>
      <w:r w:rsidR="0008721D">
        <w:t xml:space="preserve"> in the assessment, and will require a significant i</w:t>
      </w:r>
      <w:r w:rsidR="000F3EC0">
        <w:t>nvestment to be effective. Description of the Reef Recovery P</w:t>
      </w:r>
      <w:r w:rsidR="0008721D">
        <w:t xml:space="preserve">rogram would benefit from more information on </w:t>
      </w:r>
      <w:r w:rsidR="000F3EC0">
        <w:t>its</w:t>
      </w:r>
      <w:r w:rsidR="0008721D">
        <w:t xml:space="preserve"> intended scale and how this will be matched with the scale at which impacts </w:t>
      </w:r>
      <w:r w:rsidR="00826B8E">
        <w:t>occur</w:t>
      </w:r>
      <w:r w:rsidR="0008721D">
        <w:t>. The integrated monitoring program is also an important component</w:t>
      </w:r>
      <w:r w:rsidR="00071CB3">
        <w:t xml:space="preserve"> of the response</w:t>
      </w:r>
      <w:r w:rsidR="0008721D">
        <w:t xml:space="preserve">, and if designed appropriately </w:t>
      </w:r>
      <w:r w:rsidR="00543E44">
        <w:t xml:space="preserve">and fully </w:t>
      </w:r>
      <w:r w:rsidR="000F3EC0">
        <w:t xml:space="preserve">implemented, </w:t>
      </w:r>
      <w:r w:rsidR="0008721D">
        <w:t xml:space="preserve">could assess the effectiveness of the other four initiatives. </w:t>
      </w:r>
      <w:r w:rsidR="00826B8E">
        <w:t>However, the proposed</w:t>
      </w:r>
      <w:r w:rsidR="0008721D" w:rsidRPr="0008721D">
        <w:t xml:space="preserve"> five year time-frame for the development of the </w:t>
      </w:r>
      <w:r w:rsidR="0008721D">
        <w:t>integrated monitoring program</w:t>
      </w:r>
      <w:r w:rsidR="0008721D" w:rsidRPr="0008721D">
        <w:t xml:space="preserve"> is too long</w:t>
      </w:r>
      <w:r w:rsidR="00071CB3">
        <w:t xml:space="preserve"> to address the identified</w:t>
      </w:r>
      <w:r w:rsidR="0008721D" w:rsidRPr="0008721D">
        <w:t xml:space="preserve"> information gaps</w:t>
      </w:r>
      <w:r w:rsidR="000F3EC0">
        <w:t xml:space="preserve"> with </w:t>
      </w:r>
      <w:r w:rsidR="001D395C">
        <w:t xml:space="preserve">the </w:t>
      </w:r>
      <w:r w:rsidR="000F3EC0">
        <w:t>degree of urgency that is necessary.</w:t>
      </w:r>
      <w:r w:rsidR="0008721D" w:rsidRPr="0008721D">
        <w:t xml:space="preserve"> </w:t>
      </w:r>
    </w:p>
    <w:p w:rsidR="00A20319" w:rsidRDefault="00A20319" w:rsidP="00A20319">
      <w:pPr>
        <w:pStyle w:val="Heading2"/>
      </w:pPr>
      <w:bookmarkStart w:id="25" w:name="_Toc378857202"/>
      <w:r>
        <w:t>Goals and objectives</w:t>
      </w:r>
      <w:bookmarkEnd w:id="25"/>
    </w:p>
    <w:p w:rsidR="004A6B5B" w:rsidRDefault="003A12EC" w:rsidP="00DB05B9">
      <w:pPr>
        <w:pStyle w:val="Para0"/>
      </w:pPr>
      <w:r>
        <w:t>The purpose and aims of the Strategic Assessment are briefly summarised in Chapter 1 of the Program Report. A more comprehensive introduction is provided in Chapter 1 of the Assessment Report, including</w:t>
      </w:r>
      <w:r w:rsidR="00AC2830">
        <w:t xml:space="preserve"> a</w:t>
      </w:r>
      <w:r>
        <w:t xml:space="preserve"> </w:t>
      </w:r>
      <w:r w:rsidR="00CD5A17">
        <w:t>section</w:t>
      </w:r>
      <w:r>
        <w:t xml:space="preserve"> </w:t>
      </w:r>
      <w:r w:rsidR="00AC2830">
        <w:t>en</w:t>
      </w:r>
      <w:r>
        <w:t>titled “</w:t>
      </w:r>
      <w:r w:rsidR="004C7242">
        <w:t>W</w:t>
      </w:r>
      <w:r>
        <w:t xml:space="preserve">hy </w:t>
      </w:r>
      <w:r w:rsidR="004C7242">
        <w:t>U</w:t>
      </w:r>
      <w:r>
        <w:t xml:space="preserve">ndertake a </w:t>
      </w:r>
      <w:r w:rsidR="004C7242">
        <w:t>S</w:t>
      </w:r>
      <w:r>
        <w:t xml:space="preserve">trategic </w:t>
      </w:r>
      <w:r w:rsidR="004C7242">
        <w:t>Assessment?”</w:t>
      </w:r>
      <w:r>
        <w:t xml:space="preserve"> These sections </w:t>
      </w:r>
      <w:r w:rsidR="000F3EC0">
        <w:t>provide a good overview of the S</w:t>
      </w:r>
      <w:r>
        <w:t xml:space="preserve">trategic </w:t>
      </w:r>
      <w:r w:rsidR="000F3EC0">
        <w:t>A</w:t>
      </w:r>
      <w:r>
        <w:t xml:space="preserve">ssessment process and </w:t>
      </w:r>
      <w:r w:rsidR="000F3EC0">
        <w:t>relevant</w:t>
      </w:r>
      <w:r>
        <w:t xml:space="preserve"> background information</w:t>
      </w:r>
      <w:r w:rsidR="00BF2814">
        <w:t>,</w:t>
      </w:r>
      <w:r>
        <w:t xml:space="preserve"> such as the </w:t>
      </w:r>
      <w:r w:rsidR="00AC2830">
        <w:t xml:space="preserve">findings of the </w:t>
      </w:r>
      <w:r>
        <w:t>World Heritage Committee’s monitoring mission</w:t>
      </w:r>
      <w:r w:rsidR="00AC2830">
        <w:t xml:space="preserve"> to the Great Barrier Reef</w:t>
      </w:r>
      <w:r>
        <w:t xml:space="preserve"> in March 2012. The purpose of the Strategic Assessment is “to evaluate and improve </w:t>
      </w:r>
      <w:r w:rsidR="009E3DD8">
        <w:t>[</w:t>
      </w:r>
      <w:r w:rsidR="00B534D4">
        <w:t>GBRMPA</w:t>
      </w:r>
      <w:r w:rsidR="009E3DD8">
        <w:t xml:space="preserve">’s] effectiveness in managing existing and emerging risks to the Great Barrier Reef, focussing on the relevant MNES.” The </w:t>
      </w:r>
      <w:r w:rsidR="00826B8E">
        <w:t>Strategic A</w:t>
      </w:r>
      <w:r w:rsidR="009E3DD8">
        <w:t xml:space="preserve">ssessment is described as being part of the Australian Government’s adaptive approach to managing the Great Barrier Reef. Further details of the assessment approach are outlined in Chapter 2 of the Assessment Report. This includes a description of the legislative basis for the assessment, steps in the process and an overview of assessment methods. </w:t>
      </w:r>
    </w:p>
    <w:p w:rsidR="00DB05B9" w:rsidRDefault="00AC2830" w:rsidP="00DB05B9">
      <w:pPr>
        <w:pStyle w:val="Para0"/>
      </w:pPr>
      <w:r>
        <w:t>While these introductory sections are helpful, s</w:t>
      </w:r>
      <w:r w:rsidR="009E3DD8">
        <w:t>pecific objectives for the Strategic Ass</w:t>
      </w:r>
      <w:r>
        <w:t xml:space="preserve">essment </w:t>
      </w:r>
      <w:r w:rsidR="00826B8E">
        <w:t xml:space="preserve">(as opposed to the Program) </w:t>
      </w:r>
      <w:r>
        <w:t xml:space="preserve">are not clearly defined. Some </w:t>
      </w:r>
      <w:r w:rsidR="00CD5A17">
        <w:t>sections</w:t>
      </w:r>
      <w:r>
        <w:t>, for example</w:t>
      </w:r>
      <w:r w:rsidR="009E3DD8">
        <w:t xml:space="preserve"> ‘2.4 Principles’, outline key drivers that have underpinned development of the Strategic Assessment</w:t>
      </w:r>
      <w:r>
        <w:t>, but these differ from objectives of the assessment process</w:t>
      </w:r>
      <w:r w:rsidR="009E3DD8">
        <w:t xml:space="preserve">. </w:t>
      </w:r>
      <w:r>
        <w:t>The principles pro</w:t>
      </w:r>
      <w:r w:rsidR="009E3DD8">
        <w:t xml:space="preserve">vide relevant context on the assessment process and method, but </w:t>
      </w:r>
      <w:r>
        <w:t xml:space="preserve">provide no basis </w:t>
      </w:r>
      <w:r w:rsidR="009E3DD8">
        <w:t xml:space="preserve">to assess whether the objectives of the Strategic Assessment have been achieved. A more explicit list of objectives for the Strategic Assessment in Chapter 1 or 2 of the Assessment Report would provide greater clarity for the reader on </w:t>
      </w:r>
      <w:r w:rsidR="001B5DAF">
        <w:t>what the Strategic Assessment is intended to achieve and assist in evaluating and</w:t>
      </w:r>
      <w:r>
        <w:t>/or</w:t>
      </w:r>
      <w:r w:rsidR="001B5DAF">
        <w:t xml:space="preserve"> demonstrating its effectiveness in the concluding chapters.</w:t>
      </w:r>
      <w:r>
        <w:t xml:space="preserve"> Linking such discussion with an evaluation of </w:t>
      </w:r>
      <w:r>
        <w:lastRenderedPageBreak/>
        <w:t xml:space="preserve">whether the endorsement criteria have been met (see Section </w:t>
      </w:r>
      <w:r w:rsidR="00D01DB7">
        <w:t>8</w:t>
      </w:r>
      <w:r>
        <w:t xml:space="preserve"> of </w:t>
      </w:r>
      <w:r w:rsidR="00826B8E">
        <w:t>the Terms of Reference</w:t>
      </w:r>
      <w:r>
        <w:t>), is also recommended.</w:t>
      </w:r>
    </w:p>
    <w:p w:rsidR="00AB1FD4" w:rsidRDefault="00AB1FD4" w:rsidP="00AB1FD4">
      <w:pPr>
        <w:pStyle w:val="Heading2"/>
      </w:pPr>
      <w:bookmarkStart w:id="26" w:name="_Toc378857203"/>
      <w:r>
        <w:t>Description of management arrangements</w:t>
      </w:r>
      <w:bookmarkEnd w:id="26"/>
    </w:p>
    <w:p w:rsidR="00AB1FD4" w:rsidRDefault="00AB1FD4" w:rsidP="000E76A0">
      <w:pPr>
        <w:pStyle w:val="Para0"/>
      </w:pPr>
      <w:r>
        <w:t>The Program and Assessment Reports provide a</w:t>
      </w:r>
      <w:r w:rsidR="00CD5A17">
        <w:t xml:space="preserve">n informative </w:t>
      </w:r>
      <w:r>
        <w:t xml:space="preserve">summary of the </w:t>
      </w:r>
      <w:r w:rsidR="00826B8E">
        <w:t>history</w:t>
      </w:r>
      <w:r>
        <w:t xml:space="preserve"> of management of the Great Barrier Reef, the role of GBRMPA and the purpose and application of the</w:t>
      </w:r>
      <w:r w:rsidR="00207C72">
        <w:t xml:space="preserve"> </w:t>
      </w:r>
      <w:r w:rsidR="00207C72" w:rsidRPr="00207C72">
        <w:rPr>
          <w:i/>
        </w:rPr>
        <w:t>Great Barrier Reef Marine Park Act 1975</w:t>
      </w:r>
      <w:r>
        <w:t xml:space="preserve"> </w:t>
      </w:r>
      <w:r w:rsidR="00207C72">
        <w:t>(</w:t>
      </w:r>
      <w:r>
        <w:t>GBRMP Act</w:t>
      </w:r>
      <w:r w:rsidR="00207C72">
        <w:t>)</w:t>
      </w:r>
      <w:r>
        <w:t>. Intergovernmental management arrangements in place with Queensland are clearly outlined</w:t>
      </w:r>
      <w:r w:rsidR="00826B8E">
        <w:t>,</w:t>
      </w:r>
      <w:r>
        <w:t xml:space="preserve"> including variations to these arrangements during the history of joint management. </w:t>
      </w:r>
      <w:r w:rsidR="000E76A0" w:rsidRPr="001141D8">
        <w:t xml:space="preserve">The </w:t>
      </w:r>
      <w:r w:rsidR="00D175E1">
        <w:t xml:space="preserve">model applied to management of the </w:t>
      </w:r>
      <w:r w:rsidR="00826B8E">
        <w:t>Great Barrier Reef</w:t>
      </w:r>
      <w:r w:rsidR="000E76A0" w:rsidRPr="001141D8">
        <w:t xml:space="preserve"> </w:t>
      </w:r>
      <w:r w:rsidR="00D175E1">
        <w:t xml:space="preserve">has been </w:t>
      </w:r>
      <w:r w:rsidR="000E76A0">
        <w:t>described as</w:t>
      </w:r>
      <w:r>
        <w:t xml:space="preserve"> the ‘gold standard’ </w:t>
      </w:r>
      <w:r w:rsidR="00826B8E">
        <w:t xml:space="preserve">for </w:t>
      </w:r>
      <w:r w:rsidR="00D175E1">
        <w:t>large scale marine protected area management (UNESCO 2012)</w:t>
      </w:r>
      <w:r w:rsidR="000F3EC0">
        <w:t>,</w:t>
      </w:r>
      <w:r w:rsidR="00D175E1">
        <w:t xml:space="preserve"> and this is reflected in the description of current management arrangements</w:t>
      </w:r>
      <w:r>
        <w:t>. The description of management tools such as the application of zoning plan</w:t>
      </w:r>
      <w:r w:rsidR="004A6B5B">
        <w:t>s</w:t>
      </w:r>
      <w:r>
        <w:t>, plans of management and permits is clear and c</w:t>
      </w:r>
      <w:r w:rsidR="000F3EC0">
        <w:t>oncise. Demonstration cases summaries are brief</w:t>
      </w:r>
      <w:r w:rsidR="001D395C">
        <w:t xml:space="preserve"> and limit the reader’s appreciation of selected management examples, in the absence of the detailed supporting reports (which were not published at the time of this review)</w:t>
      </w:r>
      <w:r w:rsidR="00543E44">
        <w:t>. The</w:t>
      </w:r>
      <w:r w:rsidR="000F3EC0">
        <w:t xml:space="preserve"> </w:t>
      </w:r>
      <w:r w:rsidR="001D395C">
        <w:t>East Coast Trawl Fishery Demonstration C</w:t>
      </w:r>
      <w:r>
        <w:t xml:space="preserve">ase </w:t>
      </w:r>
      <w:r w:rsidR="000F3EC0">
        <w:t>would appear to be m</w:t>
      </w:r>
      <w:r>
        <w:t>ore</w:t>
      </w:r>
      <w:r w:rsidR="000F3EC0">
        <w:t xml:space="preserve"> appropriately</w:t>
      </w:r>
      <w:r>
        <w:t xml:space="preserve"> aligned with the </w:t>
      </w:r>
      <w:r w:rsidR="001D395C">
        <w:t>Queensland</w:t>
      </w:r>
      <w:r>
        <w:t xml:space="preserve"> </w:t>
      </w:r>
      <w:r w:rsidR="004A6B5B">
        <w:t>Program</w:t>
      </w:r>
      <w:r w:rsidR="00826B8E">
        <w:t>, since the Queensland Government is primarily responsible for fisheries management</w:t>
      </w:r>
      <w:r w:rsidR="000F3EC0">
        <w:t xml:space="preserve"> on the Great Barrier Reef.</w:t>
      </w:r>
    </w:p>
    <w:p w:rsidR="00AB1FD4" w:rsidRDefault="00AB1FD4" w:rsidP="00AB1FD4">
      <w:pPr>
        <w:pStyle w:val="Para0"/>
      </w:pPr>
      <w:r>
        <w:t>There is a t</w:t>
      </w:r>
      <w:r w:rsidRPr="00B472D5">
        <w:t xml:space="preserve">endency to break up the </w:t>
      </w:r>
      <w:r>
        <w:t>Great Barrier Reef</w:t>
      </w:r>
      <w:r w:rsidRPr="00B472D5">
        <w:t xml:space="preserve"> into jurisdictional components</w:t>
      </w:r>
      <w:r>
        <w:t xml:space="preserve"> during discussion, adding </w:t>
      </w:r>
      <w:r w:rsidRPr="00B472D5">
        <w:t xml:space="preserve">a degree of complexity that sometimes distracts from the overall message. </w:t>
      </w:r>
      <w:r>
        <w:t xml:space="preserve">On </w:t>
      </w:r>
      <w:r w:rsidRPr="00B472D5">
        <w:t xml:space="preserve">several occasions there is </w:t>
      </w:r>
      <w:r w:rsidR="000F3EC0">
        <w:t>specific reference to the Marine P</w:t>
      </w:r>
      <w:r>
        <w:t>ark</w:t>
      </w:r>
      <w:r w:rsidRPr="00B472D5">
        <w:t xml:space="preserve"> boundary </w:t>
      </w:r>
      <w:r>
        <w:t xml:space="preserve">when discussing management issues, </w:t>
      </w:r>
      <w:r w:rsidR="00826B8E">
        <w:t>even though that</w:t>
      </w:r>
      <w:r w:rsidRPr="00B472D5">
        <w:t xml:space="preserve"> is not the primary focus of the Strategic Assessment. </w:t>
      </w:r>
      <w:r w:rsidR="00A77EA2">
        <w:t>O</w:t>
      </w:r>
      <w:r w:rsidRPr="00B472D5">
        <w:t>n p</w:t>
      </w:r>
      <w:r w:rsidR="00826B8E">
        <w:t>age</w:t>
      </w:r>
      <w:r w:rsidRPr="00B472D5">
        <w:t xml:space="preserve"> 5-26</w:t>
      </w:r>
      <w:r>
        <w:t xml:space="preserve"> of the Assessment Report </w:t>
      </w:r>
      <w:r w:rsidR="00C2721D">
        <w:t xml:space="preserve">reference is made to </w:t>
      </w:r>
      <w:r w:rsidR="00A77EA2">
        <w:t xml:space="preserve">the number of ports within the Great Barrier Reef Marine Park, Region and World Heritage Area. There is limited subsequent discussion of impacts from ports, and as </w:t>
      </w:r>
      <w:r w:rsidR="00C2721D">
        <w:t>only two</w:t>
      </w:r>
      <w:r w:rsidRPr="00B472D5">
        <w:t xml:space="preserve"> ports </w:t>
      </w:r>
      <w:r w:rsidR="00A77EA2">
        <w:t>are</w:t>
      </w:r>
      <w:r w:rsidRPr="00B472D5">
        <w:t xml:space="preserve"> </w:t>
      </w:r>
      <w:r w:rsidR="000F3EC0">
        <w:t xml:space="preserve">located </w:t>
      </w:r>
      <w:r w:rsidR="00A77EA2">
        <w:t>within the marine p</w:t>
      </w:r>
      <w:r w:rsidRPr="00B472D5">
        <w:t>ark</w:t>
      </w:r>
      <w:r w:rsidR="004A6B5B">
        <w:t>,</w:t>
      </w:r>
      <w:r w:rsidRPr="00B472D5">
        <w:t xml:space="preserve"> </w:t>
      </w:r>
      <w:r w:rsidR="00A77EA2">
        <w:t xml:space="preserve">the implication is </w:t>
      </w:r>
      <w:r w:rsidRPr="00B472D5">
        <w:t xml:space="preserve">a lessening of concern </w:t>
      </w:r>
      <w:r>
        <w:t>for the impacts of port activities on the Great Barrier Reef</w:t>
      </w:r>
      <w:r w:rsidRPr="00B472D5">
        <w:t xml:space="preserve">. The Report should </w:t>
      </w:r>
      <w:r>
        <w:t>focus</w:t>
      </w:r>
      <w:r w:rsidR="000F3EC0">
        <w:t xml:space="preserve"> </w:t>
      </w:r>
      <w:r w:rsidR="0071469D">
        <w:t>its</w:t>
      </w:r>
      <w:r w:rsidR="000F3EC0">
        <w:t xml:space="preserve"> assessment</w:t>
      </w:r>
      <w:r>
        <w:t xml:space="preserve"> </w:t>
      </w:r>
      <w:r w:rsidR="0071469D">
        <w:t xml:space="preserve">on all MNES of </w:t>
      </w:r>
      <w:r>
        <w:t>the Great Barrier Reef</w:t>
      </w:r>
      <w:r w:rsidR="00826B8E">
        <w:t>, and</w:t>
      </w:r>
      <w:r w:rsidRPr="00B472D5">
        <w:t xml:space="preserve"> the </w:t>
      </w:r>
      <w:r w:rsidR="0071469D">
        <w:t>W</w:t>
      </w:r>
      <w:r w:rsidR="004A6B5B">
        <w:t xml:space="preserve">orld </w:t>
      </w:r>
      <w:r w:rsidR="0071469D">
        <w:t>H</w:t>
      </w:r>
      <w:r w:rsidR="004A6B5B">
        <w:t xml:space="preserve">eritage </w:t>
      </w:r>
      <w:r w:rsidR="0071469D">
        <w:t>A</w:t>
      </w:r>
      <w:r w:rsidR="004A6B5B">
        <w:t>rea</w:t>
      </w:r>
      <w:r w:rsidRPr="00B472D5">
        <w:t xml:space="preserve"> </w:t>
      </w:r>
      <w:r w:rsidR="00A77EA2">
        <w:t>(and region) provide</w:t>
      </w:r>
      <w:r w:rsidRPr="00B472D5">
        <w:t xml:space="preserve"> </w:t>
      </w:r>
      <w:r w:rsidR="0071469D">
        <w:t>a larger geographic area than the marine park</w:t>
      </w:r>
      <w:r w:rsidRPr="00B472D5">
        <w:t xml:space="preserve">. </w:t>
      </w:r>
      <w:r w:rsidR="004A6B5B">
        <w:t xml:space="preserve">Some important aspects of management </w:t>
      </w:r>
      <w:r w:rsidR="00826B8E">
        <w:t xml:space="preserve">(such as </w:t>
      </w:r>
      <w:r w:rsidR="000F3EC0">
        <w:t xml:space="preserve">the regulation of </w:t>
      </w:r>
      <w:r w:rsidR="00826B8E">
        <w:t xml:space="preserve">port development) </w:t>
      </w:r>
      <w:r w:rsidR="004A6B5B">
        <w:t xml:space="preserve">are given limited attention without explanation, possibly as they are more relevant to the </w:t>
      </w:r>
      <w:r w:rsidR="00826B8E">
        <w:t xml:space="preserve">Queensland Government’s </w:t>
      </w:r>
      <w:r w:rsidR="004A6B5B">
        <w:t>Coastal Zone assessment. If so, further explanatory text to assist the rea</w:t>
      </w:r>
      <w:r w:rsidR="000F3EC0">
        <w:t>der in understanding such interrelationships is</w:t>
      </w:r>
      <w:r w:rsidR="004A6B5B">
        <w:t xml:space="preserve"> suggested.</w:t>
      </w:r>
    </w:p>
    <w:p w:rsidR="00D00397" w:rsidRDefault="00AB1FD4" w:rsidP="00AB1FD4">
      <w:pPr>
        <w:pStyle w:val="Para0"/>
      </w:pPr>
      <w:r>
        <w:t xml:space="preserve">When discussing world heritage values and OUV, the terms </w:t>
      </w:r>
      <w:r w:rsidR="004A6B5B">
        <w:t>‘</w:t>
      </w:r>
      <w:r>
        <w:t>values</w:t>
      </w:r>
      <w:r w:rsidR="004A6B5B">
        <w:t>’</w:t>
      </w:r>
      <w:r>
        <w:t xml:space="preserve">, </w:t>
      </w:r>
      <w:r w:rsidR="004A6B5B">
        <w:t>‘</w:t>
      </w:r>
      <w:r>
        <w:t>elements</w:t>
      </w:r>
      <w:r w:rsidR="004A6B5B">
        <w:t>’</w:t>
      </w:r>
      <w:r>
        <w:t xml:space="preserve"> and </w:t>
      </w:r>
      <w:r w:rsidR="004A6B5B">
        <w:t>‘</w:t>
      </w:r>
      <w:r>
        <w:t>attributes</w:t>
      </w:r>
      <w:r w:rsidR="004A6B5B">
        <w:t>’</w:t>
      </w:r>
      <w:r>
        <w:t xml:space="preserve"> are referred to interchangeably</w:t>
      </w:r>
      <w:r w:rsidR="004A6B5B">
        <w:t>,</w:t>
      </w:r>
      <w:r>
        <w:t xml:space="preserve"> </w:t>
      </w:r>
      <w:r w:rsidR="00826B8E">
        <w:t xml:space="preserve">resulting in some </w:t>
      </w:r>
      <w:r>
        <w:t xml:space="preserve">confusion </w:t>
      </w:r>
      <w:r w:rsidR="000F3EC0">
        <w:t>at times</w:t>
      </w:r>
      <w:r>
        <w:t xml:space="preserve">. Assessment of the impacts on the OUV of the </w:t>
      </w:r>
      <w:r w:rsidR="0071469D">
        <w:t>World H</w:t>
      </w:r>
      <w:r w:rsidRPr="0071469D">
        <w:t xml:space="preserve">eritage </w:t>
      </w:r>
      <w:r w:rsidR="0071469D">
        <w:t>A</w:t>
      </w:r>
      <w:r w:rsidRPr="0071469D">
        <w:t>rea</w:t>
      </w:r>
      <w:r>
        <w:t xml:space="preserve"> and effects on its integrity are very difficult for a large and complex property such as the Great Barrier Reef. The situation described</w:t>
      </w:r>
      <w:r w:rsidR="00C2721D">
        <w:t xml:space="preserve"> in the A</w:t>
      </w:r>
      <w:r w:rsidR="004A6B5B">
        <w:t>ssessment</w:t>
      </w:r>
      <w:r>
        <w:t xml:space="preserve"> is one of continuing significant loss of attribute conservation over a substantial part of the </w:t>
      </w:r>
      <w:r w:rsidR="00D00397">
        <w:t xml:space="preserve">World Heritage Area </w:t>
      </w:r>
      <w:r>
        <w:t xml:space="preserve">(the southern area </w:t>
      </w:r>
      <w:r w:rsidR="00826B8E">
        <w:t>in particular</w:t>
      </w:r>
      <w:r>
        <w:t xml:space="preserve">). </w:t>
      </w:r>
      <w:r w:rsidR="00E749AE">
        <w:t>These</w:t>
      </w:r>
      <w:r w:rsidR="00826B8E">
        <w:t xml:space="preserve"> loss</w:t>
      </w:r>
      <w:r w:rsidR="00E749AE">
        <w:t>es generally result from</w:t>
      </w:r>
      <w:r>
        <w:t xml:space="preserve"> cumulative impacts</w:t>
      </w:r>
      <w:r w:rsidR="00E749AE">
        <w:t xml:space="preserve"> of </w:t>
      </w:r>
      <w:r>
        <w:t xml:space="preserve">multiple </w:t>
      </w:r>
      <w:r w:rsidR="00E749AE">
        <w:t xml:space="preserve">pressures at many </w:t>
      </w:r>
      <w:r>
        <w:t>locations. Because of the long period of decline for at least some measured variables</w:t>
      </w:r>
      <w:r w:rsidR="004A6B5B">
        <w:t>,</w:t>
      </w:r>
      <w:r>
        <w:t xml:space="preserve"> it does seem probable that </w:t>
      </w:r>
      <w:r w:rsidR="00C656DE">
        <w:t>further</w:t>
      </w:r>
      <w:r w:rsidR="00251DD9">
        <w:t xml:space="preserve"> </w:t>
      </w:r>
      <w:r w:rsidR="005A0687">
        <w:t xml:space="preserve">degradation </w:t>
      </w:r>
      <w:r>
        <w:t>of OUV will occur</w:t>
      </w:r>
      <w:r w:rsidR="00404BB1">
        <w:t xml:space="preserve">. </w:t>
      </w:r>
    </w:p>
    <w:p w:rsidR="00AB1FD4" w:rsidRDefault="00404BB1" w:rsidP="00AB1FD4">
      <w:pPr>
        <w:pStyle w:val="Para0"/>
      </w:pPr>
      <w:r>
        <w:t>Emphasising the region-</w:t>
      </w:r>
      <w:r w:rsidR="00AB1FD4">
        <w:t xml:space="preserve">wide scale </w:t>
      </w:r>
      <w:r w:rsidR="00D00397">
        <w:t xml:space="preserve">of the Strategic Assessment </w:t>
      </w:r>
      <w:r>
        <w:t>allows</w:t>
      </w:r>
      <w:r w:rsidR="00AB1FD4">
        <w:t xml:space="preserve"> good conditions in some places (or with some attributes) </w:t>
      </w:r>
      <w:r>
        <w:t xml:space="preserve">to </w:t>
      </w:r>
      <w:r w:rsidR="00AB1FD4">
        <w:t xml:space="preserve">offset the </w:t>
      </w:r>
      <w:r>
        <w:t>poor condition</w:t>
      </w:r>
      <w:r w:rsidR="00AB1FD4">
        <w:t xml:space="preserve"> of other places or attributes (at a coarse level, the northern section </w:t>
      </w:r>
      <w:r w:rsidR="00D00397">
        <w:t>compensates for</w:t>
      </w:r>
      <w:r w:rsidR="00AB1FD4">
        <w:t xml:space="preserve"> the southern section)</w:t>
      </w:r>
      <w:r w:rsidR="00BC72C6">
        <w:t xml:space="preserve"> when considered as a whole</w:t>
      </w:r>
      <w:r w:rsidR="00AB1FD4">
        <w:t xml:space="preserve">. A focus on the large scale also </w:t>
      </w:r>
      <w:r>
        <w:t>overlooks</w:t>
      </w:r>
      <w:r w:rsidR="00AB1FD4">
        <w:t xml:space="preserve"> the </w:t>
      </w:r>
      <w:r>
        <w:t>local significance of reef</w:t>
      </w:r>
      <w:r w:rsidR="00AB1FD4">
        <w:t xml:space="preserve"> </w:t>
      </w:r>
      <w:r w:rsidR="00A77EA2">
        <w:t>deterioration</w:t>
      </w:r>
      <w:r w:rsidR="00AB1FD4">
        <w:t xml:space="preserve"> site by site. It </w:t>
      </w:r>
      <w:r w:rsidR="00BC72C6">
        <w:t>is recommended that such considerations be further expanded in Cha</w:t>
      </w:r>
      <w:r w:rsidR="00576CC3">
        <w:t>pter 6 of the assessment report and linked with the description of existing management effectiveness.</w:t>
      </w:r>
    </w:p>
    <w:p w:rsidR="00AB1FD4" w:rsidRDefault="00AB1FD4" w:rsidP="001B1840">
      <w:pPr>
        <w:pStyle w:val="Para0bullet"/>
        <w:numPr>
          <w:ilvl w:val="0"/>
          <w:numId w:val="0"/>
        </w:numPr>
      </w:pPr>
    </w:p>
    <w:p w:rsidR="00D055DA" w:rsidRDefault="00C2721D" w:rsidP="00D055DA">
      <w:pPr>
        <w:pStyle w:val="Heading1"/>
      </w:pPr>
      <w:bookmarkStart w:id="27" w:name="_Toc378857204"/>
      <w:r>
        <w:lastRenderedPageBreak/>
        <w:t>Breadth and d</w:t>
      </w:r>
      <w:r w:rsidR="00D055DA">
        <w:t xml:space="preserve">epth </w:t>
      </w:r>
      <w:r>
        <w:t>of a</w:t>
      </w:r>
      <w:r w:rsidR="00E717CD">
        <w:t>ssessment</w:t>
      </w:r>
      <w:bookmarkEnd w:id="27"/>
    </w:p>
    <w:p w:rsidR="00FF54EC" w:rsidRDefault="00FF54EC" w:rsidP="00D04395">
      <w:pPr>
        <w:pStyle w:val="Heading2"/>
      </w:pPr>
      <w:bookmarkStart w:id="28" w:name="_Toc378857205"/>
      <w:r>
        <w:t>Introduction</w:t>
      </w:r>
      <w:bookmarkEnd w:id="28"/>
    </w:p>
    <w:p w:rsidR="000F41F8" w:rsidRDefault="000E57BC" w:rsidP="000F41F8">
      <w:pPr>
        <w:pStyle w:val="Para0"/>
      </w:pPr>
      <w:r>
        <w:rPr>
          <w:b/>
          <w:noProof/>
          <w:color w:val="310F47" w:themeColor="text1" w:themeShade="BF"/>
          <w:lang w:eastAsia="en-AU"/>
        </w:rPr>
        <mc:AlternateContent>
          <mc:Choice Requires="wps">
            <w:drawing>
              <wp:anchor distT="0" distB="0" distL="114300" distR="114300" simplePos="0" relativeHeight="251665408" behindDoc="0" locked="0" layoutInCell="1" allowOverlap="1">
                <wp:simplePos x="0" y="0"/>
                <wp:positionH relativeFrom="column">
                  <wp:posOffset>2813685</wp:posOffset>
                </wp:positionH>
                <wp:positionV relativeFrom="paragraph">
                  <wp:posOffset>69215</wp:posOffset>
                </wp:positionV>
                <wp:extent cx="3528060" cy="4638675"/>
                <wp:effectExtent l="38100" t="38100" r="110490" b="123825"/>
                <wp:wrapSquare wrapText="bothSides"/>
                <wp:docPr id="80" name="Rounded 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28060" cy="4638675"/>
                        </a:xfrm>
                        <a:prstGeom prst="roundRect">
                          <a:avLst/>
                        </a:prstGeom>
                        <a:solidFill>
                          <a:schemeClr val="accent6">
                            <a:lumMod val="20000"/>
                            <a:lumOff val="80000"/>
                          </a:schemeClr>
                        </a:solidFill>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233787" w:rsidRDefault="00233787" w:rsidP="00DB05B9">
                            <w:pPr>
                              <w:spacing w:before="40" w:after="40"/>
                              <w:ind w:right="-104"/>
                              <w:rPr>
                                <w:rFonts w:asciiTheme="minorHAnsi" w:hAnsiTheme="minorHAnsi"/>
                                <w:b/>
                                <w:color w:val="7030A0"/>
                                <w:sz w:val="22"/>
                              </w:rPr>
                            </w:pPr>
                            <w:r>
                              <w:rPr>
                                <w:rFonts w:asciiTheme="minorHAnsi" w:hAnsiTheme="minorHAnsi"/>
                                <w:b/>
                                <w:color w:val="7030A0"/>
                                <w:sz w:val="22"/>
                              </w:rPr>
                              <w:t xml:space="preserve">A successful balance has generally been achieved between the depth of the assessment of a variety of issues and the need to provide a concise report which can be understood by a variety of stakeholders. The breadth and depth of analysis is adequate, and with some improvements to direct the focus of future management actions, will be a highly successful element of the Strategic Assessment as a whole. Expanding GBRMPA’s role in partnerships and collaboration may assist in improving the achievement of management outcomes in areas such as water quality. </w:t>
                            </w:r>
                          </w:p>
                          <w:p w:rsidR="00233787" w:rsidRPr="00EB16DA" w:rsidRDefault="00233787" w:rsidP="00DB05B9">
                            <w:pPr>
                              <w:spacing w:before="40" w:after="40"/>
                              <w:ind w:right="-104"/>
                              <w:rPr>
                                <w:rFonts w:asciiTheme="minorHAnsi" w:hAnsiTheme="minorHAnsi"/>
                                <w:b/>
                                <w:color w:val="7030A0"/>
                                <w:sz w:val="22"/>
                              </w:rPr>
                            </w:pPr>
                            <w:r>
                              <w:rPr>
                                <w:rFonts w:asciiTheme="minorHAnsi" w:hAnsiTheme="minorHAnsi"/>
                                <w:b/>
                                <w:color w:val="7030A0"/>
                                <w:sz w:val="22"/>
                              </w:rPr>
                              <w:t>Some elements of the assessment are given limited attention without explanation, including the management of port activities, island management and managing for resilience in the face of climate change. The commitment to developing outcome-based targets in response to the identification of shortcomings in the effectiveness of current management activities is one highlight of the assessment process. There is no comprehensive discussion about resourcing the Program, which undermines confidence in its ability to halt the decline of MNES.</w:t>
                            </w:r>
                          </w:p>
                          <w:p w:rsidR="00233787" w:rsidRDefault="00233787" w:rsidP="0091267F">
                            <w:pPr>
                              <w:ind w:right="-104"/>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0" o:spid="_x0000_s1028" style="position:absolute;margin-left:221.55pt;margin-top:5.45pt;width:277.8pt;height:365.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" fillcolor="#dce6f2 [665]" strokecolor="#78736b [1604]" strokeweight="2pt">
                <v:shadow on="t" color="black" opacity="26214f" origin="-.5,-.5" offset=".74836mm,.74836mm"/>
                <v:path arrowok="t"/>
                <v:textbox>
                  <w:txbxContent>
                    <w:p w:rsidR="00233787" w:rsidRDefault="00233787" w:rsidP="00DB05B9">
                      <w:pPr>
                        <w:spacing w:before="40" w:after="40"/>
                        <w:ind w:right="-104"/>
                        <w:rPr>
                          <w:rFonts w:asciiTheme="minorHAnsi" w:hAnsiTheme="minorHAnsi"/>
                          <w:b/>
                          <w:color w:val="7030A0"/>
                          <w:sz w:val="22"/>
                        </w:rPr>
                      </w:pPr>
                      <w:r>
                        <w:rPr>
                          <w:rFonts w:asciiTheme="minorHAnsi" w:hAnsiTheme="minorHAnsi"/>
                          <w:b/>
                          <w:color w:val="7030A0"/>
                          <w:sz w:val="22"/>
                        </w:rPr>
                        <w:t xml:space="preserve">A successful balance has generally been achieved between the depth of the assessment of a variety of issues and the need to provide a concise report which can be understood by a variety of stakeholders. The breadth and depth of analysis is adequate, and with some improvements to direct the focus of future management actions, will be a highly successful element of the Strategic Assessment as a whole. Expanding GBRMPA’s role in partnerships and collaboration may assist in improving the achievement of management outcomes in areas such as water quality. </w:t>
                      </w:r>
                    </w:p>
                    <w:p w:rsidR="00233787" w:rsidRPr="00EB16DA" w:rsidRDefault="00233787" w:rsidP="00DB05B9">
                      <w:pPr>
                        <w:spacing w:before="40" w:after="40"/>
                        <w:ind w:right="-104"/>
                        <w:rPr>
                          <w:rFonts w:asciiTheme="minorHAnsi" w:hAnsiTheme="minorHAnsi"/>
                          <w:b/>
                          <w:color w:val="7030A0"/>
                          <w:sz w:val="22"/>
                        </w:rPr>
                      </w:pPr>
                      <w:r>
                        <w:rPr>
                          <w:rFonts w:asciiTheme="minorHAnsi" w:hAnsiTheme="minorHAnsi"/>
                          <w:b/>
                          <w:color w:val="7030A0"/>
                          <w:sz w:val="22"/>
                        </w:rPr>
                        <w:t>Some elements of the assessment are given limited attention without explanation, including the management of port activities, island management and managing for resilience in the face of climate change. The commitment to developing outcome-based targets in response to the identification of shortcomings in the effectiveness of current management activities is one highlight of the assessment process. There is no comprehensive discussion about resourcing the Program, which undermines confidence in its ability to halt the decline of MNES.</w:t>
                      </w:r>
                    </w:p>
                    <w:p w:rsidR="00233787" w:rsidRDefault="00233787" w:rsidP="0091267F">
                      <w:pPr>
                        <w:ind w:right="-104"/>
                        <w:jc w:val="center"/>
                      </w:pPr>
                    </w:p>
                  </w:txbxContent>
                </v:textbox>
                <w10:wrap type="square"/>
              </v:roundrect>
            </w:pict>
          </mc:Fallback>
        </mc:AlternateContent>
      </w:r>
      <w:r w:rsidR="00417594">
        <w:t>This section</w:t>
      </w:r>
      <w:r w:rsidR="00FF54EC">
        <w:t xml:space="preserve"> evaluates the breadth and depth of the Strategic Assessment, focussing on the coverage of key issues affecting the Great Barrier Reef </w:t>
      </w:r>
      <w:r w:rsidR="00DB05B9">
        <w:t>Region</w:t>
      </w:r>
      <w:r w:rsidR="00FF54EC">
        <w:t xml:space="preserve"> and the level of detail applied to the assessment. </w:t>
      </w:r>
      <w:r w:rsidR="0063374D">
        <w:t xml:space="preserve">The comprehensiveness of the assessment is discussed and any areas that have been overlooked or require more detailed assessment have been identified. </w:t>
      </w:r>
    </w:p>
    <w:p w:rsidR="00D04395" w:rsidRDefault="00743FDB" w:rsidP="00D04395">
      <w:pPr>
        <w:pStyle w:val="Heading2"/>
      </w:pPr>
      <w:bookmarkStart w:id="29" w:name="_Toc378857206"/>
      <w:r>
        <w:t>Overview</w:t>
      </w:r>
      <w:bookmarkEnd w:id="29"/>
    </w:p>
    <w:p w:rsidR="00743FDB" w:rsidRDefault="007B22A8" w:rsidP="000E0FB0">
      <w:pPr>
        <w:pStyle w:val="Para0"/>
      </w:pPr>
      <w:r>
        <w:t>Potential impediments</w:t>
      </w:r>
      <w:r w:rsidR="00743FDB">
        <w:t xml:space="preserve"> </w:t>
      </w:r>
      <w:r w:rsidR="00CD0694">
        <w:t xml:space="preserve">to the assessment </w:t>
      </w:r>
      <w:r w:rsidR="00743FDB">
        <w:t xml:space="preserve">associated with the large geographic extent of the study area and diversity of issues requiring consideration have been </w:t>
      </w:r>
      <w:r w:rsidR="00CD0694">
        <w:t>overcome</w:t>
      </w:r>
      <w:r w:rsidR="00743FDB">
        <w:t xml:space="preserve"> </w:t>
      </w:r>
      <w:r w:rsidR="00CD0694">
        <w:t>successfully</w:t>
      </w:r>
      <w:r>
        <w:t xml:space="preserve">. The Program and Assessment Reports are </w:t>
      </w:r>
      <w:r w:rsidR="00743FDB">
        <w:t xml:space="preserve">broad and detailed, and </w:t>
      </w:r>
      <w:r>
        <w:t>have</w:t>
      </w:r>
      <w:r w:rsidR="00743FDB">
        <w:t xml:space="preserve"> been effective in </w:t>
      </w:r>
      <w:r>
        <w:t>articulating a balanced</w:t>
      </w:r>
      <w:r w:rsidR="00743FDB">
        <w:t xml:space="preserve"> coverage of the material issues </w:t>
      </w:r>
      <w:r w:rsidR="00CD0694">
        <w:t xml:space="preserve">for the </w:t>
      </w:r>
      <w:r w:rsidR="00743FDB">
        <w:t>Great Barrier Reef. M</w:t>
      </w:r>
      <w:r w:rsidR="00222780">
        <w:t>anagement activities and impacts</w:t>
      </w:r>
      <w:r w:rsidR="00743FDB">
        <w:t xml:space="preserve"> are considered</w:t>
      </w:r>
      <w:r w:rsidR="00222780">
        <w:t xml:space="preserve"> at a variety of scales, </w:t>
      </w:r>
      <w:r w:rsidR="00404BB1">
        <w:t>although the broader picture</w:t>
      </w:r>
      <w:r w:rsidR="00C14E6E">
        <w:t xml:space="preserve"> </w:t>
      </w:r>
      <w:r w:rsidR="00C2721D">
        <w:t xml:space="preserve">has </w:t>
      </w:r>
      <w:r w:rsidR="00C14E6E">
        <w:t>continuous emphasis</w:t>
      </w:r>
      <w:r w:rsidR="000E0FB0" w:rsidRPr="00C71AA5">
        <w:t>.</w:t>
      </w:r>
      <w:r w:rsidR="00222780">
        <w:t xml:space="preserve"> The legislative basis of </w:t>
      </w:r>
      <w:r w:rsidR="007E1785">
        <w:t>GBRMPA’s</w:t>
      </w:r>
      <w:r w:rsidR="00222780">
        <w:t xml:space="preserve"> management actions are well described, including joint management arrangements with the Queensland Government. </w:t>
      </w:r>
    </w:p>
    <w:p w:rsidR="000E0FB0" w:rsidRDefault="00222780" w:rsidP="000E0FB0">
      <w:pPr>
        <w:pStyle w:val="Para0"/>
      </w:pPr>
      <w:r>
        <w:t xml:space="preserve">Application of the GBRMP Act outside of the marine park </w:t>
      </w:r>
      <w:r w:rsidR="001610DD">
        <w:t xml:space="preserve">boundary </w:t>
      </w:r>
      <w:r>
        <w:t>could be fu</w:t>
      </w:r>
      <w:r w:rsidR="007B22A8">
        <w:t xml:space="preserve">rther clarified. </w:t>
      </w:r>
      <w:r w:rsidR="00CD5A17" w:rsidRPr="00CD5A17">
        <w:t>Section</w:t>
      </w:r>
      <w:r w:rsidR="007B22A8" w:rsidRPr="00CD5A17">
        <w:t> </w:t>
      </w:r>
      <w:r w:rsidRPr="00CD5A17">
        <w:t>3</w:t>
      </w:r>
      <w:r>
        <w:t>.3 of the Assessment Report describes</w:t>
      </w:r>
      <w:r w:rsidR="000E0FB0" w:rsidRPr="00C71AA5">
        <w:t xml:space="preserve"> powers for GBRMPA to address activities outs</w:t>
      </w:r>
      <w:r w:rsidR="007B22A8">
        <w:t xml:space="preserve">ide the marine park, where these </w:t>
      </w:r>
      <w:r w:rsidR="000E0FB0" w:rsidRPr="00C71AA5">
        <w:t>influence</w:t>
      </w:r>
      <w:r>
        <w:t xml:space="preserve"> </w:t>
      </w:r>
      <w:r w:rsidR="00F21569">
        <w:t xml:space="preserve">the </w:t>
      </w:r>
      <w:r>
        <w:t>marine park</w:t>
      </w:r>
      <w:r w:rsidR="000E0FB0" w:rsidRPr="00C71AA5">
        <w:t xml:space="preserve">. </w:t>
      </w:r>
      <w:r w:rsidR="001610DD">
        <w:t xml:space="preserve">Given the </w:t>
      </w:r>
      <w:r w:rsidR="007B22A8">
        <w:t xml:space="preserve">continuing reference </w:t>
      </w:r>
      <w:r w:rsidR="00CD0694">
        <w:t xml:space="preserve">throughout the assessment </w:t>
      </w:r>
      <w:r w:rsidR="007B22A8">
        <w:t xml:space="preserve">to the </w:t>
      </w:r>
      <w:r w:rsidR="001610DD">
        <w:t>significance of threats external to the marine park, i</w:t>
      </w:r>
      <w:r>
        <w:t>t is unclear whether these powers are regularly app</w:t>
      </w:r>
      <w:r w:rsidR="00CD0694">
        <w:t>lied, and why</w:t>
      </w:r>
      <w:r w:rsidR="00767DF9">
        <w:t xml:space="preserve"> for example,</w:t>
      </w:r>
      <w:r w:rsidR="00CD0694">
        <w:t xml:space="preserve"> their application</w:t>
      </w:r>
      <w:r>
        <w:t xml:space="preserve"> in the Great Barrier Reef catchment is not discussed. Further additional </w:t>
      </w:r>
      <w:r w:rsidR="007B22A8">
        <w:t>information</w:t>
      </w:r>
      <w:r>
        <w:t xml:space="preserve"> would add </w:t>
      </w:r>
      <w:r w:rsidR="007B22A8">
        <w:t>depth</w:t>
      </w:r>
      <w:r>
        <w:t xml:space="preserve"> to the </w:t>
      </w:r>
      <w:r w:rsidR="007B22A8">
        <w:t>analysis of legislative instruments under the Program</w:t>
      </w:r>
      <w:r>
        <w:t xml:space="preserve"> and clarify the extent of GBRMPA’s management jurisdiction. </w:t>
      </w:r>
    </w:p>
    <w:p w:rsidR="00743FDB" w:rsidRDefault="00743FDB" w:rsidP="00743FDB">
      <w:pPr>
        <w:pStyle w:val="Heading2"/>
      </w:pPr>
      <w:bookmarkStart w:id="30" w:name="_Toc378857207"/>
      <w:r>
        <w:t>Environmental assessments</w:t>
      </w:r>
      <w:bookmarkEnd w:id="30"/>
    </w:p>
    <w:p w:rsidR="00731FDA" w:rsidRDefault="00D82C13" w:rsidP="00D82C13">
      <w:pPr>
        <w:pStyle w:val="Para0"/>
      </w:pPr>
      <w:r>
        <w:t xml:space="preserve">Chapter 7 of the Assessment Report considers the current condition and trend of the Great Barrier Reef. </w:t>
      </w:r>
      <w:r w:rsidR="00D559FF">
        <w:t xml:space="preserve">There has been a strong reliance on stakeholder workshops and expert opinion to guide some aspects of the </w:t>
      </w:r>
      <w:r w:rsidR="00F576DA">
        <w:t>a</w:t>
      </w:r>
      <w:r w:rsidR="00743FDB">
        <w:t xml:space="preserve">ssessment. While </w:t>
      </w:r>
      <w:r w:rsidR="00F21569">
        <w:t>the engagement of stakeholders and scientific specialists is a</w:t>
      </w:r>
      <w:r w:rsidR="00743FDB">
        <w:t xml:space="preserve"> </w:t>
      </w:r>
      <w:r w:rsidR="00D559FF">
        <w:t>strength</w:t>
      </w:r>
      <w:r w:rsidR="00F21569">
        <w:t xml:space="preserve"> of the Assessment</w:t>
      </w:r>
      <w:r w:rsidR="00D559FF">
        <w:t xml:space="preserve">, it has also </w:t>
      </w:r>
      <w:r w:rsidR="00F21569">
        <w:t xml:space="preserve">meant that in some areas </w:t>
      </w:r>
      <w:r w:rsidR="00C14E6E">
        <w:t xml:space="preserve">it has been given </w:t>
      </w:r>
      <w:r w:rsidR="00C2721D">
        <w:t>the same</w:t>
      </w:r>
      <w:r w:rsidR="00C14E6E">
        <w:t xml:space="preserve"> weighting </w:t>
      </w:r>
      <w:r w:rsidR="00C2721D">
        <w:t>as</w:t>
      </w:r>
      <w:r w:rsidR="00C14E6E">
        <w:t xml:space="preserve"> peer-reviewed science when</w:t>
      </w:r>
      <w:r w:rsidR="00D559FF">
        <w:t xml:space="preserve"> </w:t>
      </w:r>
      <w:r>
        <w:t xml:space="preserve">presented to </w:t>
      </w:r>
      <w:r w:rsidR="007B22A8">
        <w:t>substantiate</w:t>
      </w:r>
      <w:r>
        <w:t xml:space="preserve"> </w:t>
      </w:r>
      <w:r w:rsidR="00F21569">
        <w:t xml:space="preserve">particular </w:t>
      </w:r>
      <w:r>
        <w:t>claims</w:t>
      </w:r>
      <w:r w:rsidR="00D559FF">
        <w:t>.</w:t>
      </w:r>
      <w:r>
        <w:t xml:space="preserve"> </w:t>
      </w:r>
    </w:p>
    <w:p w:rsidR="002C2F7E" w:rsidRDefault="00CD0694" w:rsidP="00D82C13">
      <w:pPr>
        <w:pStyle w:val="Para0"/>
      </w:pPr>
      <w:r>
        <w:t>The</w:t>
      </w:r>
      <w:r w:rsidR="002C2F7E" w:rsidRPr="00CC4F89">
        <w:t xml:space="preserve"> assessments</w:t>
      </w:r>
      <w:r w:rsidR="001610DD">
        <w:t xml:space="preserve"> of current condition and trend</w:t>
      </w:r>
      <w:r w:rsidR="002C2F7E" w:rsidRPr="00CC4F89">
        <w:t xml:space="preserve"> in Chapter 7 </w:t>
      </w:r>
      <w:r w:rsidR="00243D95">
        <w:t>do not provide a</w:t>
      </w:r>
      <w:r w:rsidR="002C2F7E" w:rsidRPr="00CC4F89">
        <w:t xml:space="preserve"> description of how the various confidence levels were </w:t>
      </w:r>
      <w:r w:rsidR="007B22A8">
        <w:t>assigned</w:t>
      </w:r>
      <w:r w:rsidR="002C2F7E" w:rsidRPr="00CC4F89">
        <w:t xml:space="preserve">. While this </w:t>
      </w:r>
      <w:r w:rsidR="001610DD">
        <w:t>was</w:t>
      </w:r>
      <w:r w:rsidR="002C2F7E" w:rsidRPr="00CC4F89">
        <w:t xml:space="preserve"> </w:t>
      </w:r>
      <w:r w:rsidR="001610DD">
        <w:t>most likely</w:t>
      </w:r>
      <w:r w:rsidR="002C2F7E" w:rsidRPr="00CC4F89">
        <w:t xml:space="preserve"> based on subjective judgment rather than any empirical or modelled analysis, there is no indication of how subject matter experts, reef scientists, reef use</w:t>
      </w:r>
      <w:r w:rsidR="001610DD">
        <w:t>r</w:t>
      </w:r>
      <w:r w:rsidR="002C2F7E" w:rsidRPr="00CC4F89">
        <w:t>s and</w:t>
      </w:r>
      <w:r w:rsidR="001610DD">
        <w:t>/or</w:t>
      </w:r>
      <w:r w:rsidR="002C2F7E" w:rsidRPr="00CC4F89">
        <w:t xml:space="preserve"> GBRMPA managers contributed to the final assessment. </w:t>
      </w:r>
      <w:r w:rsidR="007B22A8">
        <w:t>As there</w:t>
      </w:r>
      <w:r w:rsidR="002C2F7E" w:rsidRPr="00CC4F89">
        <w:t xml:space="preserve"> is </w:t>
      </w:r>
      <w:r w:rsidR="001610DD">
        <w:t xml:space="preserve">potential for </w:t>
      </w:r>
      <w:r w:rsidR="002C2F7E" w:rsidRPr="00CC4F89">
        <w:t xml:space="preserve">bias </w:t>
      </w:r>
      <w:r w:rsidR="007B22A8">
        <w:t>in</w:t>
      </w:r>
      <w:r w:rsidR="001610DD">
        <w:t xml:space="preserve"> the application of </w:t>
      </w:r>
      <w:r w:rsidR="00C14E6E">
        <w:t>these methods</w:t>
      </w:r>
      <w:r w:rsidR="00D82C13">
        <w:t>,</w:t>
      </w:r>
      <w:r w:rsidR="001610DD">
        <w:t xml:space="preserve"> </w:t>
      </w:r>
      <w:r w:rsidR="007B22A8">
        <w:t xml:space="preserve">some further clarification of the </w:t>
      </w:r>
      <w:r>
        <w:t>approach taken</w:t>
      </w:r>
      <w:r w:rsidR="007B22A8">
        <w:t xml:space="preserve"> </w:t>
      </w:r>
      <w:r w:rsidR="00C2721D">
        <w:t>is</w:t>
      </w:r>
      <w:r>
        <w:t xml:space="preserve"> </w:t>
      </w:r>
      <w:r w:rsidR="007B22A8">
        <w:t>warranted.</w:t>
      </w:r>
    </w:p>
    <w:p w:rsidR="00DB05B9" w:rsidRDefault="00243D95" w:rsidP="00243D95">
      <w:pPr>
        <w:pStyle w:val="Para0"/>
      </w:pPr>
      <w:r w:rsidRPr="00C71AA5">
        <w:lastRenderedPageBreak/>
        <w:t xml:space="preserve">Chapter 4 of </w:t>
      </w:r>
      <w:r w:rsidR="001610DD">
        <w:t xml:space="preserve">the </w:t>
      </w:r>
      <w:r w:rsidRPr="00C71AA5">
        <w:t>Assessment Report provides a comprehensive descri</w:t>
      </w:r>
      <w:r>
        <w:t>ption of environmental values. The</w:t>
      </w:r>
      <w:r w:rsidR="002C2F7E" w:rsidRPr="00CC4F89">
        <w:t xml:space="preserve"> trend and condition assessments </w:t>
      </w:r>
      <w:r>
        <w:t>are</w:t>
      </w:r>
      <w:r w:rsidR="002C2F7E" w:rsidRPr="00CC4F89">
        <w:t xml:space="preserve"> based on indicators of MNES, with “biodiversity, including habitats and species” forming the only entry point into the key issue </w:t>
      </w:r>
      <w:r>
        <w:t>of</w:t>
      </w:r>
      <w:r w:rsidR="002C2F7E" w:rsidRPr="00CC4F89">
        <w:t xml:space="preserve"> whether the </w:t>
      </w:r>
      <w:r w:rsidR="007B22A8">
        <w:t>Great Barrier Reef World Heritage Area</w:t>
      </w:r>
      <w:r w:rsidR="002C2F7E" w:rsidRPr="00CC4F89">
        <w:t xml:space="preserve"> ecosystem is functioning effectively so as to maintain species, habitats, social and economic values</w:t>
      </w:r>
      <w:r w:rsidR="007B22A8">
        <w:t xml:space="preserve"> (see Page 4-9)</w:t>
      </w:r>
      <w:r w:rsidR="002C2F7E" w:rsidRPr="00CC4F89">
        <w:t xml:space="preserve">. </w:t>
      </w:r>
      <w:r w:rsidR="00404BB1">
        <w:t>It is recommended that consideration be given to assigning</w:t>
      </w:r>
      <w:r w:rsidR="002C2F7E" w:rsidRPr="00CC4F89">
        <w:t xml:space="preserve"> greater weight to certain attri</w:t>
      </w:r>
      <w:r w:rsidR="000C5D3C">
        <w:t>butes (e.g. keystone species</w:t>
      </w:r>
      <w:r w:rsidR="002C2F7E" w:rsidRPr="00CC4F89">
        <w:t>, critical habitats, energy and nutrient fluxes</w:t>
      </w:r>
      <w:r w:rsidR="000C5D3C">
        <w:t>)</w:t>
      </w:r>
      <w:r>
        <w:t xml:space="preserve">, which would provide a more </w:t>
      </w:r>
      <w:r w:rsidR="00C14E6E">
        <w:t>accurate</w:t>
      </w:r>
      <w:r>
        <w:t xml:space="preserve"> </w:t>
      </w:r>
      <w:r w:rsidR="000C5D3C">
        <w:t>description</w:t>
      </w:r>
      <w:r>
        <w:t xml:space="preserve"> of ecosystem integrity</w:t>
      </w:r>
      <w:r w:rsidR="002C2F7E" w:rsidRPr="00CC4F89">
        <w:t>.</w:t>
      </w:r>
      <w:r w:rsidR="000C5D3C">
        <w:t xml:space="preserve"> </w:t>
      </w:r>
      <w:r w:rsidR="00404BB1">
        <w:t>Such an approach</w:t>
      </w:r>
      <w:r w:rsidR="000C5D3C">
        <w:t xml:space="preserve">, rather than </w:t>
      </w:r>
      <w:r w:rsidR="00404BB1">
        <w:t xml:space="preserve">the </w:t>
      </w:r>
      <w:r w:rsidR="000C5D3C">
        <w:t xml:space="preserve">perceived equal weighting </w:t>
      </w:r>
      <w:r w:rsidR="007B22A8">
        <w:t>of</w:t>
      </w:r>
      <w:r w:rsidR="000C5D3C">
        <w:t xml:space="preserve"> all</w:t>
      </w:r>
      <w:r w:rsidR="00404BB1">
        <w:t xml:space="preserve"> attributes</w:t>
      </w:r>
      <w:r w:rsidR="000C5D3C">
        <w:t>, would improve the accuracy of the assessment.</w:t>
      </w:r>
    </w:p>
    <w:p w:rsidR="00BD3F05" w:rsidRDefault="00743FDB" w:rsidP="00BD3F05">
      <w:pPr>
        <w:pStyle w:val="Heading2"/>
      </w:pPr>
      <w:bookmarkStart w:id="31" w:name="_Toc378857208"/>
      <w:r>
        <w:t>Management</w:t>
      </w:r>
      <w:bookmarkEnd w:id="31"/>
    </w:p>
    <w:p w:rsidR="004D1F68" w:rsidRDefault="007B22A8" w:rsidP="004D1F68">
      <w:pPr>
        <w:pStyle w:val="Para0"/>
      </w:pPr>
      <w:r>
        <w:t>There is l</w:t>
      </w:r>
      <w:r w:rsidR="004D1F68">
        <w:t>ittle</w:t>
      </w:r>
      <w:r w:rsidR="00C71AA5" w:rsidRPr="00C71AA5">
        <w:t xml:space="preserve"> information </w:t>
      </w:r>
      <w:r w:rsidR="004D1F68">
        <w:t xml:space="preserve">presented </w:t>
      </w:r>
      <w:r w:rsidR="00C71AA5" w:rsidRPr="00C71AA5">
        <w:t xml:space="preserve">on how </w:t>
      </w:r>
      <w:r w:rsidR="007E1785">
        <w:t>GBRMPA</w:t>
      </w:r>
      <w:r w:rsidR="00C71AA5" w:rsidRPr="00C71AA5">
        <w:t xml:space="preserve"> is managing for resilience in the face of climate change (</w:t>
      </w:r>
      <w:r>
        <w:t xml:space="preserve">see </w:t>
      </w:r>
      <w:r w:rsidR="00C71AA5" w:rsidRPr="00C71AA5">
        <w:t xml:space="preserve">Page 5-9 </w:t>
      </w:r>
      <w:r>
        <w:t xml:space="preserve">of the </w:t>
      </w:r>
      <w:r w:rsidR="00C71AA5" w:rsidRPr="00C71AA5">
        <w:t>Assessment Report).</w:t>
      </w:r>
      <w:r w:rsidR="000E0FB0">
        <w:t xml:space="preserve"> </w:t>
      </w:r>
      <w:r w:rsidR="00445BB4">
        <w:t>For example, m</w:t>
      </w:r>
      <w:r w:rsidR="000E0FB0" w:rsidRPr="00C71AA5">
        <w:t xml:space="preserve">anaging for </w:t>
      </w:r>
      <w:r w:rsidR="00445BB4">
        <w:t xml:space="preserve">improved </w:t>
      </w:r>
      <w:r w:rsidR="000E0FB0" w:rsidRPr="00C71AA5">
        <w:t xml:space="preserve">resilience </w:t>
      </w:r>
      <w:r w:rsidR="00445BB4">
        <w:t>is n</w:t>
      </w:r>
      <w:r>
        <w:t>ot mentioned on P</w:t>
      </w:r>
      <w:r w:rsidR="000E0FB0" w:rsidRPr="00C71AA5">
        <w:t>age 9-21</w:t>
      </w:r>
      <w:r w:rsidR="00445BB4">
        <w:t xml:space="preserve"> of the Assessment Report</w:t>
      </w:r>
      <w:r w:rsidR="004D1F68">
        <w:t xml:space="preserve"> where potential improvements to adaptive management</w:t>
      </w:r>
      <w:r w:rsidR="00445BB4">
        <w:t xml:space="preserve"> approaches</w:t>
      </w:r>
      <w:r w:rsidR="004D1F68">
        <w:t xml:space="preserve"> are outlined. Such a role would seem particularly relevant to the field management program, which implements much of the operational activities </w:t>
      </w:r>
      <w:r w:rsidR="00445BB4">
        <w:t>of the Great Barrier Reef’s management</w:t>
      </w:r>
      <w:r w:rsidR="004D1F68">
        <w:t xml:space="preserve">, both in the marine park and </w:t>
      </w:r>
      <w:r w:rsidR="00C2721D">
        <w:t>on</w:t>
      </w:r>
      <w:r w:rsidR="004D1F68">
        <w:t xml:space="preserve"> islands.</w:t>
      </w:r>
      <w:r w:rsidR="004D1F68" w:rsidRPr="004D1F68">
        <w:t xml:space="preserve"> </w:t>
      </w:r>
      <w:r w:rsidR="00445BB4">
        <w:t xml:space="preserve">While improved compliance (implemented in part by the field management program) is </w:t>
      </w:r>
      <w:r w:rsidR="00081DBF">
        <w:t>foreshadowed,</w:t>
      </w:r>
      <w:r w:rsidR="00445BB4">
        <w:t xml:space="preserve"> there</w:t>
      </w:r>
      <w:r w:rsidR="004D1F68">
        <w:t xml:space="preserve"> is no reference to how improved compliance will be achieved above and beyond the activities of past practice. It is unlikely that improved outcomes will occur in the absence of additional resources, but there is no </w:t>
      </w:r>
      <w:r w:rsidR="00445BB4">
        <w:t xml:space="preserve">comprehensive </w:t>
      </w:r>
      <w:r w:rsidR="004D1F68">
        <w:t xml:space="preserve">discussion about resourcing the Program </w:t>
      </w:r>
      <w:r w:rsidR="00C2721D">
        <w:t>or</w:t>
      </w:r>
      <w:r w:rsidR="004D1F68">
        <w:t xml:space="preserve"> the adequacy of existing funding arrangements. This undermines confidence in the future of the Program and its capacity to </w:t>
      </w:r>
      <w:r w:rsidR="00A77EA2">
        <w:t xml:space="preserve">halt the ongoing deterioration of </w:t>
      </w:r>
      <w:r w:rsidR="004D1F68">
        <w:t>OUV and other MNES.</w:t>
      </w:r>
    </w:p>
    <w:p w:rsidR="00562F65" w:rsidRDefault="007E1785" w:rsidP="000B1D93">
      <w:pPr>
        <w:pStyle w:val="Para0"/>
      </w:pPr>
      <w:r>
        <w:t>GBRMPA</w:t>
      </w:r>
      <w:r w:rsidR="00CD0694" w:rsidRPr="004F4F8B">
        <w:t xml:space="preserve"> </w:t>
      </w:r>
      <w:r w:rsidR="00CD0694">
        <w:t xml:space="preserve">has </w:t>
      </w:r>
      <w:r w:rsidR="00BC44BA">
        <w:t>adequately responded to the</w:t>
      </w:r>
      <w:r w:rsidR="00BC44BA" w:rsidRPr="00BC44BA">
        <w:t xml:space="preserve"> </w:t>
      </w:r>
      <w:r w:rsidR="00BC44BA">
        <w:t xml:space="preserve">conclusion </w:t>
      </w:r>
      <w:r w:rsidR="00C2721D">
        <w:t>drawn by</w:t>
      </w:r>
      <w:r w:rsidR="00BC44BA">
        <w:t xml:space="preserve"> the review of management effectiveness (Chapter 8 of the Assessment Report),</w:t>
      </w:r>
      <w:r w:rsidR="00BC44BA" w:rsidRPr="004F4F8B">
        <w:t xml:space="preserve"> that arrangements have largely been proce</w:t>
      </w:r>
      <w:r w:rsidR="00BC44BA">
        <w:t>ss rather than outcome focussed,</w:t>
      </w:r>
      <w:r w:rsidR="00CD0694">
        <w:t xml:space="preserve"> by committing to developing outcome-based targets. However, t</w:t>
      </w:r>
      <w:r w:rsidR="000B1D93">
        <w:t>he Program</w:t>
      </w:r>
      <w:r w:rsidR="004D1F68">
        <w:t xml:space="preserve"> description</w:t>
      </w:r>
      <w:r w:rsidR="000B1D93">
        <w:t xml:space="preserve"> is focussed on</w:t>
      </w:r>
      <w:r w:rsidR="004D1F68">
        <w:t xml:space="preserve"> future</w:t>
      </w:r>
      <w:r w:rsidR="000B1D93">
        <w:t xml:space="preserve"> processes that might lead to improved outcomes</w:t>
      </w:r>
      <w:r w:rsidR="00081DBF">
        <w:t>,</w:t>
      </w:r>
      <w:r w:rsidR="000B1D93">
        <w:t xml:space="preserve"> with limited clarity about how or when </w:t>
      </w:r>
      <w:r w:rsidR="00445BB4">
        <w:t>such</w:t>
      </w:r>
      <w:r w:rsidR="000B1D93">
        <w:t xml:space="preserve"> outcomes will be achieved. </w:t>
      </w:r>
      <w:r w:rsidR="00BC44BA">
        <w:t xml:space="preserve">There is no program logic articulated, describing the link between management inputs, actions and outcomes. </w:t>
      </w:r>
      <w:r w:rsidR="001F6462">
        <w:t xml:space="preserve">Of the 38 recommended improvements </w:t>
      </w:r>
      <w:r w:rsidR="00081DBF">
        <w:t>summarised</w:t>
      </w:r>
      <w:r w:rsidR="001F6462">
        <w:t xml:space="preserve"> in Chapter </w:t>
      </w:r>
      <w:r w:rsidR="008A63FC">
        <w:t>12</w:t>
      </w:r>
      <w:r w:rsidR="001F6462">
        <w:t xml:space="preserve"> of the Assessment Report, only </w:t>
      </w:r>
      <w:r w:rsidR="00C2721D">
        <w:t>three</w:t>
      </w:r>
      <w:r w:rsidR="001F6462">
        <w:t xml:space="preserve"> appear to involve direct actions</w:t>
      </w:r>
      <w:r w:rsidR="00BC44BA">
        <w:t xml:space="preserve"> on the reef ecosystem</w:t>
      </w:r>
      <w:r w:rsidR="001F6462">
        <w:t xml:space="preserve"> (REC15, REC16 and REC31).</w:t>
      </w:r>
      <w:r w:rsidR="00081DBF">
        <w:t xml:space="preserve"> </w:t>
      </w:r>
      <w:r w:rsidR="000B1D93">
        <w:t xml:space="preserve">Triggers </w:t>
      </w:r>
      <w:r w:rsidR="004D1F68">
        <w:t xml:space="preserve">for management actions </w:t>
      </w:r>
      <w:r w:rsidR="000B1D93">
        <w:t xml:space="preserve">are generally lacking for </w:t>
      </w:r>
      <w:r w:rsidR="00445BB4">
        <w:t xml:space="preserve">the majority of </w:t>
      </w:r>
      <w:r w:rsidR="004D1F68">
        <w:t>new initiatives</w:t>
      </w:r>
      <w:r w:rsidR="001F468D">
        <w:t>. Recommended improvements</w:t>
      </w:r>
      <w:r w:rsidR="002F129E">
        <w:t xml:space="preserve"> could be </w:t>
      </w:r>
      <w:r w:rsidR="001F468D">
        <w:t>more effective</w:t>
      </w:r>
      <w:r w:rsidR="002F129E">
        <w:t xml:space="preserve"> if they were </w:t>
      </w:r>
      <w:r w:rsidR="004F4F8B" w:rsidRPr="004F4F8B">
        <w:t xml:space="preserve">specific, measurable, </w:t>
      </w:r>
      <w:r w:rsidR="002F129E">
        <w:t xml:space="preserve">achievable, relevant </w:t>
      </w:r>
      <w:r w:rsidR="004F4F8B" w:rsidRPr="004F4F8B">
        <w:t>and time bound</w:t>
      </w:r>
      <w:r w:rsidR="00C2721D">
        <w:t xml:space="preserve"> (i.e., apply “SMART”</w:t>
      </w:r>
      <w:r w:rsidR="002F129E">
        <w:t xml:space="preserve"> criteria)</w:t>
      </w:r>
      <w:r w:rsidR="004F4F8B" w:rsidRPr="004F4F8B">
        <w:t xml:space="preserve">. </w:t>
      </w:r>
    </w:p>
    <w:p w:rsidR="00B50854" w:rsidRDefault="004F4F8B" w:rsidP="000B1D93">
      <w:pPr>
        <w:pStyle w:val="Para0"/>
      </w:pPr>
      <w:r w:rsidRPr="004F4F8B">
        <w:t>A key consideration will be understanding what constitutes “measurable”, in terms of the uncertainty resulting from natural variability and measurement error in mo</w:t>
      </w:r>
      <w:r w:rsidR="001F6462">
        <w:t>nitoring data</w:t>
      </w:r>
      <w:r w:rsidR="00081DBF">
        <w:t xml:space="preserve">, </w:t>
      </w:r>
      <w:r w:rsidR="001F6462">
        <w:t>and</w:t>
      </w:r>
      <w:r w:rsidRPr="004F4F8B">
        <w:t xml:space="preserve"> </w:t>
      </w:r>
      <w:r w:rsidR="00081DBF">
        <w:t xml:space="preserve">in </w:t>
      </w:r>
      <w:r w:rsidRPr="004F4F8B">
        <w:t xml:space="preserve">lag times to </w:t>
      </w:r>
      <w:r w:rsidR="001F6462">
        <w:t>yield a response</w:t>
      </w:r>
      <w:r w:rsidRPr="004F4F8B">
        <w:t xml:space="preserve">. One example is a proposed target for reduced coral mortality </w:t>
      </w:r>
      <w:r w:rsidR="00CD0694">
        <w:t xml:space="preserve">resulting from </w:t>
      </w:r>
      <w:r w:rsidR="001F6462">
        <w:t xml:space="preserve">outbreaks of the crown-of-thorns </w:t>
      </w:r>
      <w:r w:rsidR="00B50854">
        <w:t xml:space="preserve">starfish </w:t>
      </w:r>
      <w:r w:rsidR="00081DBF">
        <w:t>(COTS)</w:t>
      </w:r>
      <w:r w:rsidRPr="004F4F8B">
        <w:t>. If nutrient enrichment is a trigger for</w:t>
      </w:r>
      <w:r w:rsidR="00C039E9">
        <w:t xml:space="preserve"> outbreaks of</w:t>
      </w:r>
      <w:r w:rsidR="00CD0694">
        <w:t xml:space="preserve"> COTS</w:t>
      </w:r>
      <w:r w:rsidRPr="004F4F8B">
        <w:t xml:space="preserve">, </w:t>
      </w:r>
      <w:r w:rsidR="00562F65">
        <w:t xml:space="preserve">and </w:t>
      </w:r>
      <w:r w:rsidRPr="004F4F8B">
        <w:t xml:space="preserve">further action to improve water quality </w:t>
      </w:r>
      <w:r w:rsidR="00562F65">
        <w:t>is</w:t>
      </w:r>
      <w:r w:rsidRPr="004F4F8B">
        <w:t xml:space="preserve"> implemented, </w:t>
      </w:r>
      <w:r w:rsidR="00562F65" w:rsidRPr="004F4F8B">
        <w:t xml:space="preserve">is a reduction of coral mortality from COTS a </w:t>
      </w:r>
      <w:r w:rsidR="00562F65">
        <w:t xml:space="preserve">realistic </w:t>
      </w:r>
      <w:r w:rsidR="00562F65" w:rsidRPr="004F4F8B">
        <w:t>target for water quality improvement</w:t>
      </w:r>
      <w:r w:rsidR="00562F65">
        <w:t xml:space="preserve">? One important factor to consider is the </w:t>
      </w:r>
      <w:r w:rsidRPr="004F4F8B">
        <w:t xml:space="preserve">lag of 3-8 years between nutrient input events and COTS outbreaks as Fabricius </w:t>
      </w:r>
      <w:r w:rsidR="002C4C82" w:rsidRPr="002C4C82">
        <w:rPr>
          <w:i/>
        </w:rPr>
        <w:t>et al.</w:t>
      </w:r>
      <w:r w:rsidRPr="004F4F8B">
        <w:t xml:space="preserve"> (2010) </w:t>
      </w:r>
      <w:r w:rsidR="00562F65">
        <w:t>describe.</w:t>
      </w:r>
      <w:r w:rsidRPr="004F4F8B">
        <w:t xml:space="preserve"> </w:t>
      </w:r>
      <w:r w:rsidR="00562F65">
        <w:t>This highlights the difficulty i</w:t>
      </w:r>
      <w:r w:rsidR="005A0687">
        <w:t>n</w:t>
      </w:r>
      <w:r w:rsidR="00562F65">
        <w:t xml:space="preserve"> choosing realistic and measurable targets to address the key threats to the Great Barrier Reef.</w:t>
      </w:r>
    </w:p>
    <w:p w:rsidR="000B1D93" w:rsidRDefault="00B50854" w:rsidP="000B1D93">
      <w:pPr>
        <w:pStyle w:val="Para0"/>
      </w:pPr>
      <w:r>
        <w:t>As well as being</w:t>
      </w:r>
      <w:r w:rsidR="004F4F8B" w:rsidRPr="004F4F8B">
        <w:t xml:space="preserve"> specific, measurable and time-bound as reflected in the </w:t>
      </w:r>
      <w:r w:rsidR="001F468D">
        <w:t>Program R</w:t>
      </w:r>
      <w:r w:rsidR="004F4F8B" w:rsidRPr="004F4F8B">
        <w:t xml:space="preserve">eport, </w:t>
      </w:r>
      <w:r>
        <w:t>targets</w:t>
      </w:r>
      <w:r w:rsidR="004F4F8B" w:rsidRPr="004F4F8B">
        <w:t xml:space="preserve"> also need to be achievable. </w:t>
      </w:r>
      <w:r w:rsidR="00BC44BA">
        <w:t>I</w:t>
      </w:r>
      <w:r w:rsidR="004F4F8B" w:rsidRPr="004F4F8B">
        <w:t>t could be made clearer that target setting will be a scientifically</w:t>
      </w:r>
      <w:r w:rsidR="001F6462">
        <w:t>-</w:t>
      </w:r>
      <w:r w:rsidR="004F4F8B" w:rsidRPr="004F4F8B">
        <w:t>robust process that includes careful consideration of the types of data available to measure success and</w:t>
      </w:r>
      <w:r w:rsidR="00BC44BA">
        <w:t xml:space="preserve"> to</w:t>
      </w:r>
      <w:r w:rsidR="004F4F8B" w:rsidRPr="004F4F8B">
        <w:t xml:space="preserve"> </w:t>
      </w:r>
      <w:r w:rsidR="00BC44BA">
        <w:t xml:space="preserve">test our present </w:t>
      </w:r>
      <w:r w:rsidR="004F4F8B" w:rsidRPr="004F4F8B">
        <w:t>understanding of system response times.</w:t>
      </w:r>
    </w:p>
    <w:p w:rsidR="007B22A8" w:rsidRDefault="007B22A8" w:rsidP="007B22A8">
      <w:pPr>
        <w:pStyle w:val="Para0"/>
      </w:pPr>
      <w:r>
        <w:t xml:space="preserve">In Chapter 6, reference is made to conditions exceeding "guidelines" (for example water quality guidelines). However there is no discussion of what occurs in the event of a trigger </w:t>
      </w:r>
      <w:r w:rsidR="00562F65">
        <w:t xml:space="preserve">being exceeded </w:t>
      </w:r>
      <w:r>
        <w:t xml:space="preserve">and how this is linked to preventing the source of the impact. In this context, it is important to demonstrate that monitoring is more than recording </w:t>
      </w:r>
      <w:r w:rsidR="00AD2BE9">
        <w:t xml:space="preserve">(declining) </w:t>
      </w:r>
      <w:r>
        <w:t xml:space="preserve">condition and includes detecting </w:t>
      </w:r>
      <w:r w:rsidR="00562F65">
        <w:t>contributing</w:t>
      </w:r>
      <w:r>
        <w:t xml:space="preserve"> processes and addressing them through management actions. For instance chlorophyll concentrations have exceeded guidelines in 10-15% of the region for much of the past decade. A description of how </w:t>
      </w:r>
      <w:r w:rsidR="007E1785">
        <w:t>GBRMPA</w:t>
      </w:r>
      <w:r>
        <w:t xml:space="preserve"> responds to such exceedances would provide clarification of current management practices.</w:t>
      </w:r>
    </w:p>
    <w:p w:rsidR="009F7E07" w:rsidRDefault="009F7E07" w:rsidP="009F7E07">
      <w:pPr>
        <w:pStyle w:val="Para0"/>
      </w:pPr>
      <w:r w:rsidRPr="004F4F8B">
        <w:lastRenderedPageBreak/>
        <w:t xml:space="preserve">The discussion of community benefits of the environment </w:t>
      </w:r>
      <w:r>
        <w:t>(page</w:t>
      </w:r>
      <w:r w:rsidRPr="004F4F8B">
        <w:t xml:space="preserve"> 4-23 </w:t>
      </w:r>
      <w:r>
        <w:t>of the Assessment Report)</w:t>
      </w:r>
      <w:r w:rsidRPr="004F4F8B">
        <w:t xml:space="preserve"> does not include regulating services</w:t>
      </w:r>
      <w:r>
        <w:t xml:space="preserve">, such as coastal protection and nutrient or </w:t>
      </w:r>
      <w:r w:rsidRPr="004F4F8B">
        <w:t xml:space="preserve">carbon sequestration. This </w:t>
      </w:r>
      <w:r>
        <w:t>may be because the discussion is</w:t>
      </w:r>
      <w:r w:rsidRPr="004F4F8B">
        <w:t xml:space="preserve"> largely based on public consultation, and the importance of such services is probably not front-of-mind for the general public. Howev</w:t>
      </w:r>
      <w:r>
        <w:t xml:space="preserve">er, </w:t>
      </w:r>
      <w:r w:rsidR="00562F65">
        <w:t>ecosystem</w:t>
      </w:r>
      <w:r>
        <w:t xml:space="preserve"> services</w:t>
      </w:r>
      <w:r w:rsidRPr="004F4F8B">
        <w:t xml:space="preserve"> do not seem to be considered in </w:t>
      </w:r>
      <w:r>
        <w:t xml:space="preserve">any detail </w:t>
      </w:r>
      <w:r w:rsidRPr="004F4F8B">
        <w:t xml:space="preserve">the </w:t>
      </w:r>
      <w:r>
        <w:t>assessment</w:t>
      </w:r>
      <w:r w:rsidRPr="004F4F8B">
        <w:t>. In particular, nutrient cycling and the critical role of wetlands are not addressed. Nutrient cycling seems to be considered solely in terms of catchment inputs (e</w:t>
      </w:r>
      <w:r>
        <w:t>.</w:t>
      </w:r>
      <w:r w:rsidRPr="004F4F8B">
        <w:t>g</w:t>
      </w:r>
      <w:r>
        <w:t>.</w:t>
      </w:r>
      <w:r w:rsidRPr="004F4F8B">
        <w:t xml:space="preserve"> </w:t>
      </w:r>
      <w:r>
        <w:t>page</w:t>
      </w:r>
      <w:r w:rsidRPr="004F4F8B">
        <w:t xml:space="preserve"> 7-36</w:t>
      </w:r>
      <w:r>
        <w:t xml:space="preserve"> of the Assessment Report). Given </w:t>
      </w:r>
      <w:r w:rsidRPr="004F4F8B">
        <w:t>that a large proportion of saltmarsh, for example, has been channeli</w:t>
      </w:r>
      <w:r>
        <w:t>s</w:t>
      </w:r>
      <w:r w:rsidRPr="004F4F8B">
        <w:t xml:space="preserve">ed there </w:t>
      </w:r>
      <w:r>
        <w:t xml:space="preserve">may be </w:t>
      </w:r>
      <w:r w:rsidRPr="004F4F8B">
        <w:t>opportunities to reduce nutrient inputs via</w:t>
      </w:r>
      <w:r>
        <w:t xml:space="preserve"> salt</w:t>
      </w:r>
      <w:r w:rsidRPr="004F4F8B">
        <w:t>marsh restoration</w:t>
      </w:r>
      <w:r>
        <w:t>.</w:t>
      </w:r>
    </w:p>
    <w:p w:rsidR="007376F4" w:rsidRDefault="007376F4" w:rsidP="007376F4">
      <w:pPr>
        <w:pStyle w:val="Para0"/>
      </w:pPr>
      <w:r>
        <w:t xml:space="preserve">There are </w:t>
      </w:r>
      <w:r w:rsidR="00772AE8">
        <w:t>several</w:t>
      </w:r>
      <w:r>
        <w:t xml:space="preserve"> references to marine pests in the </w:t>
      </w:r>
      <w:r w:rsidR="00AD2BE9">
        <w:t>Assessment Report</w:t>
      </w:r>
      <w:r>
        <w:t xml:space="preserve">, including information </w:t>
      </w:r>
      <w:r w:rsidR="00847B2B">
        <w:t xml:space="preserve">identifying them as </w:t>
      </w:r>
      <w:r w:rsidR="00C2721D">
        <w:t>a key gap (p</w:t>
      </w:r>
      <w:r w:rsidR="00AD2BE9">
        <w:t xml:space="preserve">age </w:t>
      </w:r>
      <w:r>
        <w:t>6-84)</w:t>
      </w:r>
      <w:r w:rsidR="00F7598D">
        <w:t xml:space="preserve">. There is also an </w:t>
      </w:r>
      <w:r>
        <w:t xml:space="preserve">assessment that marine </w:t>
      </w:r>
      <w:r w:rsidR="00AD2BE9">
        <w:t>pest management is a weakness</w:t>
      </w:r>
      <w:r w:rsidR="00F7598D">
        <w:t xml:space="preserve"> of the current Program</w:t>
      </w:r>
      <w:r w:rsidR="00C2721D">
        <w:t xml:space="preserve"> (p</w:t>
      </w:r>
      <w:r w:rsidR="00AD2BE9">
        <w:t xml:space="preserve">age </w:t>
      </w:r>
      <w:r>
        <w:t>8-3</w:t>
      </w:r>
      <w:r w:rsidR="00AD2BE9">
        <w:t>1). The only response in the Program R</w:t>
      </w:r>
      <w:r>
        <w:t xml:space="preserve">eport, however, is to improve the capability to respond to incursions if they occur. The risk of marine pest incursions </w:t>
      </w:r>
      <w:r w:rsidR="00F7598D">
        <w:t xml:space="preserve">(especially the impact or consequence of an incursion) </w:t>
      </w:r>
      <w:r>
        <w:t>is likely to increase with reduced reef resilience, and the development of preventative mea</w:t>
      </w:r>
      <w:r w:rsidR="00AD2BE9">
        <w:t xml:space="preserve">sures </w:t>
      </w:r>
      <w:r w:rsidR="00C2721D">
        <w:t>is</w:t>
      </w:r>
      <w:r w:rsidR="00AD2BE9">
        <w:t xml:space="preserve"> a gap in the P</w:t>
      </w:r>
      <w:r>
        <w:t>rogram response</w:t>
      </w:r>
      <w:r w:rsidR="00AD2BE9">
        <w:t xml:space="preserve"> to</w:t>
      </w:r>
      <w:r w:rsidR="00C2721D">
        <w:t xml:space="preserve"> the</w:t>
      </w:r>
      <w:r w:rsidR="00AD2BE9">
        <w:t xml:space="preserve"> assessment findings</w:t>
      </w:r>
      <w:r>
        <w:t xml:space="preserve">. There are </w:t>
      </w:r>
      <w:r w:rsidR="00AD2BE9">
        <w:t xml:space="preserve">national and international guidelines </w:t>
      </w:r>
      <w:r>
        <w:t>on biofouling managem</w:t>
      </w:r>
      <w:r w:rsidR="00AD2BE9">
        <w:t xml:space="preserve">ent which </w:t>
      </w:r>
      <w:r>
        <w:t xml:space="preserve">could be the basis of GBRMPA policy. </w:t>
      </w:r>
    </w:p>
    <w:p w:rsidR="000B1D93" w:rsidRDefault="000B1D93" w:rsidP="000B1D93">
      <w:pPr>
        <w:pStyle w:val="Para0"/>
      </w:pPr>
      <w:r>
        <w:t>The</w:t>
      </w:r>
      <w:r w:rsidR="009B1742">
        <w:t>re is a strong</w:t>
      </w:r>
      <w:r>
        <w:t xml:space="preserve"> reliance on the draft </w:t>
      </w:r>
      <w:r w:rsidR="00445BB4">
        <w:t>North East</w:t>
      </w:r>
      <w:r>
        <w:t xml:space="preserve"> Shipping Management Plan </w:t>
      </w:r>
      <w:r w:rsidR="009B1742">
        <w:t>to manage the potential impacts of shipping</w:t>
      </w:r>
      <w:r w:rsidR="00AD2BE9">
        <w:t>,</w:t>
      </w:r>
      <w:r w:rsidR="009B1742">
        <w:t xml:space="preserve"> with minimal </w:t>
      </w:r>
      <w:r>
        <w:t>discussion about the timelines for improvement and implementation of the measures proposed to reduce risk</w:t>
      </w:r>
      <w:r w:rsidR="00C2721D">
        <w:t xml:space="preserve"> (p</w:t>
      </w:r>
      <w:r w:rsidR="009B1742">
        <w:t xml:space="preserve">age 5-53 </w:t>
      </w:r>
      <w:r w:rsidR="00C2721D">
        <w:t xml:space="preserve">of the </w:t>
      </w:r>
      <w:r w:rsidR="009B1742">
        <w:t>Assessment Report)</w:t>
      </w:r>
      <w:r>
        <w:t xml:space="preserve">. </w:t>
      </w:r>
      <w:r w:rsidR="009B1742">
        <w:t>Further information including t</w:t>
      </w:r>
      <w:r>
        <w:t>imelines for the outcomes proposed would help assure the reader that the Shipping Management Plan will significantly protect MNES. In the context of the increased shipping (&gt;10,000</w:t>
      </w:r>
      <w:r w:rsidR="007E410D">
        <w:t xml:space="preserve"> ship movements</w:t>
      </w:r>
      <w:r>
        <w:t xml:space="preserve"> by 2032)</w:t>
      </w:r>
      <w:r w:rsidR="00445BB4">
        <w:t>,</w:t>
      </w:r>
      <w:r>
        <w:t xml:space="preserve"> the potential impact of </w:t>
      </w:r>
      <w:r w:rsidR="0000625C">
        <w:t>the increased number of</w:t>
      </w:r>
      <w:r>
        <w:t xml:space="preserve"> industrial vessels in such an extended area of the </w:t>
      </w:r>
      <w:r w:rsidR="00445BB4">
        <w:t>Great Barrier Reef</w:t>
      </w:r>
      <w:r w:rsidR="0000625C">
        <w:t xml:space="preserve">, and </w:t>
      </w:r>
      <w:r w:rsidR="00AD2BE9">
        <w:t xml:space="preserve">associated </w:t>
      </w:r>
      <w:r w:rsidR="0000625C">
        <w:t xml:space="preserve">impacts on </w:t>
      </w:r>
      <w:r>
        <w:t xml:space="preserve">aesthetics </w:t>
      </w:r>
      <w:r w:rsidR="00AD2BE9">
        <w:t>are</w:t>
      </w:r>
      <w:r>
        <w:t xml:space="preserve"> not adequately identified (apart from </w:t>
      </w:r>
      <w:r w:rsidR="00AD2BE9">
        <w:t>at</w:t>
      </w:r>
      <w:r>
        <w:t xml:space="preserve"> vessel anchoring areas).</w:t>
      </w:r>
    </w:p>
    <w:p w:rsidR="00020A08" w:rsidRDefault="00020A08" w:rsidP="00020A08">
      <w:pPr>
        <w:pStyle w:val="Para0"/>
      </w:pPr>
      <w:r>
        <w:t xml:space="preserve">There are five </w:t>
      </w:r>
      <w:r w:rsidR="005A0687">
        <w:t xml:space="preserve">national </w:t>
      </w:r>
      <w:r>
        <w:t>natural heritage criteria "identified" as being relev</w:t>
      </w:r>
      <w:r w:rsidR="00C2721D">
        <w:t>ant to the Great Barrier Reef (p</w:t>
      </w:r>
      <w:r>
        <w:t>age 7-49 of the Assessment Report). The Great Barrier Reef was added to the National Heritage List as a result of its World Heritage designation and it has not been fully evalua</w:t>
      </w:r>
      <w:r w:rsidR="00C2721D">
        <w:t>ted for National Heritage (see p</w:t>
      </w:r>
      <w:r>
        <w:t>age</w:t>
      </w:r>
      <w:r w:rsidR="00C2721D">
        <w:t>s</w:t>
      </w:r>
      <w:r>
        <w:t xml:space="preserve"> 4-26 and 6-82 of the Assessment Report). It is possible that additional natural heritage criteria beyond those for which it is currently recognised may also apply to its natural heritage values. Such an assessment could prove valuable in identifying a range of additional heritage attributes not currently acknowledged and the identification of management actions to conserve them. This could be addressed as part of the future Program and </w:t>
      </w:r>
      <w:r w:rsidR="00C2721D">
        <w:t xml:space="preserve">may </w:t>
      </w:r>
      <w:r>
        <w:t xml:space="preserve">connect well with the gaps identified in both Indigenous and Historic heritage. The Australian Heritage Council could be asked to make an assessment for listing under all </w:t>
      </w:r>
      <w:r w:rsidR="007C02DE">
        <w:t>national</w:t>
      </w:r>
      <w:r>
        <w:t xml:space="preserve"> heritage criteria. Indeed there may be other </w:t>
      </w:r>
      <w:r w:rsidR="007C02DE">
        <w:t>heritage attributes that would reach n</w:t>
      </w:r>
      <w:r>
        <w:t xml:space="preserve">ational threshold even if they do not meet World Heritage threshold. </w:t>
      </w:r>
    </w:p>
    <w:p w:rsidR="00367DB0" w:rsidRDefault="00367DB0" w:rsidP="00367DB0">
      <w:pPr>
        <w:pStyle w:val="Heading2"/>
      </w:pPr>
      <w:bookmarkStart w:id="32" w:name="_Toc378857209"/>
      <w:r>
        <w:t>Partnerships and collaboration</w:t>
      </w:r>
      <w:bookmarkEnd w:id="32"/>
    </w:p>
    <w:p w:rsidR="0026692C" w:rsidRDefault="007E410D" w:rsidP="0026692C">
      <w:pPr>
        <w:pStyle w:val="Para0"/>
      </w:pPr>
      <w:r>
        <w:t>GBRMPA has established partnerships with a variety of groups with an interest in the Great Barrier Reef. Collaboration with partners occurs across a variety of programs including Reef Advisory Committees, the Eyes and Ears Incident Reporting Program</w:t>
      </w:r>
      <w:r w:rsidR="003B29BA">
        <w:t>, the Reef Guardian Program</w:t>
      </w:r>
      <w:r>
        <w:t xml:space="preserve"> and memoranda of understanding</w:t>
      </w:r>
      <w:r w:rsidR="003B29BA">
        <w:t xml:space="preserve"> with key stakeholders. There are many successful examples of the application of partnerships within the existing Program, including areas such as tourism, compliance and indigenous engagement. </w:t>
      </w:r>
    </w:p>
    <w:p w:rsidR="0026692C" w:rsidRDefault="003B29BA" w:rsidP="0026692C">
      <w:pPr>
        <w:pStyle w:val="Para0"/>
      </w:pPr>
      <w:r>
        <w:t>While p</w:t>
      </w:r>
      <w:r w:rsidR="00367DB0">
        <w:t>artnerships and stewardship are highlighted as valuable mechanisms to manage the Great Barrier Reef</w:t>
      </w:r>
      <w:r w:rsidR="001B1BE0">
        <w:t>,</w:t>
      </w:r>
      <w:r w:rsidR="00367DB0">
        <w:t xml:space="preserve"> there is no assessment of their effectiveness.</w:t>
      </w:r>
      <w:r w:rsidR="00367DB0" w:rsidRPr="001141D8">
        <w:t xml:space="preserve"> </w:t>
      </w:r>
      <w:r w:rsidR="00F7598D">
        <w:t xml:space="preserve">Partnerships are often most effective in addressing management issues that cross jurisdictional boundaries. </w:t>
      </w:r>
      <w:r w:rsidR="0026692C">
        <w:t xml:space="preserve">The agricultural sector is not mentioned in several sections describing GBRMPA’s engagement and collaboration activities with various stakeholders (e.g. Page 36 of the Program Report). Beef and sugarcane practices are critical to reef water quality, and </w:t>
      </w:r>
      <w:r w:rsidR="0024754C">
        <w:t xml:space="preserve">a clearer explanation of the </w:t>
      </w:r>
      <w:r w:rsidR="0026692C">
        <w:t xml:space="preserve">collaboration </w:t>
      </w:r>
      <w:r w:rsidR="0024754C">
        <w:t xml:space="preserve">and </w:t>
      </w:r>
      <w:r w:rsidR="0026692C">
        <w:t xml:space="preserve">partnerships </w:t>
      </w:r>
      <w:r w:rsidR="0024754C">
        <w:t xml:space="preserve">of GBRMPA </w:t>
      </w:r>
      <w:r w:rsidR="0026692C">
        <w:t xml:space="preserve">with the peak bodies of these primary industries </w:t>
      </w:r>
      <w:r w:rsidR="0024754C">
        <w:t>would add value to the existing</w:t>
      </w:r>
      <w:r w:rsidR="0026692C">
        <w:t xml:space="preserve"> discussion.</w:t>
      </w:r>
    </w:p>
    <w:p w:rsidR="001769B8" w:rsidRDefault="003B29BA" w:rsidP="00367DB0">
      <w:pPr>
        <w:pStyle w:val="Para0"/>
      </w:pPr>
      <w:r>
        <w:t>The</w:t>
      </w:r>
      <w:r w:rsidR="00367DB0" w:rsidRPr="001141D8">
        <w:t xml:space="preserve"> connectivity between estuarine, freshwater and marine </w:t>
      </w:r>
      <w:r w:rsidR="00367DB0">
        <w:t>habitats is</w:t>
      </w:r>
      <w:r w:rsidR="00367DB0" w:rsidRPr="001141D8">
        <w:t xml:space="preserve"> f</w:t>
      </w:r>
      <w:r w:rsidR="00367DB0">
        <w:t>requently mentioned as critical</w:t>
      </w:r>
      <w:r>
        <w:t xml:space="preserve"> in the assessment</w:t>
      </w:r>
      <w:r w:rsidR="00367DB0">
        <w:t>,</w:t>
      </w:r>
      <w:r w:rsidR="00367DB0" w:rsidRPr="001141D8">
        <w:t xml:space="preserve"> but there does not seem to be any mechanisms to manage this effectively</w:t>
      </w:r>
      <w:r w:rsidR="00367DB0">
        <w:t xml:space="preserve"> </w:t>
      </w:r>
      <w:r w:rsidR="00AD2BE9">
        <w:t>with</w:t>
      </w:r>
      <w:r w:rsidR="00367DB0">
        <w:t>in the Program</w:t>
      </w:r>
      <w:r w:rsidR="00367DB0" w:rsidRPr="001141D8">
        <w:t>.</w:t>
      </w:r>
      <w:r w:rsidR="001769B8" w:rsidRPr="001769B8">
        <w:t xml:space="preserve"> </w:t>
      </w:r>
      <w:r w:rsidR="001769B8">
        <w:t xml:space="preserve">A good example is Bowling Green Bay wetland, an internationally-recognised Ramsar site, 99% of which is national park. The wetland is highly significant and regionally unique, given the importance of fresh and marine </w:t>
      </w:r>
      <w:r w:rsidR="001769B8">
        <w:lastRenderedPageBreak/>
        <w:t>water connectivity, and being one of the few intact wetlands immediately adjacent to the Region. However, 41 impediments to environmental flows have been recorded affecting the wetland, despite what would be seen as effective management, given its protected status and a comprehensive management plan (see Page 6-32 of the Assessment Report).</w:t>
      </w:r>
      <w:r w:rsidR="00367DB0">
        <w:t xml:space="preserve"> </w:t>
      </w:r>
    </w:p>
    <w:p w:rsidR="00367DB0" w:rsidRDefault="00367DB0" w:rsidP="00367DB0">
      <w:pPr>
        <w:pStyle w:val="Para0"/>
      </w:pPr>
      <w:r>
        <w:t xml:space="preserve">If </w:t>
      </w:r>
      <w:r w:rsidR="001769B8">
        <w:t>the management of connectivity is considered</w:t>
      </w:r>
      <w:r>
        <w:t xml:space="preserve"> to primarily be a responsibility of the Queensland Government in the management of the Great Barrier Reef Coastal Zone, then an appropriate cross reference would provide clarification. The same is true for port development, which has minimal assessment</w:t>
      </w:r>
      <w:r w:rsidR="001B1BE0">
        <w:t>, given</w:t>
      </w:r>
      <w:r>
        <w:t xml:space="preserve"> its standing as one of the</w:t>
      </w:r>
      <w:r w:rsidRPr="00C71AA5">
        <w:t xml:space="preserve"> key </w:t>
      </w:r>
      <w:r>
        <w:t xml:space="preserve">management </w:t>
      </w:r>
      <w:r w:rsidRPr="00C71AA5">
        <w:t>issue</w:t>
      </w:r>
      <w:r w:rsidR="00AD2BE9">
        <w:t>s that prompted the need for a S</w:t>
      </w:r>
      <w:r w:rsidRPr="00C71AA5">
        <w:t xml:space="preserve">trategic </w:t>
      </w:r>
      <w:r w:rsidR="00AD2BE9">
        <w:t>A</w:t>
      </w:r>
      <w:r w:rsidRPr="00C71AA5">
        <w:t xml:space="preserve">ssessment </w:t>
      </w:r>
      <w:r w:rsidR="00AD2BE9">
        <w:t xml:space="preserve">of the Great Barrier Reef </w:t>
      </w:r>
      <w:r w:rsidRPr="00C71AA5">
        <w:t>(</w:t>
      </w:r>
      <w:r w:rsidR="00C2721D">
        <w:t>p</w:t>
      </w:r>
      <w:r w:rsidR="00AD2BE9">
        <w:t xml:space="preserve">age </w:t>
      </w:r>
      <w:r w:rsidRPr="00C71AA5">
        <w:t>5-28 of</w:t>
      </w:r>
      <w:r w:rsidR="00AD2BE9">
        <w:t xml:space="preserve"> the</w:t>
      </w:r>
      <w:r w:rsidRPr="00C71AA5">
        <w:t xml:space="preserve"> Assessment Report).</w:t>
      </w:r>
      <w:r>
        <w:t xml:space="preserve"> While many of the ports may be located outside</w:t>
      </w:r>
      <w:r w:rsidR="00AD2BE9">
        <w:t xml:space="preserve"> of</w:t>
      </w:r>
      <w:r>
        <w:t xml:space="preserve"> the marine park boundary, most lie within or adjacent to the World Heritage Area and affect the marine park through activities such as dredging, the placement of dredged material and shipping.</w:t>
      </w:r>
      <w:r w:rsidR="00B03E27">
        <w:t xml:space="preserve"> The management of islands, which largely occurs through a collaboration with the Queensland Government </w:t>
      </w:r>
      <w:r w:rsidR="001769B8">
        <w:t>(</w:t>
      </w:r>
      <w:r w:rsidR="00B03E27">
        <w:t>field management program</w:t>
      </w:r>
      <w:r w:rsidR="001769B8">
        <w:t>)</w:t>
      </w:r>
      <w:r w:rsidR="00B03E27">
        <w:t xml:space="preserve"> also receives limited attention.</w:t>
      </w:r>
    </w:p>
    <w:p w:rsidR="00376B56" w:rsidRDefault="00376B56" w:rsidP="00376B56">
      <w:pPr>
        <w:pStyle w:val="Para0"/>
      </w:pPr>
      <w:r>
        <w:t>The assessed lack o</w:t>
      </w:r>
      <w:r w:rsidR="00562F65">
        <w:t>f effectiveness with regard to p</w:t>
      </w:r>
      <w:r>
        <w:t>orts (</w:t>
      </w:r>
      <w:r w:rsidR="00CD5A17">
        <w:t>Section</w:t>
      </w:r>
      <w:r>
        <w:t xml:space="preserve"> 8.5.5 of the Assessment Report) highlights a major </w:t>
      </w:r>
      <w:r w:rsidR="00562F65">
        <w:t>gap</w:t>
      </w:r>
      <w:r>
        <w:t xml:space="preserve"> between </w:t>
      </w:r>
      <w:r w:rsidR="007E1785">
        <w:t>GBRMPA</w:t>
      </w:r>
      <w:r>
        <w:t xml:space="preserve">'s mandate and the management needs of the Great Barrier Reef (including the World Heritage Area; see page 8-39 of Assessment Report). </w:t>
      </w:r>
      <w:r w:rsidR="00F7598D">
        <w:t>That</w:t>
      </w:r>
      <w:r w:rsidR="00C2721D">
        <w:t xml:space="preserve"> ten</w:t>
      </w:r>
      <w:r>
        <w:t xml:space="preserve"> ports </w:t>
      </w:r>
      <w:r w:rsidR="00F7598D">
        <w:t>appear to be</w:t>
      </w:r>
      <w:r>
        <w:t xml:space="preserve"> outside </w:t>
      </w:r>
      <w:r w:rsidR="00F7598D">
        <w:t xml:space="preserve">of </w:t>
      </w:r>
      <w:r>
        <w:t>GBRMPA's "jurisdiction" raises a more general issue about the complications of the current management arrangements for the Great Barrier Reef. Some analysis of the strengths and weaknesses of these jurisdictional issues for the inshore sections of the Great Barrier Reef would provide clarity for the reader and assist in assessing opportunities for improved collaboration between GBRMPA and other management agencies.</w:t>
      </w:r>
      <w:r w:rsidR="00F7598D">
        <w:t xml:space="preserve"> This should include further discussion on the application of GBRMPA’s powers to address activities outside of the marine park.</w:t>
      </w:r>
    </w:p>
    <w:p w:rsidR="00367DB0" w:rsidRDefault="00367DB0" w:rsidP="00367DB0">
      <w:pPr>
        <w:pStyle w:val="Para0"/>
      </w:pPr>
      <w:r>
        <w:t>There is a missed opportunity to explore</w:t>
      </w:r>
      <w:r w:rsidR="00562F65">
        <w:t xml:space="preserve"> </w:t>
      </w:r>
      <w:r>
        <w:t>some specific actions that Australia might take on the international stage as part of the Program</w:t>
      </w:r>
      <w:r w:rsidR="00562F65">
        <w:t>, under the guidelines of World Heritage</w:t>
      </w:r>
      <w:r>
        <w:t xml:space="preserve">. This would provide opportunities for the </w:t>
      </w:r>
      <w:r w:rsidR="00AD2BE9">
        <w:t xml:space="preserve">World Heritage </w:t>
      </w:r>
      <w:r>
        <w:t xml:space="preserve">Convention to work as intended through international cooperation, and provide an opportunity for </w:t>
      </w:r>
      <w:r w:rsidR="007E1785">
        <w:t>GBRMPA</w:t>
      </w:r>
      <w:r>
        <w:t xml:space="preserve"> and Australia to influence the international threats to the OUV of the </w:t>
      </w:r>
      <w:r w:rsidR="00AD2BE9">
        <w:t>Great Barrier Reef World Heritage Area</w:t>
      </w:r>
      <w:r>
        <w:t>. Such threats include clim</w:t>
      </w:r>
      <w:r w:rsidR="00AD2BE9">
        <w:t xml:space="preserve">ate change, pollution, shipping and </w:t>
      </w:r>
      <w:r>
        <w:t>impacts on migratory species</w:t>
      </w:r>
      <w:r w:rsidR="00AD2BE9">
        <w:t xml:space="preserve"> (such as </w:t>
      </w:r>
      <w:r>
        <w:t>marine turtles, whales, dugongs, shorebirds and seabirds</w:t>
      </w:r>
      <w:r w:rsidR="00AD2BE9">
        <w:t>)</w:t>
      </w:r>
      <w:r>
        <w:t>. There is an opportunity to explore options around each of these at the international level (bilateral or under various treaties).</w:t>
      </w:r>
      <w:r w:rsidRPr="001F6462">
        <w:t xml:space="preserve"> GBRMPA </w:t>
      </w:r>
      <w:r w:rsidR="00C2721D">
        <w:t>has</w:t>
      </w:r>
      <w:r w:rsidRPr="001F6462">
        <w:t xml:space="preserve"> a long history of international </w:t>
      </w:r>
      <w:r>
        <w:t xml:space="preserve">collaboration and leadership, and </w:t>
      </w:r>
      <w:r w:rsidRPr="001F6462">
        <w:t xml:space="preserve">given the significance of threats that are external to the Marine Park, continued and strengthened international efforts, not only by GBRMPA, are needed to protect and restore the OUVs of the WHA. </w:t>
      </w:r>
    </w:p>
    <w:p w:rsidR="000B1D93" w:rsidRDefault="00FF49B9" w:rsidP="000B1D93">
      <w:pPr>
        <w:pStyle w:val="Para0"/>
      </w:pPr>
      <w:r>
        <w:t>O</w:t>
      </w:r>
      <w:r w:rsidR="000B1D93">
        <w:t xml:space="preserve">ne </w:t>
      </w:r>
      <w:r>
        <w:t xml:space="preserve">World Heritage obligation is </w:t>
      </w:r>
      <w:r w:rsidR="000B1D93">
        <w:t xml:space="preserve">"giving World Heritage a meaning in the life of the community". There are multiple reasons why this obligation delivers benefits, </w:t>
      </w:r>
      <w:r w:rsidR="0000625C">
        <w:t xml:space="preserve">including the fostering of </w:t>
      </w:r>
      <w:r w:rsidR="000B1D93">
        <w:t xml:space="preserve">community support for programs to better protect and manage the </w:t>
      </w:r>
      <w:r w:rsidR="00AD2BE9">
        <w:t>Great Barrier Reef</w:t>
      </w:r>
      <w:r w:rsidR="000B1D93">
        <w:t>. It is worth h</w:t>
      </w:r>
      <w:r w:rsidR="008A63FC">
        <w:t>ighlighting this in the Program</w:t>
      </w:r>
      <w:r>
        <w:t xml:space="preserve"> </w:t>
      </w:r>
      <w:r w:rsidR="000B1D93">
        <w:t xml:space="preserve">as it has had a low profile in the past. </w:t>
      </w:r>
      <w:r w:rsidR="00AD2BE9">
        <w:t>When combined</w:t>
      </w:r>
      <w:r w:rsidR="000B1D93">
        <w:t xml:space="preserve"> w</w:t>
      </w:r>
      <w:r w:rsidR="00AD2BE9">
        <w:t>ith better communication about c</w:t>
      </w:r>
      <w:r w:rsidR="000B1D93">
        <w:t xml:space="preserve">limate </w:t>
      </w:r>
      <w:r w:rsidR="00AD2BE9">
        <w:t>c</w:t>
      </w:r>
      <w:r w:rsidR="000B1D93">
        <w:t xml:space="preserve">hange and the </w:t>
      </w:r>
      <w:r w:rsidR="00445BB4">
        <w:t>Great Barrier Reef</w:t>
      </w:r>
      <w:r w:rsidR="000B1D93">
        <w:t>, the outcome could be very positive.</w:t>
      </w:r>
    </w:p>
    <w:p w:rsidR="00D055DA" w:rsidRDefault="00E717CD" w:rsidP="00D055DA">
      <w:pPr>
        <w:pStyle w:val="Heading1"/>
      </w:pPr>
      <w:bookmarkStart w:id="33" w:name="_Toc378857210"/>
      <w:r>
        <w:lastRenderedPageBreak/>
        <w:t xml:space="preserve">Technical </w:t>
      </w:r>
      <w:r w:rsidR="00C2721D">
        <w:t>a</w:t>
      </w:r>
      <w:r w:rsidR="005D1BFE">
        <w:t>ccuracy</w:t>
      </w:r>
      <w:bookmarkEnd w:id="33"/>
      <w:r w:rsidR="00D055DA">
        <w:t xml:space="preserve"> </w:t>
      </w:r>
    </w:p>
    <w:p w:rsidR="00C37E91" w:rsidRDefault="00C37E91" w:rsidP="00570BBE">
      <w:pPr>
        <w:pStyle w:val="Heading2"/>
      </w:pPr>
      <w:bookmarkStart w:id="34" w:name="_Toc378857211"/>
      <w:r>
        <w:t>Introduction</w:t>
      </w:r>
      <w:bookmarkEnd w:id="34"/>
    </w:p>
    <w:p w:rsidR="00C37E91" w:rsidRDefault="000E57BC" w:rsidP="00C37E91">
      <w:pPr>
        <w:pStyle w:val="Para0"/>
      </w:pPr>
      <w:r>
        <w:rPr>
          <w:b/>
          <w:noProof/>
          <w:color w:val="310F47" w:themeColor="text1" w:themeShade="BF"/>
          <w:lang w:eastAsia="en-AU"/>
        </w:rPr>
        <mc:AlternateContent>
          <mc:Choice Requires="wps">
            <w:drawing>
              <wp:anchor distT="0" distB="0" distL="114300" distR="114300" simplePos="0" relativeHeight="251667456" behindDoc="0" locked="0" layoutInCell="1" allowOverlap="1">
                <wp:simplePos x="0" y="0"/>
                <wp:positionH relativeFrom="column">
                  <wp:posOffset>2937510</wp:posOffset>
                </wp:positionH>
                <wp:positionV relativeFrom="paragraph">
                  <wp:posOffset>164465</wp:posOffset>
                </wp:positionV>
                <wp:extent cx="2984500" cy="3676650"/>
                <wp:effectExtent l="38100" t="38100" r="120650" b="114300"/>
                <wp:wrapSquare wrapText="bothSides"/>
                <wp:docPr id="81" name="Rounded 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984500" cy="3676650"/>
                        </a:xfrm>
                        <a:prstGeom prst="roundRect">
                          <a:avLst/>
                        </a:prstGeom>
                        <a:solidFill>
                          <a:schemeClr val="accent6">
                            <a:lumMod val="20000"/>
                            <a:lumOff val="80000"/>
                          </a:schemeClr>
                        </a:solidFill>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233787" w:rsidRDefault="00233787" w:rsidP="005309C6">
                            <w:pPr>
                              <w:ind w:right="-104"/>
                            </w:pPr>
                            <w:r>
                              <w:rPr>
                                <w:rFonts w:asciiTheme="minorHAnsi" w:hAnsiTheme="minorHAnsi"/>
                                <w:b/>
                                <w:color w:val="7030A0"/>
                                <w:sz w:val="22"/>
                              </w:rPr>
                              <w:t xml:space="preserve">The Strategic Assessment is generally based upon the best available science, through the application of relevant literature and expert opinion in all relevant chapters. Overall, the accuracy of the information presented is high, and is </w:t>
                            </w:r>
                            <w:r w:rsidRPr="00FA07D0">
                              <w:rPr>
                                <w:rFonts w:asciiTheme="minorHAnsi" w:hAnsiTheme="minorHAnsi"/>
                                <w:b/>
                                <w:color w:val="7030A0"/>
                                <w:sz w:val="22"/>
                              </w:rPr>
                              <w:t>summarised into a series of important discussions to</w:t>
                            </w:r>
                            <w:r>
                              <w:rPr>
                                <w:rFonts w:asciiTheme="minorHAnsi" w:hAnsiTheme="minorHAnsi"/>
                                <w:b/>
                                <w:color w:val="7030A0"/>
                                <w:sz w:val="22"/>
                              </w:rPr>
                              <w:t xml:space="preserve"> link management of the Great Barrier Reef with scientific rigour. In some areas, uncertainty in the available evidence could be more comprehensively characterised and the strengths and weaknesses of data could be presented more explicitly. Conversely, where there is limited science available to guide the assessment, it would also be valuable to highlight this and seek to address knowledge gaps through implementation of the future Program.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1" o:spid="_x0000_s1029" style="position:absolute;margin-left:231.3pt;margin-top:12.95pt;width:235pt;height:28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" fillcolor="#dce6f2 [665]" strokecolor="#78736b [1604]" strokeweight="2pt">
                <v:shadow on="t" color="black" opacity="26214f" origin="-.5,-.5" offset=".74836mm,.74836mm"/>
                <v:path arrowok="t"/>
                <v:textbox>
                  <w:txbxContent>
                    <w:p w:rsidR="00233787" w:rsidRDefault="00233787" w:rsidP="005309C6">
                      <w:pPr>
                        <w:ind w:right="-104"/>
                      </w:pPr>
                      <w:r>
                        <w:rPr>
                          <w:rFonts w:asciiTheme="minorHAnsi" w:hAnsiTheme="minorHAnsi"/>
                          <w:b/>
                          <w:color w:val="7030A0"/>
                          <w:sz w:val="22"/>
                        </w:rPr>
                        <w:t xml:space="preserve">The Strategic Assessment is generally based upon the best available science, through the application of relevant literature and expert opinion in all relevant chapters. Overall, the accuracy of the information presented is high, and is </w:t>
                      </w:r>
                      <w:r w:rsidRPr="00FA07D0">
                        <w:rPr>
                          <w:rFonts w:asciiTheme="minorHAnsi" w:hAnsiTheme="minorHAnsi"/>
                          <w:b/>
                          <w:color w:val="7030A0"/>
                          <w:sz w:val="22"/>
                        </w:rPr>
                        <w:t>summarised into a series of important discussions to</w:t>
                      </w:r>
                      <w:r>
                        <w:rPr>
                          <w:rFonts w:asciiTheme="minorHAnsi" w:hAnsiTheme="minorHAnsi"/>
                          <w:b/>
                          <w:color w:val="7030A0"/>
                          <w:sz w:val="22"/>
                        </w:rPr>
                        <w:t xml:space="preserve"> link management of the Great Barrier Reef with scientific rigour. In some areas, uncertainty in the available evidence could be more comprehensively characterised and the strengths and weaknesses of data could be presented more explicitly. Conversely, where there is limited science available to guide the assessment, it would also be valuable to highlight this and seek to address knowledge gaps through implementation of the future Program. </w:t>
                      </w:r>
                    </w:p>
                  </w:txbxContent>
                </v:textbox>
                <w10:wrap type="square"/>
              </v:roundrect>
            </w:pict>
          </mc:Fallback>
        </mc:AlternateContent>
      </w:r>
      <w:r w:rsidR="00C37E91">
        <w:t>This section examines whether technical aspects of the Strategic Assessment</w:t>
      </w:r>
      <w:r w:rsidR="00113B6E">
        <w:t xml:space="preserve"> are </w:t>
      </w:r>
      <w:r w:rsidR="003D0B5E">
        <w:t>accurate</w:t>
      </w:r>
      <w:r w:rsidR="00113B6E">
        <w:t>, as determined by a critical analysis of the information and evidence presented in the reports. Consideration has been given to whether uncertainty in the evidence, where present, has been adequately characterised and whether conflict</w:t>
      </w:r>
      <w:r w:rsidR="00C2721D">
        <w:t>s</w:t>
      </w:r>
      <w:r w:rsidR="00113B6E">
        <w:t xml:space="preserve"> in the evidence </w:t>
      </w:r>
      <w:r w:rsidR="00C2721D">
        <w:t>have</w:t>
      </w:r>
      <w:r w:rsidR="00113B6E">
        <w:t xml:space="preserve"> been recorded and discussed. Recommendations for strengthening the accuracy of information provided in the Program and Assessment Reports are described.</w:t>
      </w:r>
    </w:p>
    <w:p w:rsidR="00113B6E" w:rsidRDefault="0060735E" w:rsidP="00113B6E">
      <w:pPr>
        <w:pStyle w:val="Heading2"/>
      </w:pPr>
      <w:bookmarkStart w:id="35" w:name="_Toc378857212"/>
      <w:r>
        <w:t>Best available science</w:t>
      </w:r>
      <w:bookmarkEnd w:id="35"/>
    </w:p>
    <w:p w:rsidR="00376357" w:rsidRDefault="00376357" w:rsidP="00113B6E">
      <w:pPr>
        <w:pStyle w:val="Para0"/>
      </w:pPr>
      <w:r>
        <w:t xml:space="preserve">The Strategic Assessment is comprehensively referenced and generally makes use of the available </w:t>
      </w:r>
      <w:r w:rsidR="00FC78A2">
        <w:t>scientific information</w:t>
      </w:r>
      <w:r>
        <w:t>. The authors have successfully brought together a broad and diverse assemblage of literature and linked this to key analyses</w:t>
      </w:r>
      <w:r w:rsidR="00C77528">
        <w:t xml:space="preserve"> within the assessment process, including the opinion of</w:t>
      </w:r>
      <w:r w:rsidR="00FC78A2">
        <w:t xml:space="preserve"> expert</w:t>
      </w:r>
      <w:r w:rsidR="00C77528">
        <w:t>s and stakeholders</w:t>
      </w:r>
      <w:r>
        <w:t xml:space="preserve">. </w:t>
      </w:r>
      <w:r w:rsidR="003A10CF">
        <w:t>The reader gains significant confidence from the evidence-based approa</w:t>
      </w:r>
      <w:r w:rsidR="00FC78A2">
        <w:t xml:space="preserve">ch to </w:t>
      </w:r>
      <w:r w:rsidR="00C77528">
        <w:t>the assessment</w:t>
      </w:r>
      <w:r w:rsidR="00FC78A2">
        <w:t xml:space="preserve"> throughout the documents</w:t>
      </w:r>
      <w:r w:rsidR="003A10CF">
        <w:t>.</w:t>
      </w:r>
      <w:r>
        <w:t xml:space="preserve"> </w:t>
      </w:r>
    </w:p>
    <w:p w:rsidR="006C3D6A" w:rsidRDefault="00376357" w:rsidP="006C3D6A">
      <w:pPr>
        <w:pStyle w:val="Para0"/>
      </w:pPr>
      <w:r>
        <w:t>Management of the Great</w:t>
      </w:r>
      <w:r w:rsidR="00FC78A2">
        <w:t xml:space="preserve"> Barrier Reef is a complex task. </w:t>
      </w:r>
      <w:r w:rsidR="006C3D6A" w:rsidRPr="00C71AA5">
        <w:t>GBRMPA</w:t>
      </w:r>
      <w:r w:rsidR="00855EFC">
        <w:t>, in collaboration with the Department of the Environment,</w:t>
      </w:r>
      <w:r w:rsidR="006C3D6A" w:rsidRPr="00C71AA5">
        <w:t xml:space="preserve"> identified </w:t>
      </w:r>
      <w:r w:rsidR="009E2CBD">
        <w:t>several</w:t>
      </w:r>
      <w:r w:rsidR="006C3D6A" w:rsidRPr="00C71AA5">
        <w:t xml:space="preserve"> key knowledge gaps </w:t>
      </w:r>
      <w:r w:rsidR="009E2CBD">
        <w:t>throughout</w:t>
      </w:r>
      <w:r w:rsidR="006C3D6A" w:rsidRPr="00C71AA5">
        <w:t xml:space="preserve"> the </w:t>
      </w:r>
      <w:r>
        <w:t>assessment</w:t>
      </w:r>
      <w:r w:rsidR="006C3D6A" w:rsidRPr="00C71AA5">
        <w:t xml:space="preserve"> process and commissioned </w:t>
      </w:r>
      <w:r>
        <w:t>parallel studies</w:t>
      </w:r>
      <w:r w:rsidR="006C3D6A" w:rsidRPr="00C71AA5">
        <w:t xml:space="preserve"> to </w:t>
      </w:r>
      <w:r w:rsidR="00BF4F37">
        <w:t xml:space="preserve">at least partly </w:t>
      </w:r>
      <w:r>
        <w:t>address</w:t>
      </w:r>
      <w:r w:rsidR="009E2CBD">
        <w:t xml:space="preserve"> some of</w:t>
      </w:r>
      <w:r w:rsidR="006C3D6A" w:rsidRPr="00C71AA5">
        <w:t xml:space="preserve"> these gaps. </w:t>
      </w:r>
      <w:r>
        <w:t>This demonstrates</w:t>
      </w:r>
      <w:r w:rsidR="006C3D6A" w:rsidRPr="00C71AA5">
        <w:t xml:space="preserve"> good pla</w:t>
      </w:r>
      <w:r>
        <w:t>nning and insight in</w:t>
      </w:r>
      <w:r w:rsidR="00C77528">
        <w:t>to the material issues for the Strategic A</w:t>
      </w:r>
      <w:r>
        <w:t xml:space="preserve">ssessment, and has resulted in a stronger foundation of information upon which to assess </w:t>
      </w:r>
      <w:r w:rsidR="00C77528">
        <w:t>condition and threats.</w:t>
      </w:r>
    </w:p>
    <w:p w:rsidR="006C3D6A" w:rsidRDefault="00D559FF" w:rsidP="00113B6E">
      <w:pPr>
        <w:pStyle w:val="Para0"/>
      </w:pPr>
      <w:r>
        <w:t>The independent assessment of management effectiveness</w:t>
      </w:r>
      <w:r w:rsidR="00FC78A2">
        <w:t xml:space="preserve"> (summarised in Chapter 8 of the </w:t>
      </w:r>
      <w:r w:rsidR="00C77528">
        <w:t>Assessment R</w:t>
      </w:r>
      <w:r w:rsidR="00FC78A2">
        <w:t>eport)</w:t>
      </w:r>
      <w:r>
        <w:t xml:space="preserve"> provides an accurate assessment of</w:t>
      </w:r>
      <w:r w:rsidR="00FC78A2">
        <w:t xml:space="preserve"> the current management regime </w:t>
      </w:r>
      <w:r>
        <w:t xml:space="preserve">and </w:t>
      </w:r>
      <w:r w:rsidR="00477341">
        <w:t>is a</w:t>
      </w:r>
      <w:r w:rsidR="00FC78A2">
        <w:t xml:space="preserve"> foundation of the assessment</w:t>
      </w:r>
      <w:r w:rsidR="00477341">
        <w:t>’s key findings</w:t>
      </w:r>
      <w:r>
        <w:t>.</w:t>
      </w:r>
      <w:r w:rsidR="00C77528">
        <w:t xml:space="preserve"> This </w:t>
      </w:r>
      <w:r w:rsidR="00376357">
        <w:t xml:space="preserve">identified that the </w:t>
      </w:r>
      <w:r w:rsidR="00C77528">
        <w:t>P</w:t>
      </w:r>
      <w:r w:rsidR="00B02B3A">
        <w:t>rogram</w:t>
      </w:r>
      <w:r w:rsidR="00FC78A2">
        <w:t>’</w:t>
      </w:r>
      <w:r w:rsidR="00B02B3A">
        <w:t xml:space="preserve">s strengths are </w:t>
      </w:r>
      <w:r w:rsidR="00376357">
        <w:t xml:space="preserve">generally in the areas of </w:t>
      </w:r>
      <w:r w:rsidR="00B02B3A">
        <w:t xml:space="preserve">planning and processes, </w:t>
      </w:r>
      <w:r w:rsidR="00376357">
        <w:t xml:space="preserve">with weaknesses </w:t>
      </w:r>
      <w:r w:rsidR="00C77528">
        <w:t xml:space="preserve">in </w:t>
      </w:r>
      <w:r w:rsidR="00B02B3A">
        <w:t xml:space="preserve">achieving outcomes. </w:t>
      </w:r>
      <w:r w:rsidR="00477341">
        <w:t>Such a picture</w:t>
      </w:r>
      <w:r w:rsidR="00B02B3A">
        <w:t xml:space="preserve"> is </w:t>
      </w:r>
      <w:r w:rsidR="00376357">
        <w:t>illustrated in</w:t>
      </w:r>
      <w:r w:rsidR="00B02B3A">
        <w:t xml:space="preserve"> part </w:t>
      </w:r>
      <w:r w:rsidR="00376357">
        <w:t>through</w:t>
      </w:r>
      <w:r w:rsidR="00B02B3A">
        <w:t xml:space="preserve"> the declining condition of the Great Barrier Reef, despite the </w:t>
      </w:r>
      <w:r w:rsidR="00BF4F37">
        <w:t xml:space="preserve">significant </w:t>
      </w:r>
      <w:r w:rsidR="00B02B3A">
        <w:t xml:space="preserve">investment </w:t>
      </w:r>
      <w:r w:rsidR="00BF4F37">
        <w:t xml:space="preserve">in </w:t>
      </w:r>
      <w:r w:rsidR="00B02B3A">
        <w:t>management activities</w:t>
      </w:r>
      <w:r w:rsidR="00C77528">
        <w:t xml:space="preserve">. The clear message is that </w:t>
      </w:r>
      <w:r w:rsidR="00F7598D">
        <w:t xml:space="preserve">desired </w:t>
      </w:r>
      <w:r w:rsidR="00C77528">
        <w:t>o</w:t>
      </w:r>
      <w:r w:rsidR="00376357">
        <w:t>utcomes are difficult to achieve for some of the most significant</w:t>
      </w:r>
      <w:r w:rsidR="00C77528">
        <w:t xml:space="preserve"> (and complex)</w:t>
      </w:r>
      <w:r w:rsidR="00376357">
        <w:t xml:space="preserve"> management issues threatening the </w:t>
      </w:r>
      <w:r w:rsidR="00C77528">
        <w:t>Great Barrier Reef ecosystem</w:t>
      </w:r>
      <w:r w:rsidR="00B02B3A">
        <w:t>.</w:t>
      </w:r>
      <w:r w:rsidR="00C2650A">
        <w:t xml:space="preserve"> The Assessment Report has responded to these findings</w:t>
      </w:r>
      <w:r w:rsidR="001D37F4">
        <w:t>,</w:t>
      </w:r>
      <w:r w:rsidR="001D37F4" w:rsidRPr="001D37F4">
        <w:t xml:space="preserve"> </w:t>
      </w:r>
      <w:r w:rsidR="001D37F4">
        <w:t>which appear to have been received in March 2013,</w:t>
      </w:r>
      <w:r w:rsidR="00C2650A">
        <w:t xml:space="preserve"> through the development of a target-based management framework, </w:t>
      </w:r>
      <w:r w:rsidR="00477341">
        <w:t>demonstrating</w:t>
      </w:r>
      <w:r w:rsidR="00C2650A">
        <w:t xml:space="preserve"> a level of responsi</w:t>
      </w:r>
      <w:r w:rsidR="001C5EA0">
        <w:t>veness</w:t>
      </w:r>
      <w:r w:rsidR="00C2650A">
        <w:t>.</w:t>
      </w:r>
    </w:p>
    <w:p w:rsidR="00570BBE" w:rsidRDefault="0060735E" w:rsidP="00570BBE">
      <w:pPr>
        <w:pStyle w:val="Heading2"/>
      </w:pPr>
      <w:bookmarkStart w:id="36" w:name="_Toc378857213"/>
      <w:r>
        <w:t>Improving technical rigo</w:t>
      </w:r>
      <w:r w:rsidR="00F7598D">
        <w:t>u</w:t>
      </w:r>
      <w:r>
        <w:t>r</w:t>
      </w:r>
      <w:bookmarkEnd w:id="36"/>
    </w:p>
    <w:p w:rsidR="003A10CF" w:rsidRDefault="003A10CF" w:rsidP="003A10CF">
      <w:pPr>
        <w:pStyle w:val="Para0"/>
      </w:pPr>
      <w:r>
        <w:t xml:space="preserve">There are a relatively small number of areas where the information presented in the Assessment Report is not correct or </w:t>
      </w:r>
      <w:r w:rsidR="00FC78A2">
        <w:t>appears to fall short of explaining</w:t>
      </w:r>
      <w:r>
        <w:t xml:space="preserve"> the </w:t>
      </w:r>
      <w:r w:rsidR="00C77528">
        <w:t>complete picture</w:t>
      </w:r>
      <w:r>
        <w:t xml:space="preserve">. In some cases, the effectiveness of management or </w:t>
      </w:r>
      <w:r w:rsidR="001C5EA0">
        <w:t xml:space="preserve">the </w:t>
      </w:r>
      <w:r>
        <w:t>significance of some perceived i</w:t>
      </w:r>
      <w:r w:rsidR="00FC78A2">
        <w:t>mpacts appear to have been over</w:t>
      </w:r>
      <w:r>
        <w:t>stated</w:t>
      </w:r>
      <w:r w:rsidR="00FC78A2">
        <w:t xml:space="preserve"> when </w:t>
      </w:r>
      <w:r w:rsidR="001C5EA0">
        <w:t>considering</w:t>
      </w:r>
      <w:r w:rsidR="00FC78A2">
        <w:t xml:space="preserve"> the </w:t>
      </w:r>
      <w:r>
        <w:t>infor</w:t>
      </w:r>
      <w:r w:rsidR="00FC78A2">
        <w:t xml:space="preserve">mation presented in the reports. Key examples are provided in the following </w:t>
      </w:r>
      <w:r w:rsidR="001C5EA0">
        <w:t>paragraphs</w:t>
      </w:r>
      <w:r w:rsidR="00FC78A2">
        <w:t>.</w:t>
      </w:r>
    </w:p>
    <w:p w:rsidR="003A10CF" w:rsidRDefault="003A10CF" w:rsidP="003A10CF">
      <w:pPr>
        <w:pStyle w:val="Para0"/>
      </w:pPr>
      <w:r>
        <w:t>When discussing the impacts o</w:t>
      </w:r>
      <w:r w:rsidR="00C2721D">
        <w:t>f vessel strike on wildlife on p</w:t>
      </w:r>
      <w:r w:rsidRPr="00C71AA5">
        <w:t xml:space="preserve">age 6-55 of </w:t>
      </w:r>
      <w:r w:rsidR="00FC78A2">
        <w:t xml:space="preserve">the </w:t>
      </w:r>
      <w:r w:rsidRPr="00C71AA5">
        <w:t>Assessment Report</w:t>
      </w:r>
      <w:r>
        <w:t xml:space="preserve">, it is stated that “go slow areas and transit lanes have been declared in some areas where there is high vessel traffic and large </w:t>
      </w:r>
      <w:r>
        <w:lastRenderedPageBreak/>
        <w:t>populations of marine turtles or dugongs, such as near Hinchinbrook Island”</w:t>
      </w:r>
      <w:r w:rsidRPr="00C71AA5">
        <w:t xml:space="preserve">. </w:t>
      </w:r>
      <w:r>
        <w:t xml:space="preserve">This appears to be overstating the current management </w:t>
      </w:r>
      <w:r w:rsidR="00C77528">
        <w:t xml:space="preserve">arrangements in place </w:t>
      </w:r>
      <w:r>
        <w:t xml:space="preserve">to </w:t>
      </w:r>
      <w:r w:rsidR="00C77528">
        <w:t>address</w:t>
      </w:r>
      <w:r>
        <w:t xml:space="preserve"> </w:t>
      </w:r>
      <w:r w:rsidR="00E3170A">
        <w:t xml:space="preserve">the risk of </w:t>
      </w:r>
      <w:r>
        <w:t>boat strike</w:t>
      </w:r>
      <w:r w:rsidR="001C5EA0">
        <w:t xml:space="preserve"> on marine fauna</w:t>
      </w:r>
      <w:r>
        <w:t xml:space="preserve">. </w:t>
      </w:r>
      <w:r w:rsidR="00E3170A">
        <w:t xml:space="preserve">While ‘go slow areas’ have been designated within </w:t>
      </w:r>
      <w:r w:rsidR="001C5EA0">
        <w:t xml:space="preserve">the </w:t>
      </w:r>
      <w:r w:rsidR="00E3170A">
        <w:t xml:space="preserve">zoning plans of </w:t>
      </w:r>
      <w:r w:rsidR="00FC78A2">
        <w:t>Queensland’s</w:t>
      </w:r>
      <w:r w:rsidR="00E3170A">
        <w:t xml:space="preserve"> Moreton Bay Marine Park and Great Sandy Marine Park, no such areas have been gazetted in the Great Barrier Reef Marine Park. Marked t</w:t>
      </w:r>
      <w:r w:rsidRPr="00C71AA5">
        <w:t xml:space="preserve">ransit lanes </w:t>
      </w:r>
      <w:r w:rsidR="00FC78A2">
        <w:t xml:space="preserve">have been established </w:t>
      </w:r>
      <w:r w:rsidR="00E3170A">
        <w:t>near Hinchinbrook Island</w:t>
      </w:r>
      <w:r w:rsidR="00FC78A2">
        <w:t>, but they</w:t>
      </w:r>
      <w:r w:rsidR="00E3170A">
        <w:t xml:space="preserve"> are</w:t>
      </w:r>
      <w:r w:rsidRPr="00C71AA5">
        <w:t xml:space="preserve"> voluntary </w:t>
      </w:r>
      <w:r w:rsidR="00E3170A">
        <w:t>and have been reported to be of limited effectiveness in changing the behaviour of vessel operators (</w:t>
      </w:r>
      <w:r w:rsidR="008A63FC">
        <w:t>Andersson 2008</w:t>
      </w:r>
      <w:r w:rsidR="00E3170A">
        <w:t xml:space="preserve">). </w:t>
      </w:r>
      <w:r w:rsidR="00C77528">
        <w:t>Perhaps more relevant to the conservation of threatened species is the temporary d</w:t>
      </w:r>
      <w:r w:rsidR="00E3170A">
        <w:t>esignated vessel routes and reduced speed limits</w:t>
      </w:r>
      <w:r w:rsidR="00C77528">
        <w:t xml:space="preserve"> that</w:t>
      </w:r>
      <w:r w:rsidR="00E3170A">
        <w:t xml:space="preserve"> have been adopted for some areas of the World Heritage Area through approved environmental management plans for construction projects</w:t>
      </w:r>
      <w:r w:rsidR="00FC78A2">
        <w:t xml:space="preserve"> (e.g. </w:t>
      </w:r>
      <w:r w:rsidR="00E3170A">
        <w:t>the construction of LNG plants and associated dredging in Gladstone Harbour</w:t>
      </w:r>
      <w:r w:rsidR="00FC78A2">
        <w:t>)</w:t>
      </w:r>
      <w:r w:rsidR="00E3170A">
        <w:t xml:space="preserve">. </w:t>
      </w:r>
      <w:r w:rsidR="001C5EA0">
        <w:t>While these</w:t>
      </w:r>
      <w:r w:rsidR="00E3170A">
        <w:t xml:space="preserve"> management arrangements </w:t>
      </w:r>
      <w:r w:rsidR="001C5EA0">
        <w:t xml:space="preserve">are often imposed through the </w:t>
      </w:r>
      <w:r w:rsidR="001D37F4">
        <w:t>EPBC Act</w:t>
      </w:r>
      <w:r w:rsidR="001C5EA0">
        <w:t xml:space="preserve"> (and are therefore not strictly part of the GBRMPA Program), they </w:t>
      </w:r>
      <w:r w:rsidR="00E3170A">
        <w:t xml:space="preserve">have mutual benefits for marine safety and wildlife management and are worthy of some discussion in this </w:t>
      </w:r>
      <w:r w:rsidR="001D37F4">
        <w:t>chapter, particularly if based on advice from GBRMPA staff.</w:t>
      </w:r>
    </w:p>
    <w:p w:rsidR="001C1882" w:rsidRDefault="004F4F8B" w:rsidP="002A1204">
      <w:pPr>
        <w:pStyle w:val="Para0"/>
      </w:pPr>
      <w:r>
        <w:t>For two key issues</w:t>
      </w:r>
      <w:r w:rsidR="00E577CC">
        <w:t>,</w:t>
      </w:r>
      <w:r w:rsidR="001D37F4">
        <w:t xml:space="preserve"> inshore reefs and COTS,</w:t>
      </w:r>
      <w:r>
        <w:t xml:space="preserve"> it is often insufficiently clear the extent to which key conclusions are based more on scient</w:t>
      </w:r>
      <w:r w:rsidR="00E577CC">
        <w:t xml:space="preserve">ific consensus rather than high </w:t>
      </w:r>
      <w:r>
        <w:t xml:space="preserve">quality data. </w:t>
      </w:r>
      <w:r w:rsidR="001D37F4">
        <w:t>In</w:t>
      </w:r>
      <w:r>
        <w:t xml:space="preserve">shore reefs </w:t>
      </w:r>
      <w:r w:rsidR="00C2650A">
        <w:t xml:space="preserve">in the southern section of the Great Barrier Reef </w:t>
      </w:r>
      <w:r>
        <w:t xml:space="preserve">are particularly degraded. Two publications are repeatedly cited to support this conclusion: De’ath </w:t>
      </w:r>
      <w:r w:rsidR="002C4C82" w:rsidRPr="002C4C82">
        <w:rPr>
          <w:i/>
        </w:rPr>
        <w:t>et al.</w:t>
      </w:r>
      <w:r>
        <w:t xml:space="preserve"> (2012) and Roff </w:t>
      </w:r>
      <w:r w:rsidR="002C4C82" w:rsidRPr="002C4C82">
        <w:rPr>
          <w:i/>
        </w:rPr>
        <w:t>et al.</w:t>
      </w:r>
      <w:r>
        <w:t xml:space="preserve"> (2013). The decline reported by De’ath </w:t>
      </w:r>
      <w:r w:rsidR="002C4C82" w:rsidRPr="002C4C82">
        <w:rPr>
          <w:i/>
        </w:rPr>
        <w:t>et al.</w:t>
      </w:r>
      <w:r>
        <w:t xml:space="preserve"> (2012) was largely driven by a dramatic decrease in coral cover in the southern third of the reef, where the data used do not include any inshore reefs, and in the </w:t>
      </w:r>
      <w:r w:rsidR="003C54D9">
        <w:t>central</w:t>
      </w:r>
      <w:r>
        <w:t xml:space="preserve"> third of the reef (still the southern section in terms of the </w:t>
      </w:r>
      <w:r w:rsidR="003C54D9">
        <w:t>Strategic Assessment) trends for inshore compared with</w:t>
      </w:r>
      <w:r>
        <w:t xml:space="preserve"> offshore reefs are not reported. The apparent phase change in an inshore reef reported by Roff </w:t>
      </w:r>
      <w:r w:rsidR="002C4C82" w:rsidRPr="002C4C82">
        <w:rPr>
          <w:i/>
        </w:rPr>
        <w:t>et al.</w:t>
      </w:r>
      <w:r>
        <w:t xml:space="preserve"> (201</w:t>
      </w:r>
      <w:r w:rsidR="004D1182">
        <w:t>3</w:t>
      </w:r>
      <w:r>
        <w:t>) was reported from a single inshore site (Pelorus Island) relatively far to the north</w:t>
      </w:r>
      <w:r w:rsidR="00C2650A">
        <w:t xml:space="preserve">, </w:t>
      </w:r>
      <w:r>
        <w:t xml:space="preserve">directly off the mouth of the Herbert River (in the Wet Tropics, rated the highest water quality risk in Reef Plan 2013). Thus, </w:t>
      </w:r>
      <w:r w:rsidR="00C2650A">
        <w:t>whilst these</w:t>
      </w:r>
      <w:r>
        <w:t xml:space="preserve"> papers are consistent with the conclusion that inshore southern reefs are particularly degraded, they do not provide conclusive evidence </w:t>
      </w:r>
      <w:r w:rsidR="00E577CC">
        <w:t xml:space="preserve">of declines </w:t>
      </w:r>
      <w:r>
        <w:t xml:space="preserve">on a regional scale. </w:t>
      </w:r>
    </w:p>
    <w:p w:rsidR="00E577CC" w:rsidRDefault="004F4F8B" w:rsidP="002A1204">
      <w:pPr>
        <w:pStyle w:val="Para0"/>
      </w:pPr>
      <w:r>
        <w:t xml:space="preserve">Regarding the </w:t>
      </w:r>
      <w:r w:rsidR="001315A1">
        <w:t>palaeoecological</w:t>
      </w:r>
      <w:r>
        <w:t xml:space="preserve"> phase shift reported for Pelorus Island, the conflicting view of Browne </w:t>
      </w:r>
      <w:r w:rsidR="002C4C82" w:rsidRPr="002C4C82">
        <w:rPr>
          <w:i/>
        </w:rPr>
        <w:t>et al.</w:t>
      </w:r>
      <w:r>
        <w:t xml:space="preserve"> (2012) that inshore turbid reefs have been stable on pal</w:t>
      </w:r>
      <w:r w:rsidR="001315A1">
        <w:t>a</w:t>
      </w:r>
      <w:r>
        <w:t xml:space="preserve">eoecological time scales is not acknowledged. </w:t>
      </w:r>
      <w:r w:rsidR="00C2650A">
        <w:t xml:space="preserve">It is </w:t>
      </w:r>
      <w:r w:rsidR="003C54D9">
        <w:t xml:space="preserve">therefore </w:t>
      </w:r>
      <w:r w:rsidR="00C2650A">
        <w:t>recommended that there be</w:t>
      </w:r>
      <w:r>
        <w:t xml:space="preserve"> more discussion of the recently established </w:t>
      </w:r>
      <w:r w:rsidR="003C54D9">
        <w:t>inshore reef monitoring program</w:t>
      </w:r>
      <w:r w:rsidR="00E577CC">
        <w:t>,</w:t>
      </w:r>
      <w:r w:rsidR="003C54D9">
        <w:t xml:space="preserve"> and</w:t>
      </w:r>
      <w:r>
        <w:t xml:space="preserve"> </w:t>
      </w:r>
      <w:r w:rsidR="00C2650A">
        <w:t>that greater clarity is provided</w:t>
      </w:r>
      <w:r>
        <w:t xml:space="preserve"> that the decline in inshore southern reefs reflects consensus rather than high-quality data on appropriate spatial and time scales. </w:t>
      </w:r>
      <w:r w:rsidR="003C54D9">
        <w:t>The information presented</w:t>
      </w:r>
      <w:r>
        <w:t xml:space="preserve"> is the best available science and </w:t>
      </w:r>
      <w:r w:rsidR="003C54D9">
        <w:t>the</w:t>
      </w:r>
      <w:r>
        <w:t xml:space="preserve"> decline or the need for urgent action</w:t>
      </w:r>
      <w:r w:rsidR="003C54D9">
        <w:t xml:space="preserve"> is not disputed. Indeed, the information available illustrate</w:t>
      </w:r>
      <w:r w:rsidR="00282934">
        <w:t>s</w:t>
      </w:r>
      <w:r w:rsidR="003C54D9">
        <w:t xml:space="preserve"> the</w:t>
      </w:r>
      <w:r>
        <w:t xml:space="preserve"> urgent need for better data regarding trends in inshore reef condition. </w:t>
      </w:r>
    </w:p>
    <w:p w:rsidR="002A1204" w:rsidRDefault="004F4F8B" w:rsidP="002A1204">
      <w:pPr>
        <w:pStyle w:val="Para0"/>
      </w:pPr>
      <w:r>
        <w:t xml:space="preserve">Chapter 7 of the </w:t>
      </w:r>
      <w:r w:rsidR="003C54D9">
        <w:t>Strategic Assessment</w:t>
      </w:r>
      <w:r>
        <w:t xml:space="preserve"> acknowledge</w:t>
      </w:r>
      <w:r w:rsidR="00282934">
        <w:t>s</w:t>
      </w:r>
      <w:r>
        <w:t xml:space="preserve"> that inshore reefs are relatively poorly studie</w:t>
      </w:r>
      <w:r w:rsidR="003C54D9">
        <w:t>d</w:t>
      </w:r>
      <w:r>
        <w:t xml:space="preserve">, but </w:t>
      </w:r>
      <w:r w:rsidR="003C54D9">
        <w:t xml:space="preserve">such qualifications </w:t>
      </w:r>
      <w:r w:rsidR="00BF4F37">
        <w:t>are not consistently communicated throughout</w:t>
      </w:r>
      <w:r w:rsidR="003C54D9">
        <w:t xml:space="preserve"> the report</w:t>
      </w:r>
      <w:r>
        <w:t>.</w:t>
      </w:r>
      <w:r w:rsidR="002A1204">
        <w:t xml:space="preserve"> The decline of southern inshore reefs is rated as having high-quality evidence a</w:t>
      </w:r>
      <w:r w:rsidR="00282934">
        <w:t>nd high degree of consensus on p</w:t>
      </w:r>
      <w:r w:rsidR="00E577CC">
        <w:t>age</w:t>
      </w:r>
      <w:r w:rsidR="002A1204">
        <w:t xml:space="preserve"> 7-11</w:t>
      </w:r>
      <w:r w:rsidR="00E577CC">
        <w:t xml:space="preserve"> of the Assessment Report</w:t>
      </w:r>
      <w:r w:rsidR="002A1204">
        <w:t>. Consensus is clear, but high-quality ev</w:t>
      </w:r>
      <w:r w:rsidR="00282934">
        <w:t>idence is more problematic. On p</w:t>
      </w:r>
      <w:r w:rsidR="002A1204">
        <w:t>age 7-51</w:t>
      </w:r>
      <w:r w:rsidR="00E577CC">
        <w:t xml:space="preserve"> of the Assessment Report</w:t>
      </w:r>
      <w:r w:rsidR="002A1204">
        <w:t xml:space="preserve">, the status and trends of inshore fringing reefs are identified as a key information gap. </w:t>
      </w:r>
      <w:r w:rsidR="00F7598D">
        <w:t>Consistent with the precautionary principle, l</w:t>
      </w:r>
      <w:r w:rsidR="002A1204">
        <w:t xml:space="preserve">ack of data should not become </w:t>
      </w:r>
      <w:r w:rsidR="001C1882">
        <w:t>the basis</w:t>
      </w:r>
      <w:r w:rsidR="002A1204">
        <w:t xml:space="preserve"> for inaction</w:t>
      </w:r>
      <w:r w:rsidR="00E577CC">
        <w:t>,</w:t>
      </w:r>
      <w:r w:rsidR="002A1204">
        <w:t xml:space="preserve"> but the importance of </w:t>
      </w:r>
      <w:r w:rsidR="00E577CC">
        <w:t>obtaining</w:t>
      </w:r>
      <w:r w:rsidR="002A1204">
        <w:t xml:space="preserve"> better information </w:t>
      </w:r>
      <w:r w:rsidR="00E577CC">
        <w:t xml:space="preserve">to apply to an improved </w:t>
      </w:r>
      <w:r w:rsidR="002A1204">
        <w:t xml:space="preserve">understanding </w:t>
      </w:r>
      <w:r w:rsidR="00E577CC">
        <w:t xml:space="preserve">of </w:t>
      </w:r>
      <w:r w:rsidR="002A1204">
        <w:t>resilience, recovery and restoration does not come through consistently</w:t>
      </w:r>
      <w:r w:rsidR="00E577CC">
        <w:t xml:space="preserve"> in the assessment</w:t>
      </w:r>
      <w:r w:rsidR="002A1204">
        <w:t>.</w:t>
      </w:r>
    </w:p>
    <w:p w:rsidR="004F4F8B" w:rsidRDefault="001D37F4" w:rsidP="004F4F8B">
      <w:pPr>
        <w:pStyle w:val="Para0"/>
      </w:pPr>
      <w:r>
        <w:t>For the</w:t>
      </w:r>
      <w:r w:rsidR="004F4F8B">
        <w:t xml:space="preserve"> link between nutrients and outbreaks</w:t>
      </w:r>
      <w:r w:rsidR="003C54D9">
        <w:t xml:space="preserve"> of the COTS</w:t>
      </w:r>
      <w:r>
        <w:t xml:space="preserve">, </w:t>
      </w:r>
      <w:r w:rsidR="003C54D9">
        <w:t xml:space="preserve">the referenced literature is </w:t>
      </w:r>
      <w:r w:rsidR="004F4F8B">
        <w:t>the best available science</w:t>
      </w:r>
      <w:r w:rsidR="003C54D9">
        <w:t>, but is</w:t>
      </w:r>
      <w:r w:rsidR="004F4F8B">
        <w:t xml:space="preserve"> essentially based on two papers (Brodie </w:t>
      </w:r>
      <w:r w:rsidR="002C4C82" w:rsidRPr="002C4C82">
        <w:rPr>
          <w:i/>
        </w:rPr>
        <w:t>et al.</w:t>
      </w:r>
      <w:r w:rsidR="004F4F8B">
        <w:t xml:space="preserve"> 2005; Fabricius </w:t>
      </w:r>
      <w:r w:rsidR="002C4C82" w:rsidRPr="002C4C82">
        <w:rPr>
          <w:i/>
        </w:rPr>
        <w:t>et al.</w:t>
      </w:r>
      <w:r w:rsidR="004F4F8B">
        <w:t xml:space="preserve"> 2010) by the same research team. The </w:t>
      </w:r>
      <w:r w:rsidR="003C54D9">
        <w:t xml:space="preserve">Assessment Report is </w:t>
      </w:r>
      <w:r w:rsidR="004F4F8B">
        <w:t>inconsistent in characterising the strength of the evidence (e</w:t>
      </w:r>
      <w:r w:rsidR="003C54D9">
        <w:t>.</w:t>
      </w:r>
      <w:r w:rsidR="004F4F8B">
        <w:t>g</w:t>
      </w:r>
      <w:r w:rsidR="003C54D9">
        <w:t>.</w:t>
      </w:r>
      <w:r w:rsidR="004F4F8B">
        <w:t xml:space="preserve"> “emerging evidence” vs “strong evidence” in various places)</w:t>
      </w:r>
      <w:r w:rsidR="00BD0E5F">
        <w:t xml:space="preserve">. More </w:t>
      </w:r>
      <w:r w:rsidR="004F4F8B">
        <w:t>importantly</w:t>
      </w:r>
      <w:r w:rsidR="00BD0E5F">
        <w:t>,</w:t>
      </w:r>
      <w:r w:rsidR="004F4F8B">
        <w:t xml:space="preserve"> the assessment appears to accept the link between water quality and COTS without question. The finding that COTS are less abundant in </w:t>
      </w:r>
      <w:r w:rsidR="003C54D9">
        <w:t>Marine National Park Zo</w:t>
      </w:r>
      <w:r w:rsidR="004F4F8B">
        <w:t>nes is mentioned in places but not emphasised. This does not detract in any way from the importance of improved water quality, but the assessment appears to assume that improved water quality will solve the COTS</w:t>
      </w:r>
      <w:r w:rsidR="003C54D9">
        <w:t xml:space="preserve"> outbreak</w:t>
      </w:r>
      <w:r w:rsidR="004F4F8B">
        <w:t xml:space="preserve"> problem. The assessment refer</w:t>
      </w:r>
      <w:r w:rsidR="00282934">
        <w:t>s</w:t>
      </w:r>
      <w:r w:rsidR="004F4F8B">
        <w:t xml:space="preserve"> to the potential direct </w:t>
      </w:r>
      <w:r w:rsidR="00E577CC">
        <w:t xml:space="preserve">control of COTS outbreaks, but </w:t>
      </w:r>
      <w:r w:rsidR="004F4F8B">
        <w:t xml:space="preserve">would benefit from a more systematic consideration of </w:t>
      </w:r>
      <w:r w:rsidR="003C54D9">
        <w:t>alternative plans</w:t>
      </w:r>
      <w:r w:rsidR="004F4F8B">
        <w:t xml:space="preserve"> if it turns out that water quality improvement is not </w:t>
      </w:r>
      <w:r w:rsidR="003C54D9">
        <w:t>sufficient</w:t>
      </w:r>
      <w:r w:rsidR="004F4F8B">
        <w:t>. Given the importance of COTS</w:t>
      </w:r>
      <w:r w:rsidR="003C54D9">
        <w:t xml:space="preserve"> outbreaks to the declining condition of the Great Barrier Reef</w:t>
      </w:r>
      <w:r w:rsidR="004F4F8B">
        <w:t xml:space="preserve">, it is surprising that the assessment does not identify any knowledge gaps/research </w:t>
      </w:r>
      <w:r w:rsidR="00E577CC">
        <w:t>priorities</w:t>
      </w:r>
      <w:r w:rsidR="004F4F8B">
        <w:t xml:space="preserve"> </w:t>
      </w:r>
      <w:r w:rsidR="00E577CC">
        <w:t>to improve the management of</w:t>
      </w:r>
      <w:r w:rsidR="004F4F8B">
        <w:t xml:space="preserve"> COTS</w:t>
      </w:r>
      <w:r w:rsidR="003C54D9">
        <w:t xml:space="preserve"> outbreaks. It would be useful to clarify whether </w:t>
      </w:r>
      <w:r w:rsidR="007E1785">
        <w:t>GBRMPA</w:t>
      </w:r>
      <w:r w:rsidR="004F4F8B">
        <w:t xml:space="preserve"> consider</w:t>
      </w:r>
      <w:r w:rsidR="003C54D9">
        <w:t>s</w:t>
      </w:r>
      <w:r w:rsidR="004F4F8B">
        <w:t xml:space="preserve"> that current scientific understanding</w:t>
      </w:r>
      <w:r w:rsidR="003C54D9">
        <w:t xml:space="preserve"> of COTS outbreaks is adequate for management.</w:t>
      </w:r>
    </w:p>
    <w:p w:rsidR="004F4F8B" w:rsidRDefault="00282934" w:rsidP="004F4F8B">
      <w:pPr>
        <w:pStyle w:val="Para0"/>
      </w:pPr>
      <w:r>
        <w:lastRenderedPageBreak/>
        <w:t>Chapter 3 of the Assessment R</w:t>
      </w:r>
      <w:r w:rsidR="003C54D9">
        <w:t>eport appears to</w:t>
      </w:r>
      <w:r w:rsidR="004F4F8B" w:rsidRPr="004F4F8B">
        <w:t xml:space="preserve"> overstate the evidence provided by the cited papers for benefits of the 2003 </w:t>
      </w:r>
      <w:r w:rsidR="003C54D9">
        <w:t>rezoning of the Great Barrier Reef</w:t>
      </w:r>
      <w:r w:rsidR="00E577CC">
        <w:t xml:space="preserve"> Marine Park</w:t>
      </w:r>
      <w:r w:rsidR="004F4F8B" w:rsidRPr="004F4F8B">
        <w:t xml:space="preserve"> to sharks, dugongs, and turtles</w:t>
      </w:r>
      <w:r w:rsidR="00B605B6">
        <w:t xml:space="preserve"> (</w:t>
      </w:r>
      <w:r>
        <w:t>p</w:t>
      </w:r>
      <w:r w:rsidR="00B605B6">
        <w:t>age 3-22</w:t>
      </w:r>
      <w:r w:rsidR="00E577CC">
        <w:t xml:space="preserve"> of </w:t>
      </w:r>
      <w:r>
        <w:t xml:space="preserve">the </w:t>
      </w:r>
      <w:r w:rsidR="00E577CC">
        <w:t>Assessment Report</w:t>
      </w:r>
      <w:r w:rsidR="00B605B6">
        <w:t>)</w:t>
      </w:r>
      <w:r w:rsidR="004F4F8B" w:rsidRPr="004F4F8B">
        <w:t xml:space="preserve">. Reference 14 (McCook </w:t>
      </w:r>
      <w:r w:rsidR="002C4C82" w:rsidRPr="002C4C82">
        <w:rPr>
          <w:i/>
        </w:rPr>
        <w:t>et al.</w:t>
      </w:r>
      <w:r>
        <w:t xml:space="preserve"> 2010) </w:t>
      </w:r>
      <w:r w:rsidR="004F4F8B" w:rsidRPr="004F4F8B">
        <w:t>state</w:t>
      </w:r>
      <w:r>
        <w:t>s</w:t>
      </w:r>
      <w:r w:rsidR="004F4F8B" w:rsidRPr="004F4F8B">
        <w:t xml:space="preserve"> that sharks have benefited, but also that these benefits are less than for more site-attached species. For dugongs, McCook </w:t>
      </w:r>
      <w:r w:rsidR="002C4C82" w:rsidRPr="002C4C82">
        <w:rPr>
          <w:i/>
        </w:rPr>
        <w:t>et al.</w:t>
      </w:r>
      <w:r w:rsidR="004F4F8B" w:rsidRPr="004F4F8B">
        <w:t xml:space="preserve"> (2010) discuss the increased portion of critical habitat</w:t>
      </w:r>
      <w:r w:rsidR="003C54D9">
        <w:t xml:space="preserve"> protected by the 2003 rezoning. However,</w:t>
      </w:r>
      <w:r w:rsidR="004F4F8B" w:rsidRPr="004F4F8B">
        <w:t xml:space="preserve"> they do not provide </w:t>
      </w:r>
      <w:r w:rsidR="003C54D9">
        <w:t xml:space="preserve">evidence for beneficial effects and </w:t>
      </w:r>
      <w:r w:rsidR="004F4F8B" w:rsidRPr="004F4F8B">
        <w:t xml:space="preserve">note that other protective measures are needed. McCook </w:t>
      </w:r>
      <w:r w:rsidR="002C4C82" w:rsidRPr="002C4C82">
        <w:rPr>
          <w:i/>
        </w:rPr>
        <w:t>et al.</w:t>
      </w:r>
      <w:r w:rsidR="004F4F8B" w:rsidRPr="004F4F8B">
        <w:t xml:space="preserve"> (2010) treat turtles in a similar manner. Reference 17 (Marsh </w:t>
      </w:r>
      <w:r w:rsidR="002C4C82" w:rsidRPr="002C4C82">
        <w:rPr>
          <w:i/>
        </w:rPr>
        <w:t>et al.</w:t>
      </w:r>
      <w:r w:rsidR="004F4F8B" w:rsidRPr="004F4F8B">
        <w:t xml:space="preserve"> 2005) does not address possible benefits of the rezoning for dugong, which would have been highly unlikely to occur on the short time scale between rezoning and the publication of this paper. Reference 18 (Gell </w:t>
      </w:r>
      <w:r w:rsidR="00485F48">
        <w:t>and</w:t>
      </w:r>
      <w:r w:rsidR="004F4F8B" w:rsidRPr="004F4F8B">
        <w:t xml:space="preserve"> Roberts 2003) is a general review and provides no information re</w:t>
      </w:r>
      <w:r w:rsidR="00B605B6">
        <w:t xml:space="preserve">garding the effects of rezoning. Indeed, the </w:t>
      </w:r>
      <w:r w:rsidR="004F4F8B" w:rsidRPr="004F4F8B">
        <w:t>paper was published before the rezoning was implemented.</w:t>
      </w:r>
      <w:r w:rsidR="00B605B6">
        <w:t xml:space="preserve"> While there is clear scientific evidence that Marine National Park Zones and related measures provide benefits for biodiversity, some of the above-mentioned references appear to have been cited out of context.</w:t>
      </w:r>
    </w:p>
    <w:p w:rsidR="00423F93" w:rsidRDefault="00282934" w:rsidP="00423F93">
      <w:pPr>
        <w:pStyle w:val="Para0"/>
      </w:pPr>
      <w:r>
        <w:t>On p</w:t>
      </w:r>
      <w:r w:rsidR="00B605B6">
        <w:t>age 5-29 of the Assessment Report, the us</w:t>
      </w:r>
      <w:r w:rsidR="00423F93">
        <w:t xml:space="preserve">e of reference 114 (Erftemeijer </w:t>
      </w:r>
      <w:r w:rsidR="00485F48">
        <w:t>and</w:t>
      </w:r>
      <w:r w:rsidR="00423F93">
        <w:t xml:space="preserve"> Lewis 2006) as providing evidence for the unqualified statement “</w:t>
      </w:r>
      <w:r>
        <w:t>Dredging to improve vessel access and the installation, operation and maintenance of infrastructure is affecting habitats and species</w:t>
      </w:r>
      <w:r w:rsidR="00423F93">
        <w:t>” is inappropriate. As the lead sentence of this paragraph, the statement implies</w:t>
      </w:r>
      <w:r w:rsidR="00E577CC">
        <w:t xml:space="preserve"> widespread impacts of dredging</w:t>
      </w:r>
      <w:r w:rsidR="00423F93">
        <w:t xml:space="preserve"> on a range of habitats and species (presumably meaning at </w:t>
      </w:r>
      <w:r w:rsidR="00E577CC">
        <w:t>a significant population level)</w:t>
      </w:r>
      <w:r w:rsidR="00423F93">
        <w:t xml:space="preserve"> within the </w:t>
      </w:r>
      <w:r>
        <w:t>r</w:t>
      </w:r>
      <w:r w:rsidR="00423F93">
        <w:t xml:space="preserve">egion. Erftemeijer </w:t>
      </w:r>
      <w:r w:rsidR="00485F48">
        <w:t>and</w:t>
      </w:r>
      <w:r w:rsidR="00423F93">
        <w:t xml:space="preserve"> Lewis’s review focused entirely o</w:t>
      </w:r>
      <w:r w:rsidR="00E577CC">
        <w:t>n one specific group (seagrass</w:t>
      </w:r>
      <w:r w:rsidR="00423F93">
        <w:t xml:space="preserve">), </w:t>
      </w:r>
      <w:r w:rsidR="00B605B6">
        <w:t>reported</w:t>
      </w:r>
      <w:r w:rsidR="00423F93">
        <w:t xml:space="preserve"> that some dredging projects </w:t>
      </w:r>
      <w:r w:rsidR="00E577CC">
        <w:t>recorded</w:t>
      </w:r>
      <w:r w:rsidR="00423F93">
        <w:t xml:space="preserve"> no significant long-term effects, concluded that the potential sensitivity of seagrasses to dredging-induced sedimentation is highly site-specific, and reported that improved mitigation measures (which have to a significant extent been applied to dredging in the</w:t>
      </w:r>
      <w:r w:rsidR="00B605B6">
        <w:t xml:space="preserve"> Great Barrier Reef</w:t>
      </w:r>
      <w:r w:rsidR="00423F93">
        <w:t xml:space="preserve"> Region) help prevent or minimise dredging impacts. The sentence could be deleted without detracting from the message in the rest of the paragraph, and the potential for impact is addressed better in the paragraph that follows.</w:t>
      </w:r>
    </w:p>
    <w:p w:rsidR="00423F93" w:rsidRDefault="00B605B6" w:rsidP="00423F93">
      <w:pPr>
        <w:pStyle w:val="Para0"/>
      </w:pPr>
      <w:r>
        <w:t xml:space="preserve">Page </w:t>
      </w:r>
      <w:r w:rsidR="00423F93" w:rsidRPr="00423F93">
        <w:t>6-39</w:t>
      </w:r>
      <w:r>
        <w:t xml:space="preserve"> of the Assessment Report discusses the dispersal of sediments within the Great Barrier Reef</w:t>
      </w:r>
      <w:r w:rsidR="00446BA3">
        <w:t xml:space="preserve"> as a result of dredging projects</w:t>
      </w:r>
      <w:r w:rsidR="0028532D">
        <w:t xml:space="preserve"> (including sea dumping of dredged material)</w:t>
      </w:r>
      <w:r>
        <w:t xml:space="preserve">. </w:t>
      </w:r>
      <w:r w:rsidR="00423F93" w:rsidRPr="00423F93">
        <w:t xml:space="preserve">Reference 137 (Bainbridge </w:t>
      </w:r>
      <w:r w:rsidR="002C4C82" w:rsidRPr="002C4C82">
        <w:rPr>
          <w:i/>
        </w:rPr>
        <w:t>et al.</w:t>
      </w:r>
      <w:r w:rsidR="00423F93" w:rsidRPr="00423F93">
        <w:t xml:space="preserve"> 2012) refers to the di</w:t>
      </w:r>
      <w:r>
        <w:t xml:space="preserve">spersion of a fresh water plume, which is </w:t>
      </w:r>
      <w:r w:rsidR="00423F93" w:rsidRPr="00423F93">
        <w:t xml:space="preserve">probably not representative of the dispersion of fine sediment from sea dumping. Much of the information on transport from river plumes relates to initial transport in suspension, while the buoyant plume is spatially propagating relatively rapidly on the surface. Most of the transport of dredged material after dumping </w:t>
      </w:r>
      <w:r w:rsidR="0028532D">
        <w:t xml:space="preserve">at sea </w:t>
      </w:r>
      <w:r w:rsidR="00423F93" w:rsidRPr="00423F93">
        <w:t xml:space="preserve">modelled in reference 190 (SKM APASA 2013) was </w:t>
      </w:r>
      <w:r w:rsidR="00282934">
        <w:t>by</w:t>
      </w:r>
      <w:r w:rsidR="00423F93" w:rsidRPr="00423F93">
        <w:t xml:space="preserve"> repeated deposition and resuspension</w:t>
      </w:r>
      <w:r w:rsidR="00446BA3">
        <w:t>. These</w:t>
      </w:r>
      <w:r w:rsidR="00423F93" w:rsidRPr="00423F93">
        <w:t xml:space="preserve"> are very different processes and the distinction between measured transport of river plumes and dispersion of dredged material from dump site</w:t>
      </w:r>
      <w:r w:rsidR="00446BA3">
        <w:t>s</w:t>
      </w:r>
      <w:r w:rsidR="00423F93" w:rsidRPr="00423F93">
        <w:t xml:space="preserve"> needs to be </w:t>
      </w:r>
      <w:r w:rsidR="001C1882">
        <w:t xml:space="preserve">made </w:t>
      </w:r>
      <w:r w:rsidR="00423F93" w:rsidRPr="00423F93">
        <w:t>clear. Reference 190 (SKM APASA 2013) did not evaluate the duration of time material stays in suspension, much less conclude that fine sediment</w:t>
      </w:r>
      <w:r w:rsidR="00446BA3">
        <w:t>s</w:t>
      </w:r>
      <w:r w:rsidR="00423F93" w:rsidRPr="00423F93">
        <w:t xml:space="preserve"> remain suspended for long periods of time. </w:t>
      </w:r>
      <w:r w:rsidR="00446BA3">
        <w:t>Indeed</w:t>
      </w:r>
      <w:r w:rsidR="00423F93" w:rsidRPr="00423F93">
        <w:t>, the analysis of suspended solids in that study shows very low levels resulting from sea dumping (as opposed to dredging). The basic message that dredge</w:t>
      </w:r>
      <w:r w:rsidR="00446BA3">
        <w:t>d</w:t>
      </w:r>
      <w:r w:rsidR="00423F93" w:rsidRPr="00423F93">
        <w:t xml:space="preserve"> material potentially travels long distances is valid, but the discussion needs accurate context.</w:t>
      </w:r>
    </w:p>
    <w:p w:rsidR="003A10CF" w:rsidRDefault="00282934" w:rsidP="004A4646">
      <w:pPr>
        <w:pStyle w:val="Para0"/>
      </w:pPr>
      <w:r>
        <w:t>Similarly, p</w:t>
      </w:r>
      <w:r w:rsidR="00446BA3">
        <w:t xml:space="preserve">age 6-40 of the Assessment Report presents actual and modelled plume dispersion during a dredging campaign at Hay Point, </w:t>
      </w:r>
      <w:r w:rsidR="00207C72">
        <w:t>in a manner that</w:t>
      </w:r>
      <w:r w:rsidR="00446BA3">
        <w:t xml:space="preserve"> is potentially misleading</w:t>
      </w:r>
      <w:r w:rsidR="00423F93" w:rsidRPr="00423F93">
        <w:t xml:space="preserve">. The </w:t>
      </w:r>
      <w:r w:rsidR="00446BA3">
        <w:t xml:space="preserve">model </w:t>
      </w:r>
      <w:r w:rsidR="00423F93" w:rsidRPr="00423F93">
        <w:t>prediction shown in Fig</w:t>
      </w:r>
      <w:r w:rsidR="0028532D">
        <w:t>ure</w:t>
      </w:r>
      <w:r w:rsidR="00423F93" w:rsidRPr="00423F93">
        <w:t xml:space="preserve"> 6.19a was </w:t>
      </w:r>
      <w:r w:rsidR="0028532D">
        <w:t xml:space="preserve">developed </w:t>
      </w:r>
      <w:r w:rsidR="00423F93" w:rsidRPr="00423F93">
        <w:t>specifically to address worst c</w:t>
      </w:r>
      <w:r w:rsidR="0028532D">
        <w:t>onditions for Round Top Island (i.e., under the conditions of</w:t>
      </w:r>
      <w:r w:rsidR="00423F93" w:rsidRPr="00423F93">
        <w:t xml:space="preserve"> northward transport</w:t>
      </w:r>
      <w:r w:rsidR="0028532D">
        <w:t>)</w:t>
      </w:r>
      <w:r w:rsidR="00423F93" w:rsidRPr="00423F93">
        <w:t>. There were other model outputs (e</w:t>
      </w:r>
      <w:r w:rsidR="00446BA3">
        <w:t>.</w:t>
      </w:r>
      <w:r w:rsidR="00423F93" w:rsidRPr="00423F93">
        <w:t>g</w:t>
      </w:r>
      <w:r w:rsidR="00446BA3">
        <w:t>.</w:t>
      </w:r>
      <w:r w:rsidR="00423F93" w:rsidRPr="00423F93">
        <w:t xml:space="preserve"> worst condition for Victor Islet</w:t>
      </w:r>
      <w:r w:rsidR="00446BA3">
        <w:t>, which lies further to the south</w:t>
      </w:r>
      <w:r w:rsidR="00423F93" w:rsidRPr="00423F93">
        <w:t>) that clearly predict much more extensive southward transport</w:t>
      </w:r>
      <w:r w:rsidR="00446BA3">
        <w:t xml:space="preserve"> of sediment</w:t>
      </w:r>
      <w:r w:rsidR="00423F93" w:rsidRPr="00423F93">
        <w:t xml:space="preserve">. Selecting a </w:t>
      </w:r>
      <w:r w:rsidR="00446BA3">
        <w:t xml:space="preserve">single </w:t>
      </w:r>
      <w:r w:rsidR="00423F93" w:rsidRPr="00423F93">
        <w:t xml:space="preserve">figure intended to assess impacts on a receptor to the north for comparison with imagery showing southern transport </w:t>
      </w:r>
      <w:r w:rsidR="00446BA3">
        <w:t>is not an accurate presentation of the information</w:t>
      </w:r>
      <w:r w:rsidR="00423F93" w:rsidRPr="00423F93">
        <w:t>.</w:t>
      </w:r>
      <w:r w:rsidR="00446BA3">
        <w:t xml:space="preserve"> </w:t>
      </w:r>
    </w:p>
    <w:p w:rsidR="00367DB0" w:rsidRDefault="0028532D" w:rsidP="00367DB0">
      <w:pPr>
        <w:pStyle w:val="Para0"/>
      </w:pPr>
      <w:r>
        <w:t xml:space="preserve">Another technical issue identified with the assessment is that </w:t>
      </w:r>
      <w:r w:rsidR="009E2CBD">
        <w:t xml:space="preserve">many </w:t>
      </w:r>
      <w:r>
        <w:t>w</w:t>
      </w:r>
      <w:r w:rsidR="00C039E9">
        <w:t xml:space="preserve">ell studied attributes of the </w:t>
      </w:r>
      <w:r>
        <w:t>Great Barrier Reef</w:t>
      </w:r>
      <w:r w:rsidR="00C039E9">
        <w:t xml:space="preserve"> are reported to be in decline</w:t>
      </w:r>
      <w:r w:rsidR="009E2CBD">
        <w:t xml:space="preserve"> (particularly in the southern region)</w:t>
      </w:r>
      <w:r>
        <w:t>,</w:t>
      </w:r>
      <w:r w:rsidR="00C039E9">
        <w:t xml:space="preserve"> while poorly studied</w:t>
      </w:r>
      <w:r w:rsidR="00C039E9" w:rsidRPr="006161E9">
        <w:t xml:space="preserve"> </w:t>
      </w:r>
      <w:r w:rsidR="00C039E9">
        <w:t xml:space="preserve">attributes are </w:t>
      </w:r>
      <w:r w:rsidR="009E2CBD">
        <w:t xml:space="preserve">predominantly </w:t>
      </w:r>
      <w:r w:rsidR="00C039E9">
        <w:t xml:space="preserve">reported to be in good condition, with equal </w:t>
      </w:r>
      <w:r w:rsidR="00BD0E5F">
        <w:t xml:space="preserve">credence </w:t>
      </w:r>
      <w:r w:rsidR="00C039E9">
        <w:t xml:space="preserve">given to each. </w:t>
      </w:r>
      <w:r w:rsidR="00FC78A2">
        <w:t>The</w:t>
      </w:r>
      <w:r w:rsidR="002C2F7E" w:rsidRPr="00CC4F89">
        <w:t xml:space="preserve"> lagoonal floor is considered to be in </w:t>
      </w:r>
      <w:r w:rsidR="00C77528">
        <w:t>‘</w:t>
      </w:r>
      <w:r w:rsidR="002C2F7E" w:rsidRPr="00CC4F89">
        <w:t>good</w:t>
      </w:r>
      <w:r w:rsidR="00C77528">
        <w:t>’</w:t>
      </w:r>
      <w:r w:rsidR="002C2F7E" w:rsidRPr="00CC4F89">
        <w:t xml:space="preserve"> condition and </w:t>
      </w:r>
      <w:r w:rsidR="00C77528">
        <w:t>‘</w:t>
      </w:r>
      <w:r w:rsidR="002C2F7E" w:rsidRPr="00CC4F89">
        <w:t>stable</w:t>
      </w:r>
      <w:r w:rsidR="00C77528">
        <w:t>’</w:t>
      </w:r>
      <w:r w:rsidR="002C2F7E" w:rsidRPr="00CC4F89">
        <w:t xml:space="preserve"> in all areas even though it ra</w:t>
      </w:r>
      <w:r w:rsidR="00C77528">
        <w:t xml:space="preserve">nked </w:t>
      </w:r>
      <w:r w:rsidR="00282934">
        <w:t>fourth</w:t>
      </w:r>
      <w:r w:rsidR="00C77528">
        <w:t xml:space="preserve"> in the number of </w:t>
      </w:r>
      <w:r>
        <w:t>‘</w:t>
      </w:r>
      <w:r w:rsidR="00C77528">
        <w:t>high</w:t>
      </w:r>
      <w:r>
        <w:t>’</w:t>
      </w:r>
      <w:r w:rsidR="00C77528">
        <w:t xml:space="preserve"> or </w:t>
      </w:r>
      <w:r>
        <w:t>‘</w:t>
      </w:r>
      <w:r w:rsidR="00C77528">
        <w:t>very</w:t>
      </w:r>
      <w:r w:rsidR="002C2F7E" w:rsidRPr="00CC4F89">
        <w:t xml:space="preserve"> high</w:t>
      </w:r>
      <w:r>
        <w:t>’</w:t>
      </w:r>
      <w:r w:rsidR="002C2F7E" w:rsidRPr="00CC4F89">
        <w:t xml:space="preserve"> impacts. Given the amount of trawling that has taken place in the </w:t>
      </w:r>
      <w:r w:rsidR="00C77528">
        <w:t>Great Barrier Reef</w:t>
      </w:r>
      <w:r w:rsidR="002C2F7E" w:rsidRPr="00CC4F89">
        <w:t xml:space="preserve"> Lagoon</w:t>
      </w:r>
      <w:r w:rsidR="00FC78A2">
        <w:t xml:space="preserve">, a </w:t>
      </w:r>
      <w:r w:rsidR="00C77528">
        <w:t>‘</w:t>
      </w:r>
      <w:r w:rsidR="00FC78A2">
        <w:t>poor</w:t>
      </w:r>
      <w:r w:rsidR="00C77528">
        <w:t>’</w:t>
      </w:r>
      <w:r w:rsidR="002C2F7E" w:rsidRPr="00CC4F89">
        <w:t xml:space="preserve"> </w:t>
      </w:r>
      <w:r w:rsidR="00FC78A2">
        <w:t>and</w:t>
      </w:r>
      <w:r w:rsidR="002C2F7E" w:rsidRPr="00CC4F89">
        <w:t xml:space="preserve"> </w:t>
      </w:r>
      <w:r w:rsidR="00C77528">
        <w:t>‘</w:t>
      </w:r>
      <w:r w:rsidR="002C2F7E" w:rsidRPr="00CC4F89">
        <w:t>improving</w:t>
      </w:r>
      <w:r w:rsidR="00C77528">
        <w:t>’</w:t>
      </w:r>
      <w:r w:rsidR="002C2F7E" w:rsidRPr="00CC4F89">
        <w:t xml:space="preserve"> </w:t>
      </w:r>
      <w:r w:rsidR="00FC78A2">
        <w:t>rank</w:t>
      </w:r>
      <w:r w:rsidR="00C77528">
        <w:t xml:space="preserve"> would seem more appropriate,</w:t>
      </w:r>
      <w:r w:rsidR="00FC78A2">
        <w:t xml:space="preserve"> </w:t>
      </w:r>
      <w:r w:rsidR="002C2F7E" w:rsidRPr="00CC4F89">
        <w:t xml:space="preserve">due to </w:t>
      </w:r>
      <w:r w:rsidR="00C77528">
        <w:t xml:space="preserve">the </w:t>
      </w:r>
      <w:r w:rsidR="002C2F7E" w:rsidRPr="00CC4F89">
        <w:t>reduction in trawling pressure</w:t>
      </w:r>
      <w:r w:rsidR="00FC78A2">
        <w:t xml:space="preserve">. </w:t>
      </w:r>
      <w:r w:rsidR="002C2F7E" w:rsidRPr="00CC4F89">
        <w:t xml:space="preserve">Similarly bony fish are all </w:t>
      </w:r>
      <w:r w:rsidR="00C77528">
        <w:t xml:space="preserve">rated </w:t>
      </w:r>
      <w:r w:rsidR="002C2F7E" w:rsidRPr="00CC4F89">
        <w:t xml:space="preserve">either </w:t>
      </w:r>
      <w:r w:rsidR="00C77528">
        <w:t>‘</w:t>
      </w:r>
      <w:r w:rsidR="002C2F7E" w:rsidRPr="00CC4F89">
        <w:t>very good</w:t>
      </w:r>
      <w:r w:rsidR="00C77528">
        <w:t>’</w:t>
      </w:r>
      <w:r w:rsidR="002C2F7E" w:rsidRPr="00CC4F89">
        <w:t xml:space="preserve"> or </w:t>
      </w:r>
      <w:r w:rsidR="00C77528">
        <w:t>‘</w:t>
      </w:r>
      <w:r w:rsidR="002C2F7E" w:rsidRPr="00CC4F89">
        <w:t>good</w:t>
      </w:r>
      <w:r w:rsidR="00C77528">
        <w:t>’</w:t>
      </w:r>
      <w:r w:rsidR="002C2F7E" w:rsidRPr="00CC4F89">
        <w:t xml:space="preserve">, even though there are as many </w:t>
      </w:r>
      <w:r>
        <w:t>‘</w:t>
      </w:r>
      <w:r w:rsidR="002C2F7E" w:rsidRPr="00CC4F89">
        <w:t>high</w:t>
      </w:r>
      <w:r>
        <w:t>’</w:t>
      </w:r>
      <w:r w:rsidR="002C2F7E" w:rsidRPr="00CC4F89">
        <w:t xml:space="preserve"> to </w:t>
      </w:r>
      <w:r>
        <w:t>‘</w:t>
      </w:r>
      <w:r w:rsidR="002C2F7E" w:rsidRPr="00CC4F89">
        <w:t>very high</w:t>
      </w:r>
      <w:r>
        <w:t>’</w:t>
      </w:r>
      <w:r w:rsidR="002C2F7E" w:rsidRPr="00CC4F89">
        <w:t xml:space="preserve"> impacts </w:t>
      </w:r>
      <w:r w:rsidR="00C77528">
        <w:t>affecting</w:t>
      </w:r>
      <w:r w:rsidR="002C2F7E" w:rsidRPr="00CC4F89">
        <w:t xml:space="preserve"> them as marine turtles</w:t>
      </w:r>
      <w:r w:rsidR="00FC78A2">
        <w:t>,</w:t>
      </w:r>
      <w:r w:rsidR="002C2F7E" w:rsidRPr="00CC4F89">
        <w:t xml:space="preserve"> and several low impacts. </w:t>
      </w:r>
      <w:r w:rsidR="00367DB0">
        <w:t>P</w:t>
      </w:r>
      <w:r>
        <w:t xml:space="preserve">age </w:t>
      </w:r>
      <w:r w:rsidR="00367DB0">
        <w:t xml:space="preserve">7-52 </w:t>
      </w:r>
      <w:r>
        <w:t xml:space="preserve">of the Assessment Report </w:t>
      </w:r>
      <w:r w:rsidR="00367DB0">
        <w:t>states that monitoring of nesting seabirds is insufficient to reliably determine condition a</w:t>
      </w:r>
      <w:r>
        <w:t xml:space="preserve">nd trend, yet on </w:t>
      </w:r>
      <w:r w:rsidR="00282934">
        <w:t>p</w:t>
      </w:r>
      <w:r>
        <w:t>age</w:t>
      </w:r>
      <w:r w:rsidR="00367DB0">
        <w:t xml:space="preserve"> 7-47</w:t>
      </w:r>
      <w:r>
        <w:t>,</w:t>
      </w:r>
      <w:r w:rsidR="00367DB0">
        <w:t xml:space="preserve"> the </w:t>
      </w:r>
      <w:r w:rsidR="00367DB0">
        <w:lastRenderedPageBreak/>
        <w:t xml:space="preserve">confidence of ratings for </w:t>
      </w:r>
      <w:r>
        <w:t>‘</w:t>
      </w:r>
      <w:r w:rsidR="00367DB0">
        <w:t>poor condition</w:t>
      </w:r>
      <w:r>
        <w:t>’</w:t>
      </w:r>
      <w:r w:rsidR="00367DB0">
        <w:t xml:space="preserve"> and </w:t>
      </w:r>
      <w:r>
        <w:t>‘</w:t>
      </w:r>
      <w:r w:rsidR="00367DB0">
        <w:t>declining trend</w:t>
      </w:r>
      <w:r>
        <w:t>’</w:t>
      </w:r>
      <w:r w:rsidR="00367DB0">
        <w:t xml:space="preserve"> are rated as adequate high-quality evidence and a high degree of consensus.</w:t>
      </w:r>
    </w:p>
    <w:p w:rsidR="00C039E9" w:rsidRDefault="004575E7" w:rsidP="00C039E9">
      <w:pPr>
        <w:pStyle w:val="Para0"/>
      </w:pPr>
      <w:r w:rsidRPr="00CC4F89">
        <w:t>The condition and trends sections is signif</w:t>
      </w:r>
      <w:r w:rsidR="00DC42C5">
        <w:t>icantly improved over the last Outlook R</w:t>
      </w:r>
      <w:r w:rsidRPr="00CC4F89">
        <w:t>eport</w:t>
      </w:r>
      <w:r w:rsidR="00DC42C5">
        <w:t xml:space="preserve"> (GBRMPA 2009)</w:t>
      </w:r>
      <w:r w:rsidRPr="00CC4F89">
        <w:t xml:space="preserve"> in providing indicators of trend </w:t>
      </w:r>
      <w:r w:rsidR="0028532D">
        <w:t>and</w:t>
      </w:r>
      <w:r w:rsidRPr="00CC4F89">
        <w:t xml:space="preserve"> importantly, indicators of confidence </w:t>
      </w:r>
      <w:r w:rsidR="0028532D">
        <w:t>(</w:t>
      </w:r>
      <w:r w:rsidRPr="00CC4F89">
        <w:t>in the indicators</w:t>
      </w:r>
      <w:r w:rsidR="0028532D">
        <w:t xml:space="preserve"> of trend)</w:t>
      </w:r>
      <w:r w:rsidRPr="00CC4F89">
        <w:t xml:space="preserve">. There are a large number of indicators where the confidence is very limited. </w:t>
      </w:r>
      <w:r>
        <w:t>It is possible</w:t>
      </w:r>
      <w:r w:rsidRPr="00CC4F89">
        <w:t xml:space="preserve"> that for some indicators</w:t>
      </w:r>
      <w:r>
        <w:t>,</w:t>
      </w:r>
      <w:r w:rsidRPr="00CC4F89">
        <w:t xml:space="preserve"> the confidence is too low to provide a rank</w:t>
      </w:r>
      <w:r>
        <w:t xml:space="preserve">, but </w:t>
      </w:r>
      <w:r w:rsidRPr="00CC4F89">
        <w:t xml:space="preserve">all indicators </w:t>
      </w:r>
      <w:r>
        <w:t xml:space="preserve">have been given a rank regardless of the </w:t>
      </w:r>
      <w:r w:rsidRPr="00CC4F89">
        <w:t xml:space="preserve">level of knowledge. </w:t>
      </w:r>
      <w:r>
        <w:t>One potential solution is to include another rank of ‘condition unknown’ or ‘data deficient’</w:t>
      </w:r>
      <w:r w:rsidRPr="00CC4F89">
        <w:t xml:space="preserve"> to cover these virtually unstudied </w:t>
      </w:r>
      <w:r>
        <w:t>aspects of the environment</w:t>
      </w:r>
      <w:r w:rsidRPr="00CC4F89">
        <w:t>. This would also help to highlight genuine data gaps that should be fill</w:t>
      </w:r>
      <w:r>
        <w:t>ed through future research and monitoring activities.</w:t>
      </w:r>
      <w:r w:rsidR="00C039E9">
        <w:t xml:space="preserve"> There is a general absence of management responses to be triggered by monitoring and evaluation. </w:t>
      </w:r>
    </w:p>
    <w:p w:rsidR="00FC78A2" w:rsidRDefault="00282934" w:rsidP="00FC78A2">
      <w:pPr>
        <w:pStyle w:val="Heading2"/>
      </w:pPr>
      <w:bookmarkStart w:id="37" w:name="_Toc378857214"/>
      <w:r>
        <w:t>World H</w:t>
      </w:r>
      <w:r w:rsidR="00FC78A2">
        <w:t xml:space="preserve">eritage and </w:t>
      </w:r>
      <w:r>
        <w:t>Outstanding Universal Value</w:t>
      </w:r>
      <w:bookmarkEnd w:id="37"/>
    </w:p>
    <w:p w:rsidR="005D547A" w:rsidRDefault="00FF49B9" w:rsidP="00FF49B9">
      <w:pPr>
        <w:pStyle w:val="Para0"/>
      </w:pPr>
      <w:r>
        <w:t xml:space="preserve">With regard to World Heritage, the </w:t>
      </w:r>
      <w:r w:rsidR="009965FA">
        <w:t xml:space="preserve">Assessment Report is inconsistent in </w:t>
      </w:r>
      <w:r>
        <w:t xml:space="preserve">discussing the meaning of World Heritage in the context of Outstanding Universal Value. </w:t>
      </w:r>
      <w:r w:rsidR="00207C72">
        <w:t>As outlined in Section 3.4 of this report, t</w:t>
      </w:r>
      <w:r>
        <w:t xml:space="preserve">here is an apparent mixture of the terms "values", "attributes" and "elements" </w:t>
      </w:r>
      <w:r w:rsidR="00F029DD">
        <w:t>which causes some confusion for the reader</w:t>
      </w:r>
      <w:r>
        <w:t xml:space="preserve">. The technical expression </w:t>
      </w:r>
      <w:r w:rsidR="0028532D">
        <w:t>‘</w:t>
      </w:r>
      <w:r>
        <w:t>Outstanding Universal Value</w:t>
      </w:r>
      <w:r w:rsidR="0028532D">
        <w:t>’</w:t>
      </w:r>
      <w:r>
        <w:t xml:space="preserve"> is predicated on a number of attributes that contribute to the World Heritage site meeting specific criteria. These attributes underpin the OUV. Because of the inclusion of the word "value" in Outstanding Universal Value (always singular), associated use of the term "values" when </w:t>
      </w:r>
      <w:r w:rsidR="005D547A">
        <w:t>discussing</w:t>
      </w:r>
      <w:r>
        <w:t xml:space="preserve"> attributes has caused confusion with </w:t>
      </w:r>
      <w:r w:rsidR="00F029DD">
        <w:t>several</w:t>
      </w:r>
      <w:r>
        <w:t xml:space="preserve"> examples of OUV being used in the plural and therefore confusing its meaning. </w:t>
      </w:r>
    </w:p>
    <w:p w:rsidR="00FF49B9" w:rsidRDefault="00FF49B9" w:rsidP="00FF49B9">
      <w:pPr>
        <w:pStyle w:val="Para0"/>
      </w:pPr>
      <w:r>
        <w:t>The World Heritage Committee uses "attributes" as a preferred description of the set of qualities that underpin OUV rather than "values" (see Operational Guidelines</w:t>
      </w:r>
      <w:r w:rsidR="008A63FC">
        <w:t xml:space="preserve">; UNESCO 2013). </w:t>
      </w:r>
      <w:r>
        <w:t xml:space="preserve">In the </w:t>
      </w:r>
      <w:r w:rsidR="00F029DD">
        <w:t xml:space="preserve">Assessment </w:t>
      </w:r>
      <w:r>
        <w:t xml:space="preserve">Report a good example of appropriate </w:t>
      </w:r>
      <w:r w:rsidR="00F029DD">
        <w:t>use of the term</w:t>
      </w:r>
      <w:r>
        <w:t xml:space="preserve"> is in </w:t>
      </w:r>
      <w:r w:rsidR="00F029DD">
        <w:t xml:space="preserve">the first row of </w:t>
      </w:r>
      <w:r>
        <w:t xml:space="preserve">Table 10.7 on </w:t>
      </w:r>
      <w:r w:rsidR="00282934">
        <w:t>p</w:t>
      </w:r>
      <w:r>
        <w:t>age 10-2</w:t>
      </w:r>
      <w:r w:rsidR="00F029DD">
        <w:t xml:space="preserve">2. </w:t>
      </w:r>
      <w:r>
        <w:t>Elsewhere, th</w:t>
      </w:r>
      <w:r w:rsidR="00282934">
        <w:t>ere is less clarity. Indeed on p</w:t>
      </w:r>
      <w:r>
        <w:t xml:space="preserve">age 4-7 the term "values" seems to be </w:t>
      </w:r>
      <w:r w:rsidR="00802E4E">
        <w:t>treated</w:t>
      </w:r>
      <w:r>
        <w:t xml:space="preserve"> identical</w:t>
      </w:r>
      <w:r w:rsidR="00802E4E">
        <w:t>ly</w:t>
      </w:r>
      <w:r>
        <w:t xml:space="preserve"> to "attributes" but later this is not applied consistently. The report would be improved with a box in section 4.2.1 that provided a clear statement about OUV, attributes, values and the logic behind the use of these terms in the context of World Heritage. </w:t>
      </w:r>
      <w:r w:rsidR="003D7270">
        <w:t>Additionally</w:t>
      </w:r>
      <w:r w:rsidR="00802E4E">
        <w:t>, the glossary could be updated to inc</w:t>
      </w:r>
      <w:r w:rsidR="00FC78A2">
        <w:t xml:space="preserve">lude a definition of each term, as currently only </w:t>
      </w:r>
      <w:r w:rsidR="003D7270">
        <w:t>“</w:t>
      </w:r>
      <w:r w:rsidR="00FC78A2">
        <w:t>values</w:t>
      </w:r>
      <w:r w:rsidR="003D7270">
        <w:t>”</w:t>
      </w:r>
      <w:r w:rsidR="00FC78A2">
        <w:t xml:space="preserve"> are defined.</w:t>
      </w:r>
    </w:p>
    <w:p w:rsidR="00FF49B9" w:rsidRDefault="00FF49B9" w:rsidP="00FF49B9">
      <w:pPr>
        <w:pStyle w:val="Para0"/>
      </w:pPr>
      <w:r>
        <w:t>Criterion ix provides a focus on biological and ecological processes (the only MNES that specifically refers to processes)</w:t>
      </w:r>
      <w:r w:rsidR="003D7270">
        <w:t>,</w:t>
      </w:r>
      <w:r>
        <w:t xml:space="preserve"> but this is not sufficiently captured in the description nor in what needs to be protected as part of OUV. Activities that undermine such ecological and biological processes are of significant concern and should be included in discussions about impacts throughout the </w:t>
      </w:r>
      <w:r w:rsidR="003D7270">
        <w:t>Strategic A</w:t>
      </w:r>
      <w:r>
        <w:t xml:space="preserve">ssessment in addition to specific impacts on species. While such processes may be implicit in the discussion, </w:t>
      </w:r>
      <w:r w:rsidR="00FC78A2">
        <w:t xml:space="preserve">there would be value in them being more </w:t>
      </w:r>
      <w:r>
        <w:t xml:space="preserve">explicit. This is </w:t>
      </w:r>
      <w:r w:rsidR="00FC78A2">
        <w:t>consistent</w:t>
      </w:r>
      <w:r>
        <w:t xml:space="preserve"> </w:t>
      </w:r>
      <w:r w:rsidR="001C1882">
        <w:t xml:space="preserve">with </w:t>
      </w:r>
      <w:r>
        <w:t>the notion of "integrity" as used in World Heritage assessment and management.</w:t>
      </w:r>
    </w:p>
    <w:p w:rsidR="00D055DA" w:rsidRDefault="00282934" w:rsidP="00D055DA">
      <w:pPr>
        <w:pStyle w:val="Heading1"/>
      </w:pPr>
      <w:bookmarkStart w:id="38" w:name="_Toc378857215"/>
      <w:r>
        <w:lastRenderedPageBreak/>
        <w:t>Validity of c</w:t>
      </w:r>
      <w:r w:rsidR="00D055DA">
        <w:t>onclusions</w:t>
      </w:r>
      <w:bookmarkEnd w:id="38"/>
    </w:p>
    <w:p w:rsidR="00C32496" w:rsidRDefault="00C32496" w:rsidP="00C32496">
      <w:pPr>
        <w:pStyle w:val="Heading2"/>
      </w:pPr>
      <w:bookmarkStart w:id="39" w:name="_Toc378857216"/>
      <w:r>
        <w:t>Overview</w:t>
      </w:r>
      <w:bookmarkEnd w:id="39"/>
    </w:p>
    <w:p w:rsidR="00256E9C" w:rsidRDefault="000E57BC" w:rsidP="007D4FB8">
      <w:pPr>
        <w:pStyle w:val="Para0"/>
      </w:pPr>
      <w:r>
        <w:rPr>
          <w:b/>
          <w:noProof/>
          <w:color w:val="310F47" w:themeColor="text1" w:themeShade="BF"/>
          <w:lang w:eastAsia="en-AU"/>
        </w:rPr>
        <mc:AlternateContent>
          <mc:Choice Requires="wps">
            <w:drawing>
              <wp:anchor distT="0" distB="0" distL="114300" distR="114300" simplePos="0" relativeHeight="251669504" behindDoc="0" locked="0" layoutInCell="1" allowOverlap="1">
                <wp:simplePos x="0" y="0"/>
                <wp:positionH relativeFrom="column">
                  <wp:posOffset>2870835</wp:posOffset>
                </wp:positionH>
                <wp:positionV relativeFrom="paragraph">
                  <wp:posOffset>78740</wp:posOffset>
                </wp:positionV>
                <wp:extent cx="3314700" cy="4067175"/>
                <wp:effectExtent l="38100" t="38100" r="114300" b="123825"/>
                <wp:wrapSquare wrapText="bothSides"/>
                <wp:docPr id="82" name="Rounded 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14700" cy="4067175"/>
                        </a:xfrm>
                        <a:prstGeom prst="roundRect">
                          <a:avLst/>
                        </a:prstGeom>
                        <a:solidFill>
                          <a:schemeClr val="accent6">
                            <a:lumMod val="20000"/>
                            <a:lumOff val="80000"/>
                          </a:schemeClr>
                        </a:solidFill>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233787" w:rsidRPr="00EB16DA" w:rsidRDefault="00233787" w:rsidP="0091267F">
                            <w:pPr>
                              <w:spacing w:before="40" w:after="40"/>
                              <w:ind w:right="-104"/>
                              <w:rPr>
                                <w:rFonts w:asciiTheme="minorHAnsi" w:hAnsiTheme="minorHAnsi"/>
                                <w:b/>
                                <w:color w:val="7030A0"/>
                                <w:sz w:val="22"/>
                              </w:rPr>
                            </w:pPr>
                            <w:r>
                              <w:rPr>
                                <w:rFonts w:asciiTheme="minorHAnsi" w:hAnsiTheme="minorHAnsi"/>
                                <w:b/>
                                <w:color w:val="7030A0"/>
                                <w:sz w:val="22"/>
                              </w:rPr>
                              <w:t>The Strategic Assessment has been successful in assessing the condition of the Great Barrier Reef and identifying gaps in the effectiveness of current management practices. However, it is unsuccessful in identifying an effective future management approach, beyond a small number of appropriately targeted and challenging new initiatives. The vast majority of forward commitments are new processes that will have difficulty achieving outcomes in the reef ecosystems of the World Heritage Area and collectively reflect an incremental improvement rather than a substantially strengthened response. While the Strategic Assessment has accurately characterised the Great Barrier Reef as in decline across a variety of MNES, it has not effectively demonstrated that the Program proposed to improve the condition of MNES will be successful. The need for urgent and substantial action is not evident.</w:t>
                            </w:r>
                          </w:p>
                          <w:p w:rsidR="00233787" w:rsidRDefault="00233787" w:rsidP="0091267F">
                            <w:pPr>
                              <w:ind w:right="-104"/>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82" o:spid="_x0000_s1030" style="position:absolute;margin-left:226.05pt;margin-top:6.2pt;width:261pt;height:320.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" fillcolor="#dce6f2 [665]" strokecolor="#78736b [1604]" strokeweight="2pt">
                <v:shadow on="t" color="black" opacity="26214f" origin="-.5,-.5" offset=".74836mm,.74836mm"/>
                <v:path arrowok="t"/>
                <v:textbox>
                  <w:txbxContent>
                    <w:p w:rsidR="00233787" w:rsidRPr="00EB16DA" w:rsidRDefault="00233787" w:rsidP="0091267F">
                      <w:pPr>
                        <w:spacing w:before="40" w:after="40"/>
                        <w:ind w:right="-104"/>
                        <w:rPr>
                          <w:rFonts w:asciiTheme="minorHAnsi" w:hAnsiTheme="minorHAnsi"/>
                          <w:b/>
                          <w:color w:val="7030A0"/>
                          <w:sz w:val="22"/>
                        </w:rPr>
                      </w:pPr>
                      <w:r>
                        <w:rPr>
                          <w:rFonts w:asciiTheme="minorHAnsi" w:hAnsiTheme="minorHAnsi"/>
                          <w:b/>
                          <w:color w:val="7030A0"/>
                          <w:sz w:val="22"/>
                        </w:rPr>
                        <w:t>The Strategic Assessment has been successful in assessing the condition of the Great Barrier Reef and identifying gaps in the effectiveness of current management practices. However, it is unsuccessful in identifying an effective future management approach, beyond a small number of appropriately targeted and challenging new initiatives. The vast majority of forward commitments are new processes that will have difficulty achieving outcomes in the reef ecosystems of the World Heritage Area and collectively reflect an incremental improvement rather than a substantially strengthened response. While the Strategic Assessment has accurately characterised the Great Barrier Reef as in decline across a variety of MNES, it has not effectively demonstrated that the Program proposed to improve the condition of MNES will be successful. The need for urgent and substantial action is not evident.</w:t>
                      </w:r>
                    </w:p>
                    <w:p w:rsidR="00233787" w:rsidRDefault="00233787" w:rsidP="0091267F">
                      <w:pPr>
                        <w:ind w:right="-104"/>
                        <w:jc w:val="center"/>
                      </w:pPr>
                    </w:p>
                  </w:txbxContent>
                </v:textbox>
                <w10:wrap type="square"/>
              </v:roundrect>
            </w:pict>
          </mc:Fallback>
        </mc:AlternateContent>
      </w:r>
      <w:r w:rsidR="00446BA3">
        <w:t xml:space="preserve">Conclusions </w:t>
      </w:r>
      <w:r w:rsidR="00C74552">
        <w:t xml:space="preserve">of the Strategic Assessment </w:t>
      </w:r>
      <w:r w:rsidR="00256E9C">
        <w:t>will shape th</w:t>
      </w:r>
      <w:r w:rsidR="00F039D7">
        <w:t xml:space="preserve">e future 25 years of management </w:t>
      </w:r>
      <w:r w:rsidR="00C74552">
        <w:t xml:space="preserve">of the Great Barrier Reef, </w:t>
      </w:r>
      <w:r w:rsidR="00F039D7">
        <w:t xml:space="preserve">and are among the </w:t>
      </w:r>
      <w:r w:rsidR="00C74552">
        <w:t xml:space="preserve">assessment’s </w:t>
      </w:r>
      <w:r w:rsidR="00F039D7">
        <w:t>most important components. Actions including the devel</w:t>
      </w:r>
      <w:r w:rsidR="00C74552">
        <w:t>opment of a Great Barrier Reef Long-T</w:t>
      </w:r>
      <w:r w:rsidR="00F039D7">
        <w:t xml:space="preserve">erm </w:t>
      </w:r>
      <w:r w:rsidR="00C74552">
        <w:t>S</w:t>
      </w:r>
      <w:r w:rsidR="00F039D7">
        <w:t>ustainabilit</w:t>
      </w:r>
      <w:r w:rsidR="00C74552">
        <w:t xml:space="preserve">y </w:t>
      </w:r>
      <w:r w:rsidR="00A310AD">
        <w:t>Plan and the implementation of f</w:t>
      </w:r>
      <w:r w:rsidR="00F039D7">
        <w:t xml:space="preserve">orward </w:t>
      </w:r>
      <w:r w:rsidR="00A310AD">
        <w:t>c</w:t>
      </w:r>
      <w:r w:rsidR="00F039D7">
        <w:t>ommitments, can only be expected to be effec</w:t>
      </w:r>
      <w:r w:rsidR="00367DB0">
        <w:t>tive if the conclusions of the Strategic A</w:t>
      </w:r>
      <w:r w:rsidR="00F039D7">
        <w:t xml:space="preserve">ssessment are appropriate and </w:t>
      </w:r>
      <w:r w:rsidR="000E76A0">
        <w:t>address</w:t>
      </w:r>
      <w:r w:rsidR="00F039D7">
        <w:t xml:space="preserve"> the gaps identified during the assessment process.</w:t>
      </w:r>
    </w:p>
    <w:p w:rsidR="000E76A0" w:rsidRDefault="000E76A0" w:rsidP="000E76A0">
      <w:pPr>
        <w:pStyle w:val="Heading2"/>
      </w:pPr>
      <w:bookmarkStart w:id="40" w:name="_Toc378857217"/>
      <w:r>
        <w:t xml:space="preserve">The </w:t>
      </w:r>
      <w:r w:rsidR="00367DB0">
        <w:t>case</w:t>
      </w:r>
      <w:r>
        <w:t xml:space="preserve"> for action</w:t>
      </w:r>
      <w:bookmarkEnd w:id="40"/>
    </w:p>
    <w:p w:rsidR="00256E9C" w:rsidRDefault="00E97CC2" w:rsidP="00256E9C">
      <w:pPr>
        <w:pStyle w:val="Para0"/>
      </w:pPr>
      <w:r>
        <w:t>Several</w:t>
      </w:r>
      <w:r w:rsidR="00F039D7">
        <w:t xml:space="preserve"> chapters of both the Program and Assessment Reports provide a clear presentation that</w:t>
      </w:r>
      <w:r w:rsidR="00C74552">
        <w:t>,</w:t>
      </w:r>
      <w:r w:rsidR="00F039D7">
        <w:t xml:space="preserve"> </w:t>
      </w:r>
      <w:r w:rsidR="00256E9C" w:rsidRPr="00F1272B">
        <w:t xml:space="preserve">without substantial strengthening of the full scope of </w:t>
      </w:r>
      <w:r w:rsidR="00F039D7">
        <w:t>management</w:t>
      </w:r>
      <w:r w:rsidR="00256E9C" w:rsidRPr="00F1272B">
        <w:t xml:space="preserve"> arrangements, the </w:t>
      </w:r>
      <w:r w:rsidR="00C74552">
        <w:t>condition</w:t>
      </w:r>
      <w:r w:rsidR="000E76A0">
        <w:t xml:space="preserve"> of the Great Barrier Reef</w:t>
      </w:r>
      <w:r w:rsidR="00256E9C" w:rsidRPr="00F1272B">
        <w:t xml:space="preserve"> is likely to continue to deteriorate</w:t>
      </w:r>
      <w:r w:rsidR="00F039D7">
        <w:t xml:space="preserve"> (</w:t>
      </w:r>
      <w:r w:rsidR="000E76A0">
        <w:t xml:space="preserve">e.g. </w:t>
      </w:r>
      <w:r w:rsidR="00282934">
        <w:t>p</w:t>
      </w:r>
      <w:r w:rsidR="00F039D7">
        <w:t>age 8 of the Program Report)</w:t>
      </w:r>
      <w:r w:rsidR="00256E9C" w:rsidRPr="00F1272B">
        <w:t xml:space="preserve">. </w:t>
      </w:r>
      <w:r w:rsidR="00F039D7">
        <w:t xml:space="preserve">The summary of the independent </w:t>
      </w:r>
      <w:r w:rsidR="001C1882">
        <w:t>assessment</w:t>
      </w:r>
      <w:r w:rsidR="00F039D7">
        <w:t xml:space="preserve"> of management effectiveness states that “</w:t>
      </w:r>
      <w:r w:rsidR="00256E9C" w:rsidRPr="00F1272B">
        <w:t>urgent action by the Authority is needed to improve the health of coastal ecosystems</w:t>
      </w:r>
      <w:r w:rsidR="00F039D7">
        <w:t xml:space="preserve"> and</w:t>
      </w:r>
      <w:r w:rsidR="00256E9C" w:rsidRPr="00F1272B">
        <w:t xml:space="preserve"> to boost the health and resilience of the reef</w:t>
      </w:r>
      <w:r w:rsidR="00F039D7">
        <w:t>”</w:t>
      </w:r>
      <w:r w:rsidR="00256E9C" w:rsidRPr="00F1272B">
        <w:t xml:space="preserve">. </w:t>
      </w:r>
    </w:p>
    <w:p w:rsidR="00256E9C" w:rsidRDefault="000E76A0" w:rsidP="00256E9C">
      <w:pPr>
        <w:pStyle w:val="Para0"/>
      </w:pPr>
      <w:r>
        <w:t>Of the</w:t>
      </w:r>
      <w:r w:rsidR="00F039D7">
        <w:t xml:space="preserve"> six elements of manag</w:t>
      </w:r>
      <w:r w:rsidR="00C74552">
        <w:t xml:space="preserve">ement presented on </w:t>
      </w:r>
      <w:r w:rsidR="00282934">
        <w:t>p</w:t>
      </w:r>
      <w:r w:rsidR="00256E9C" w:rsidRPr="00F1272B">
        <w:t xml:space="preserve">age 8-4 of </w:t>
      </w:r>
      <w:r>
        <w:t>the A</w:t>
      </w:r>
      <w:r w:rsidR="00F039D7">
        <w:t xml:space="preserve">ssessment </w:t>
      </w:r>
      <w:r>
        <w:t xml:space="preserve">Report, </w:t>
      </w:r>
      <w:r w:rsidR="00F039D7">
        <w:t xml:space="preserve">the final element </w:t>
      </w:r>
      <w:r>
        <w:t>is</w:t>
      </w:r>
      <w:r w:rsidR="00F039D7">
        <w:t xml:space="preserve"> </w:t>
      </w:r>
      <w:r>
        <w:t>“</w:t>
      </w:r>
      <w:r w:rsidR="00256E9C" w:rsidRPr="00F1272B">
        <w:t>results in impacts or outcomes, hopefully achievi</w:t>
      </w:r>
      <w:r>
        <w:t>ng defined goals and objectives”. This</w:t>
      </w:r>
      <w:r w:rsidR="00F7598D">
        <w:t xml:space="preserve"> element</w:t>
      </w:r>
      <w:r>
        <w:t xml:space="preserve"> is clearly a key </w:t>
      </w:r>
      <w:r w:rsidR="00F7598D">
        <w:t>challenge for</w:t>
      </w:r>
      <w:r>
        <w:t xml:space="preserve"> the Great Barrier Reef, </w:t>
      </w:r>
      <w:r w:rsidR="00F7598D">
        <w:t>with the current m</w:t>
      </w:r>
      <w:r w:rsidR="00C74552">
        <w:t xml:space="preserve">anagement </w:t>
      </w:r>
      <w:r w:rsidR="00A34460">
        <w:t xml:space="preserve">program only partially achieving desired outcomes. </w:t>
      </w:r>
      <w:r>
        <w:t>The n</w:t>
      </w:r>
      <w:r w:rsidR="00256E9C" w:rsidRPr="00F1272B">
        <w:t xml:space="preserve">eed to focus more on threat reduction </w:t>
      </w:r>
      <w:r>
        <w:t>is recognised in the assessment</w:t>
      </w:r>
      <w:r w:rsidR="00E97CC2">
        <w:t xml:space="preserve"> in several areas</w:t>
      </w:r>
      <w:r>
        <w:t xml:space="preserve"> </w:t>
      </w:r>
      <w:r w:rsidR="00256E9C" w:rsidRPr="00F1272B">
        <w:t>(</w:t>
      </w:r>
      <w:r>
        <w:t>e.g.</w:t>
      </w:r>
      <w:r w:rsidR="00256E9C" w:rsidRPr="00F1272B">
        <w:t xml:space="preserve"> </w:t>
      </w:r>
      <w:r w:rsidR="00CD5A17">
        <w:t>Section</w:t>
      </w:r>
      <w:r w:rsidR="00256E9C" w:rsidRPr="00F1272B">
        <w:t xml:space="preserve"> 8.6.4 of </w:t>
      </w:r>
      <w:r w:rsidR="00282934">
        <w:t xml:space="preserve">the </w:t>
      </w:r>
      <w:r w:rsidR="00256E9C" w:rsidRPr="00F1272B">
        <w:t>A</w:t>
      </w:r>
      <w:r>
        <w:t>ssessment Report</w:t>
      </w:r>
      <w:r w:rsidR="00E97CC2">
        <w:t xml:space="preserve">) and many gaps are identified </w:t>
      </w:r>
      <w:r w:rsidR="00446BA3">
        <w:t xml:space="preserve">as </w:t>
      </w:r>
      <w:r w:rsidR="00E97CC2">
        <w:t>requiring action.</w:t>
      </w:r>
    </w:p>
    <w:p w:rsidR="00446BA3" w:rsidRDefault="00BD633E" w:rsidP="005E1E39">
      <w:pPr>
        <w:pStyle w:val="Para0"/>
      </w:pPr>
      <w:r>
        <w:t xml:space="preserve">In this context, it is important that the </w:t>
      </w:r>
      <w:r w:rsidR="00A310AD">
        <w:t>f</w:t>
      </w:r>
      <w:r w:rsidR="00C74552">
        <w:t>orward</w:t>
      </w:r>
      <w:r>
        <w:t xml:space="preserve"> </w:t>
      </w:r>
      <w:r w:rsidR="00A310AD">
        <w:t>c</w:t>
      </w:r>
      <w:r>
        <w:t xml:space="preserve">ommitments and improved management arrangements </w:t>
      </w:r>
      <w:r w:rsidR="005E1E39">
        <w:t xml:space="preserve">outlined in the Program </w:t>
      </w:r>
      <w:r>
        <w:t xml:space="preserve">are specifically targeted to address gaps identified in the assessment and are focussed </w:t>
      </w:r>
      <w:r w:rsidR="00696B47">
        <w:t xml:space="preserve">on </w:t>
      </w:r>
      <w:r>
        <w:t>achiev</w:t>
      </w:r>
      <w:r w:rsidR="00696B47">
        <w:t xml:space="preserve">ing </w:t>
      </w:r>
      <w:r>
        <w:t>improvements in the condition of MNES.</w:t>
      </w:r>
      <w:r w:rsidR="005E1E39">
        <w:t xml:space="preserve"> However, many </w:t>
      </w:r>
      <w:r w:rsidR="001141D8" w:rsidRPr="001141D8">
        <w:t xml:space="preserve">of the management recommendations are </w:t>
      </w:r>
      <w:r w:rsidR="005E1E39">
        <w:t>described</w:t>
      </w:r>
      <w:r w:rsidR="001141D8" w:rsidRPr="001141D8">
        <w:t xml:space="preserve"> in terms of ‘collaborating, strengthen engagement, facilitate, encourage the application of, promote the uptake, strengthen the consi</w:t>
      </w:r>
      <w:r w:rsidR="00E97CC2">
        <w:t xml:space="preserve">deration of, </w:t>
      </w:r>
      <w:r w:rsidR="001141D8" w:rsidRPr="001141D8">
        <w:t xml:space="preserve">communicate’ and similar. </w:t>
      </w:r>
      <w:r w:rsidR="005E1E39">
        <w:t>These</w:t>
      </w:r>
      <w:r w:rsidR="001141D8" w:rsidRPr="001141D8">
        <w:t xml:space="preserve"> can be highly appropriate and effective measures in many contexts, but they have a voluntary, optional element to them that is likely </w:t>
      </w:r>
      <w:r w:rsidR="00E97CC2">
        <w:t xml:space="preserve">to </w:t>
      </w:r>
      <w:r w:rsidR="001141D8" w:rsidRPr="001141D8">
        <w:t xml:space="preserve">dilute their effectiveness in the </w:t>
      </w:r>
      <w:r w:rsidR="005E1E39">
        <w:t>Great Barrier Reef</w:t>
      </w:r>
      <w:r w:rsidR="001141D8" w:rsidRPr="001141D8">
        <w:t xml:space="preserve"> context. </w:t>
      </w:r>
      <w:r w:rsidR="00A34460">
        <w:t>To be effective, they need to lead to direct action that contributes to revers</w:t>
      </w:r>
      <w:r w:rsidR="00282934">
        <w:t xml:space="preserve">ing the </w:t>
      </w:r>
      <w:r w:rsidR="00A34460">
        <w:t>current declining condition of the reef ecosystem.</w:t>
      </w:r>
    </w:p>
    <w:p w:rsidR="005E1E39" w:rsidRDefault="005E1E39" w:rsidP="005E1E39">
      <w:pPr>
        <w:pStyle w:val="Para0"/>
      </w:pPr>
      <w:r>
        <w:t>The</w:t>
      </w:r>
      <w:r w:rsidR="001141D8" w:rsidRPr="001141D8">
        <w:t xml:space="preserve"> </w:t>
      </w:r>
      <w:r>
        <w:t>Great Barrier Reef</w:t>
      </w:r>
      <w:r w:rsidR="00C74552">
        <w:t xml:space="preserve"> R</w:t>
      </w:r>
      <w:r w:rsidR="001141D8" w:rsidRPr="001141D8">
        <w:t xml:space="preserve">egion has a combination of </w:t>
      </w:r>
      <w:r>
        <w:t>competing and sometimes</w:t>
      </w:r>
      <w:r w:rsidR="001141D8" w:rsidRPr="001141D8">
        <w:t xml:space="preserve"> conflicting interests</w:t>
      </w:r>
      <w:r w:rsidR="00A34460">
        <w:t>. Land</w:t>
      </w:r>
      <w:r w:rsidR="001141D8" w:rsidRPr="001141D8">
        <w:t xml:space="preserve">-uses </w:t>
      </w:r>
      <w:r w:rsidR="00A34460">
        <w:t xml:space="preserve">in the catchment are varied and many have a long history of operation. There are </w:t>
      </w:r>
      <w:r w:rsidR="001141D8" w:rsidRPr="001141D8">
        <w:t>multiple juris</w:t>
      </w:r>
      <w:r w:rsidR="00C74552">
        <w:t>dictions with varied objectives</w:t>
      </w:r>
      <w:r w:rsidR="001141D8" w:rsidRPr="001141D8">
        <w:t xml:space="preserve"> and strong economic growth</w:t>
      </w:r>
      <w:r w:rsidR="00A34460">
        <w:t xml:space="preserve"> is predicted</w:t>
      </w:r>
      <w:r w:rsidR="001141D8" w:rsidRPr="001141D8">
        <w:t>. This is a complex mix, where management measures that have a discre</w:t>
      </w:r>
      <w:r w:rsidR="00E97CC2">
        <w:t>tionary element built around co</w:t>
      </w:r>
      <w:r w:rsidR="001141D8" w:rsidRPr="001141D8">
        <w:t xml:space="preserve">operation </w:t>
      </w:r>
      <w:r w:rsidR="00CA22B7">
        <w:t>may have more limited ability</w:t>
      </w:r>
      <w:r w:rsidR="001141D8" w:rsidRPr="001141D8">
        <w:t xml:space="preserve"> to influence the key decisions for significant infrastructure, investment or land use practices.</w:t>
      </w:r>
      <w:r w:rsidR="001141D8">
        <w:t xml:space="preserve"> </w:t>
      </w:r>
      <w:r>
        <w:t xml:space="preserve">For example, </w:t>
      </w:r>
      <w:r w:rsidR="00282934">
        <w:t>p</w:t>
      </w:r>
      <w:r w:rsidR="001141D8" w:rsidRPr="001141D8">
        <w:t>age 12-10</w:t>
      </w:r>
      <w:r w:rsidR="00446BA3">
        <w:t xml:space="preserve"> of the Assessment R</w:t>
      </w:r>
      <w:r>
        <w:t>eport</w:t>
      </w:r>
      <w:r w:rsidR="001141D8" w:rsidRPr="001141D8">
        <w:t xml:space="preserve"> states that a key role of </w:t>
      </w:r>
      <w:r w:rsidR="007E1785">
        <w:t>GBRMPA</w:t>
      </w:r>
      <w:r w:rsidR="00282934">
        <w:t xml:space="preserve"> is “</w:t>
      </w:r>
      <w:r w:rsidR="001141D8" w:rsidRPr="001141D8">
        <w:t>collaborating with and influencing its management partners</w:t>
      </w:r>
      <w:r w:rsidR="00282934">
        <w:t>”</w:t>
      </w:r>
      <w:r w:rsidR="001141D8" w:rsidRPr="001141D8">
        <w:t xml:space="preserve"> to improve environmental outcomes across the broader region. Clearly this is part of its role, but it is not underpinned by more substantive management measures</w:t>
      </w:r>
      <w:r>
        <w:t xml:space="preserve"> and </w:t>
      </w:r>
      <w:r w:rsidR="002A1204">
        <w:t>is</w:t>
      </w:r>
      <w:r>
        <w:t xml:space="preserve"> therefore of limited effectiveness</w:t>
      </w:r>
      <w:r w:rsidR="001141D8" w:rsidRPr="001141D8">
        <w:t>.</w:t>
      </w:r>
      <w:r>
        <w:t xml:space="preserve"> </w:t>
      </w:r>
      <w:r w:rsidR="00E97CC2">
        <w:t>Stronger</w:t>
      </w:r>
      <w:r w:rsidRPr="001141D8">
        <w:t xml:space="preserve"> </w:t>
      </w:r>
      <w:r w:rsidRPr="001141D8">
        <w:lastRenderedPageBreak/>
        <w:t>measures are required that give clear, unequivocal direction and mechanisms for implementation and compliance</w:t>
      </w:r>
      <w:r w:rsidR="00E97CC2">
        <w:t xml:space="preserve"> monitoring</w:t>
      </w:r>
      <w:r w:rsidRPr="001141D8">
        <w:t xml:space="preserve">. In addition, many of these collaborative measures take time to influence change, especially </w:t>
      </w:r>
      <w:r w:rsidR="00E97CC2">
        <w:t>in relation to long-standing</w:t>
      </w:r>
      <w:r w:rsidRPr="001141D8">
        <w:t xml:space="preserve"> land use practices. </w:t>
      </w:r>
      <w:r w:rsidR="002A1204">
        <w:t>Evidence</w:t>
      </w:r>
      <w:r w:rsidRPr="001141D8">
        <w:t xml:space="preserve"> in the report suggests that action and outcomes have some urgency.</w:t>
      </w:r>
    </w:p>
    <w:p w:rsidR="002C2F7E" w:rsidRDefault="005E1E39" w:rsidP="002C2F7E">
      <w:pPr>
        <w:pStyle w:val="Para0bullet"/>
        <w:numPr>
          <w:ilvl w:val="0"/>
          <w:numId w:val="0"/>
        </w:numPr>
      </w:pPr>
      <w:r>
        <w:t xml:space="preserve">There appears to be a sense of strong optimism in the improvements that can be achieved under </w:t>
      </w:r>
      <w:r w:rsidR="00F96C20">
        <w:t xml:space="preserve">the </w:t>
      </w:r>
      <w:r>
        <w:t>Reef Plan in t</w:t>
      </w:r>
      <w:r w:rsidR="00E97CC2">
        <w:t>he chapters on</w:t>
      </w:r>
      <w:r>
        <w:t xml:space="preserve"> </w:t>
      </w:r>
      <w:r w:rsidR="002C2F7E" w:rsidRPr="00CC4F89">
        <w:t>w</w:t>
      </w:r>
      <w:r>
        <w:t xml:space="preserve">ater quality. The results </w:t>
      </w:r>
      <w:r w:rsidR="002C2F7E" w:rsidRPr="00CC4F89">
        <w:t xml:space="preserve">from the last </w:t>
      </w:r>
      <w:r w:rsidR="00E97CC2">
        <w:t>Reef Plan Report Card (</w:t>
      </w:r>
      <w:r w:rsidR="008A63FC">
        <w:t>Queensland Government 2013c</w:t>
      </w:r>
      <w:r w:rsidR="00E97CC2">
        <w:t>)</w:t>
      </w:r>
      <w:r w:rsidR="002C2F7E" w:rsidRPr="00CC4F89">
        <w:t xml:space="preserve"> indicate that, while the values for nutrient loads are moving in the right direction</w:t>
      </w:r>
      <w:r>
        <w:t>,</w:t>
      </w:r>
      <w:r w:rsidR="002C2F7E" w:rsidRPr="00CC4F89">
        <w:t xml:space="preserve"> the rate of change looks too slow to meet the targets. </w:t>
      </w:r>
      <w:r>
        <w:t xml:space="preserve">In this context the assessment could go further in stressing the need for more </w:t>
      </w:r>
      <w:r w:rsidR="00E97CC2">
        <w:t xml:space="preserve">substantial </w:t>
      </w:r>
      <w:r>
        <w:t xml:space="preserve">efforts to </w:t>
      </w:r>
      <w:r w:rsidR="002C2F7E" w:rsidRPr="00CC4F89">
        <w:t xml:space="preserve">reduce nutrient and sediment inputs into the </w:t>
      </w:r>
      <w:r>
        <w:t>Great Barrier Reef</w:t>
      </w:r>
      <w:r w:rsidR="002C2F7E" w:rsidRPr="00CC4F89">
        <w:t>.</w:t>
      </w:r>
    </w:p>
    <w:p w:rsidR="006A0691" w:rsidRDefault="00BD633E" w:rsidP="006A0691">
      <w:pPr>
        <w:pStyle w:val="Para0"/>
      </w:pPr>
      <w:r w:rsidRPr="00F1272B">
        <w:t>Table</w:t>
      </w:r>
      <w:r w:rsidR="00CA22B7">
        <w:t>s 8.31 and</w:t>
      </w:r>
      <w:r w:rsidRPr="00F1272B">
        <w:t xml:space="preserve"> 8.32 </w:t>
      </w:r>
      <w:r w:rsidR="00696B47">
        <w:t xml:space="preserve">of the Assessment Report </w:t>
      </w:r>
      <w:r>
        <w:t>show</w:t>
      </w:r>
      <w:r w:rsidRPr="00F1272B">
        <w:t xml:space="preserve"> that the majority of processes are </w:t>
      </w:r>
      <w:r>
        <w:t>‘</w:t>
      </w:r>
      <w:r w:rsidRPr="00F1272B">
        <w:t>mostly effective</w:t>
      </w:r>
      <w:r>
        <w:t>’</w:t>
      </w:r>
      <w:r w:rsidRPr="00F1272B">
        <w:t xml:space="preserve">, but the majority of outcomes are only </w:t>
      </w:r>
      <w:r>
        <w:t>‘</w:t>
      </w:r>
      <w:r w:rsidRPr="00F1272B">
        <w:t>partially effective</w:t>
      </w:r>
      <w:r>
        <w:t>’</w:t>
      </w:r>
      <w:r w:rsidRPr="00F1272B">
        <w:t>.</w:t>
      </w:r>
      <w:r>
        <w:t xml:space="preserve"> There are likely to be many reasons for this, including </w:t>
      </w:r>
      <w:r w:rsidR="00696B47">
        <w:t>legacy impacts</w:t>
      </w:r>
      <w:r>
        <w:t>, delays in the response of reef ecosystems to improved management arrangements, difficulties with the precise assessment of improvement of MNES and variation in condition</w:t>
      </w:r>
      <w:r w:rsidR="00F96C20">
        <w:t>s</w:t>
      </w:r>
      <w:r>
        <w:t xml:space="preserve"> arising from events such as floods and cyclon</w:t>
      </w:r>
      <w:r w:rsidR="00F96C20">
        <w:t xml:space="preserve">es, which can occur in clusters, </w:t>
      </w:r>
      <w:r>
        <w:t>mask</w:t>
      </w:r>
      <w:r w:rsidR="00F96C20">
        <w:t>ing</w:t>
      </w:r>
      <w:r>
        <w:t xml:space="preserve"> or act</w:t>
      </w:r>
      <w:r w:rsidR="00F96C20">
        <w:t>ing</w:t>
      </w:r>
      <w:r>
        <w:t xml:space="preserve"> cumulatively with other impacting processes. </w:t>
      </w:r>
      <w:r w:rsidR="00E97CC2">
        <w:t>P</w:t>
      </w:r>
      <w:r w:rsidR="005E1E39">
        <w:t>age</w:t>
      </w:r>
      <w:r w:rsidR="001C1882">
        <w:t xml:space="preserve"> 11</w:t>
      </w:r>
      <w:r w:rsidR="001C1882">
        <w:noBreakHyphen/>
      </w:r>
      <w:r w:rsidR="006A0691" w:rsidRPr="00F1272B">
        <w:t>22 of</w:t>
      </w:r>
      <w:r w:rsidR="005E1E39">
        <w:t xml:space="preserve"> the Assessment Report</w:t>
      </w:r>
      <w:r w:rsidR="00696B47">
        <w:t xml:space="preserve"> also </w:t>
      </w:r>
      <w:r w:rsidR="005E1E39">
        <w:t xml:space="preserve">shows all </w:t>
      </w:r>
      <w:r w:rsidR="002A1204">
        <w:t>‘key</w:t>
      </w:r>
      <w:r w:rsidR="005E1E39">
        <w:t xml:space="preserve"> value</w:t>
      </w:r>
      <w:r w:rsidR="002A1204">
        <w:t>s</w:t>
      </w:r>
      <w:r w:rsidR="005E1E39">
        <w:t xml:space="preserve"> and attribute</w:t>
      </w:r>
      <w:r w:rsidR="002A1204">
        <w:t>s’</w:t>
      </w:r>
      <w:r w:rsidR="006A0691" w:rsidRPr="00F1272B">
        <w:t xml:space="preserve"> </w:t>
      </w:r>
      <w:r w:rsidR="002A1204">
        <w:t xml:space="preserve">of MNES are </w:t>
      </w:r>
      <w:r w:rsidR="006A0691" w:rsidRPr="00F1272B">
        <w:t xml:space="preserve">assessed as </w:t>
      </w:r>
      <w:r w:rsidR="002A1204">
        <w:t>‘</w:t>
      </w:r>
      <w:r w:rsidR="006A0691" w:rsidRPr="00F1272B">
        <w:t>poor</w:t>
      </w:r>
      <w:r w:rsidR="002A1204">
        <w:t xml:space="preserve">’, with the exception of wetlands, which </w:t>
      </w:r>
      <w:r w:rsidR="00696B47">
        <w:t xml:space="preserve">are </w:t>
      </w:r>
      <w:r w:rsidR="002A1204">
        <w:t>assessed as ‘good’.</w:t>
      </w:r>
    </w:p>
    <w:p w:rsidR="006A0691" w:rsidRDefault="00BD633E" w:rsidP="006A0691">
      <w:pPr>
        <w:pStyle w:val="Para0"/>
      </w:pPr>
      <w:r>
        <w:t xml:space="preserve">At least part of the explanation for </w:t>
      </w:r>
      <w:r w:rsidR="00A34460">
        <w:t>failing to achieve desired</w:t>
      </w:r>
      <w:r w:rsidR="005E1E39">
        <w:t xml:space="preserve"> </w:t>
      </w:r>
      <w:r w:rsidR="00E97CC2">
        <w:t xml:space="preserve">management </w:t>
      </w:r>
      <w:r w:rsidR="005E1E39">
        <w:t xml:space="preserve">outcomes </w:t>
      </w:r>
      <w:r w:rsidR="00E97CC2">
        <w:t>arises</w:t>
      </w:r>
      <w:r w:rsidR="005E1E39">
        <w:t xml:space="preserve"> from t</w:t>
      </w:r>
      <w:r>
        <w:t>he</w:t>
      </w:r>
      <w:r w:rsidR="005E1E39">
        <w:t xml:space="preserve"> large geographic</w:t>
      </w:r>
      <w:r>
        <w:t xml:space="preserve"> scale </w:t>
      </w:r>
      <w:r w:rsidR="00E97CC2">
        <w:t xml:space="preserve">of </w:t>
      </w:r>
      <w:r>
        <w:t>management activities. T</w:t>
      </w:r>
      <w:r w:rsidRPr="00F1272B">
        <w:t xml:space="preserve">he </w:t>
      </w:r>
      <w:r w:rsidR="005E1E39">
        <w:t>magnitude</w:t>
      </w:r>
      <w:r w:rsidRPr="00F1272B">
        <w:t xml:space="preserve"> of</w:t>
      </w:r>
      <w:r>
        <w:t xml:space="preserve"> management</w:t>
      </w:r>
      <w:r w:rsidRPr="00F1272B">
        <w:t xml:space="preserve"> investment </w:t>
      </w:r>
      <w:r w:rsidR="005E1E39">
        <w:t>for</w:t>
      </w:r>
      <w:r w:rsidRPr="00F1272B">
        <w:t xml:space="preserve"> the </w:t>
      </w:r>
      <w:r>
        <w:t>Great Barrier Reef</w:t>
      </w:r>
      <w:r w:rsidRPr="00F1272B">
        <w:t xml:space="preserve"> </w:t>
      </w:r>
      <w:r w:rsidR="005E1E39">
        <w:t xml:space="preserve">as </w:t>
      </w:r>
      <w:r w:rsidR="00C74552">
        <w:t xml:space="preserve">described </w:t>
      </w:r>
      <w:r w:rsidR="00696B47">
        <w:t>(</w:t>
      </w:r>
      <w:r w:rsidR="00C74552">
        <w:t>briefly</w:t>
      </w:r>
      <w:r w:rsidR="00696B47">
        <w:t>)</w:t>
      </w:r>
      <w:r w:rsidR="005E1E39">
        <w:t xml:space="preserve"> in the reports appears</w:t>
      </w:r>
      <w:r w:rsidRPr="00F1272B">
        <w:t xml:space="preserve"> small in comparison </w:t>
      </w:r>
      <w:r>
        <w:t>with</w:t>
      </w:r>
      <w:r w:rsidRPr="00F1272B">
        <w:t xml:space="preserve"> the economic benefits </w:t>
      </w:r>
      <w:r w:rsidR="005E1E39">
        <w:t xml:space="preserve">that are </w:t>
      </w:r>
      <w:r w:rsidR="00BB2B46">
        <w:t>generated</w:t>
      </w:r>
      <w:r w:rsidRPr="00F1272B">
        <w:t xml:space="preserve"> (</w:t>
      </w:r>
      <w:r w:rsidR="00F96C20">
        <w:t>see p</w:t>
      </w:r>
      <w:r w:rsidRPr="00F1272B">
        <w:t xml:space="preserve">age 3-25 of </w:t>
      </w:r>
      <w:r w:rsidR="00F96C20">
        <w:t xml:space="preserve">the </w:t>
      </w:r>
      <w:r w:rsidRPr="00F1272B">
        <w:t>Assessment Report).</w:t>
      </w:r>
      <w:r>
        <w:t xml:space="preserve"> The current</w:t>
      </w:r>
      <w:r w:rsidR="005E1E39">
        <w:t xml:space="preserve"> management</w:t>
      </w:r>
      <w:r>
        <w:t xml:space="preserve"> investment does not appear to be of a sufficient scale to enable a turnaround in the decline in MNES across </w:t>
      </w:r>
      <w:r w:rsidR="00696B47">
        <w:t xml:space="preserve">the </w:t>
      </w:r>
      <w:r>
        <w:t xml:space="preserve">broad range </w:t>
      </w:r>
      <w:r w:rsidR="00696B47">
        <w:t xml:space="preserve">and scale </w:t>
      </w:r>
      <w:r>
        <w:t xml:space="preserve">of environmental features and processes. </w:t>
      </w:r>
      <w:r w:rsidR="006A0691">
        <w:t xml:space="preserve">The field </w:t>
      </w:r>
      <w:r>
        <w:t>management program</w:t>
      </w:r>
      <w:r w:rsidR="006A0691">
        <w:t xml:space="preserve"> is a key example of a pivotal aspe</w:t>
      </w:r>
      <w:r w:rsidR="002A1204">
        <w:t>ct of the reef</w:t>
      </w:r>
      <w:r w:rsidR="006A0691">
        <w:t xml:space="preserve"> management, responsible for </w:t>
      </w:r>
      <w:r w:rsidR="00E97CC2">
        <w:t>implementation of</w:t>
      </w:r>
      <w:r w:rsidR="005E1E39">
        <w:t xml:space="preserve"> </w:t>
      </w:r>
      <w:r w:rsidR="00F96C20">
        <w:t xml:space="preserve">operational </w:t>
      </w:r>
      <w:r w:rsidR="00BB2B46">
        <w:t xml:space="preserve">activities such as </w:t>
      </w:r>
      <w:r w:rsidR="006A0691">
        <w:t xml:space="preserve">compliance, </w:t>
      </w:r>
      <w:r w:rsidR="00BB2B46">
        <w:t xml:space="preserve">island management, </w:t>
      </w:r>
      <w:r w:rsidR="006A0691">
        <w:t xml:space="preserve">pest management, </w:t>
      </w:r>
      <w:r w:rsidR="005E1E39">
        <w:t>some</w:t>
      </w:r>
      <w:r w:rsidR="006A0691">
        <w:t xml:space="preserve"> monitoring and </w:t>
      </w:r>
      <w:r w:rsidR="005E1E39">
        <w:t xml:space="preserve">the </w:t>
      </w:r>
      <w:r w:rsidR="006A0691">
        <w:t xml:space="preserve">maintenance of public infrastructure. However, funding for the field management program </w:t>
      </w:r>
      <w:r>
        <w:t>has been static since 200</w:t>
      </w:r>
      <w:r w:rsidR="00F96C20">
        <w:t>8 and declining in real terms (p</w:t>
      </w:r>
      <w:r>
        <w:t xml:space="preserve">age 8-25 of </w:t>
      </w:r>
      <w:r w:rsidR="005E1E39">
        <w:t>the Assessment Report</w:t>
      </w:r>
      <w:r>
        <w:t>).</w:t>
      </w:r>
      <w:r w:rsidR="006A0691">
        <w:t xml:space="preserve"> While the activities of the </w:t>
      </w:r>
      <w:r w:rsidR="005E1E39">
        <w:t>field management program</w:t>
      </w:r>
      <w:r w:rsidR="006A0691">
        <w:t xml:space="preserve"> appear to be targeted towards the material issues</w:t>
      </w:r>
      <w:r w:rsidR="002A1204">
        <w:t xml:space="preserve"> and highly effective where they are applied</w:t>
      </w:r>
      <w:r w:rsidR="007B4807">
        <w:t xml:space="preserve">, </w:t>
      </w:r>
      <w:r w:rsidR="006A0691">
        <w:t>the scale of the reef</w:t>
      </w:r>
      <w:r w:rsidR="002A1204">
        <w:t>, number of islands</w:t>
      </w:r>
      <w:r w:rsidR="006A0691">
        <w:t xml:space="preserve"> and diversity of tasks means that </w:t>
      </w:r>
      <w:r w:rsidR="00E97CC2">
        <w:t>management</w:t>
      </w:r>
      <w:r w:rsidR="006A0691">
        <w:t xml:space="preserve"> activities can only be effective in a small number of </w:t>
      </w:r>
      <w:r w:rsidR="00E97CC2">
        <w:t>locations</w:t>
      </w:r>
      <w:r w:rsidR="006A0691">
        <w:t>, or ineffectively spread over a large area.</w:t>
      </w:r>
      <w:r w:rsidR="00BB2B46">
        <w:t xml:space="preserve"> </w:t>
      </w:r>
      <w:r w:rsidR="006A0691">
        <w:t xml:space="preserve"> </w:t>
      </w:r>
    </w:p>
    <w:p w:rsidR="00367DB0" w:rsidRDefault="00A310AD" w:rsidP="00367DB0">
      <w:pPr>
        <w:pStyle w:val="Heading2"/>
      </w:pPr>
      <w:bookmarkStart w:id="41" w:name="_Toc378857218"/>
      <w:r>
        <w:t>Forward c</w:t>
      </w:r>
      <w:r w:rsidR="00367DB0">
        <w:t>ommitments</w:t>
      </w:r>
      <w:bookmarkEnd w:id="41"/>
    </w:p>
    <w:p w:rsidR="00B02B3A" w:rsidRDefault="00A310AD" w:rsidP="00F1272B">
      <w:pPr>
        <w:pStyle w:val="Para0"/>
      </w:pPr>
      <w:r>
        <w:t>Forward c</w:t>
      </w:r>
      <w:r w:rsidR="00B02B3A">
        <w:t xml:space="preserve">ommitments </w:t>
      </w:r>
      <w:r w:rsidR="00BD633E">
        <w:t xml:space="preserve">outlined in the Assessment and Program Reports </w:t>
      </w:r>
      <w:r w:rsidR="00B02B3A">
        <w:t>do not seem to address the</w:t>
      </w:r>
      <w:r w:rsidR="007B4807">
        <w:t xml:space="preserve"> management</w:t>
      </w:r>
      <w:r w:rsidR="00B02B3A">
        <w:t xml:space="preserve"> gaps that are </w:t>
      </w:r>
      <w:r w:rsidR="007B4807">
        <w:t xml:space="preserve">clearly </w:t>
      </w:r>
      <w:r w:rsidR="00B02B3A">
        <w:t>identified in earlier se</w:t>
      </w:r>
      <w:r w:rsidR="007B4807">
        <w:t xml:space="preserve">ctions of the </w:t>
      </w:r>
      <w:r w:rsidR="001C1882">
        <w:t>A</w:t>
      </w:r>
      <w:r w:rsidR="007B4807">
        <w:t xml:space="preserve">ssessment </w:t>
      </w:r>
      <w:r w:rsidR="001C1882">
        <w:t>R</w:t>
      </w:r>
      <w:r w:rsidR="007B4807">
        <w:t xml:space="preserve">eport. Indeed future management commitments </w:t>
      </w:r>
      <w:r w:rsidR="00B02B3A">
        <w:t xml:space="preserve">are more in line with a </w:t>
      </w:r>
      <w:r w:rsidR="007B4807">
        <w:t>‘</w:t>
      </w:r>
      <w:r w:rsidR="00B02B3A">
        <w:t>business as usual</w:t>
      </w:r>
      <w:r w:rsidR="007B4807">
        <w:t>’</w:t>
      </w:r>
      <w:r w:rsidR="00B02B3A">
        <w:t xml:space="preserve"> approach</w:t>
      </w:r>
      <w:r w:rsidR="00BD633E">
        <w:t xml:space="preserve"> than </w:t>
      </w:r>
      <w:r w:rsidR="00B146D2">
        <w:t xml:space="preserve">the </w:t>
      </w:r>
      <w:r w:rsidR="00BD633E">
        <w:t xml:space="preserve">substantial strengthening </w:t>
      </w:r>
      <w:r w:rsidR="007B4807">
        <w:t>that is identified as being necessary</w:t>
      </w:r>
      <w:r w:rsidR="002A1204">
        <w:t xml:space="preserve">. Forward </w:t>
      </w:r>
      <w:r>
        <w:t>c</w:t>
      </w:r>
      <w:r w:rsidR="00B02B3A">
        <w:t>ommitments are genera</w:t>
      </w:r>
      <w:r w:rsidR="007B4807">
        <w:t>lly comprised of new processes</w:t>
      </w:r>
      <w:r w:rsidR="00E97CC2">
        <w:t>,</w:t>
      </w:r>
      <w:r w:rsidR="007B4807">
        <w:t xml:space="preserve"> </w:t>
      </w:r>
      <w:r w:rsidR="00B02B3A">
        <w:t xml:space="preserve">rather than actions </w:t>
      </w:r>
      <w:r w:rsidR="00E97CC2">
        <w:t xml:space="preserve">targeted at </w:t>
      </w:r>
      <w:r w:rsidR="00B02B3A">
        <w:t>improved outcomes</w:t>
      </w:r>
      <w:r w:rsidR="00BB2B46">
        <w:t xml:space="preserve"> and are a series of incremental improvements</w:t>
      </w:r>
      <w:r w:rsidR="00B02B3A">
        <w:t xml:space="preserve">. This is inconsistent with </w:t>
      </w:r>
      <w:r w:rsidR="002A1204">
        <w:t>the identified</w:t>
      </w:r>
      <w:r w:rsidR="00B02B3A">
        <w:t xml:space="preserve"> urgent and substantially strengthened measures </w:t>
      </w:r>
      <w:r w:rsidR="002A1204">
        <w:t xml:space="preserve">that </w:t>
      </w:r>
      <w:r w:rsidR="00F96C20">
        <w:t>are</w:t>
      </w:r>
      <w:r w:rsidR="00B02B3A">
        <w:t xml:space="preserve"> needed to address the declining condition of the Great Barrier Reef.</w:t>
      </w:r>
    </w:p>
    <w:p w:rsidR="00423F93" w:rsidRDefault="00423F93" w:rsidP="00423F93">
      <w:pPr>
        <w:pStyle w:val="Para0"/>
      </w:pPr>
      <w:r>
        <w:t xml:space="preserve">Given the alarming decline in coral cover </w:t>
      </w:r>
      <w:r w:rsidR="00BB2B46">
        <w:t>across large parts of the reef</w:t>
      </w:r>
      <w:r>
        <w:t xml:space="preserve">, there </w:t>
      </w:r>
      <w:r w:rsidR="00F96C20">
        <w:t>is an</w:t>
      </w:r>
      <w:r>
        <w:t xml:space="preserve"> urgent need for more</w:t>
      </w:r>
      <w:r w:rsidR="00F96C20">
        <w:t xml:space="preserve"> ‘</w:t>
      </w:r>
      <w:r w:rsidR="002A1204">
        <w:t>restoration ecology</w:t>
      </w:r>
      <w:r w:rsidR="00F96C20">
        <w:t>’</w:t>
      </w:r>
      <w:r w:rsidR="002A1204">
        <w:t xml:space="preserve"> research, such as</w:t>
      </w:r>
      <w:r>
        <w:t xml:space="preserve"> intensive monitoring of sites for recovery after COTS outbreaks or cyclone damage, testing the efficacy of COTS control, trialling restoration methods, assessing priori</w:t>
      </w:r>
      <w:r w:rsidR="002A1204">
        <w:t>ty areas to enhance resilience</w:t>
      </w:r>
      <w:r w:rsidR="00F96C20">
        <w:t>,</w:t>
      </w:r>
      <w:r w:rsidR="002A1204">
        <w:t xml:space="preserve"> and </w:t>
      </w:r>
      <w:r>
        <w:t xml:space="preserve">more confident identification of </w:t>
      </w:r>
      <w:r w:rsidR="00BB2B46">
        <w:t>ecosystem</w:t>
      </w:r>
      <w:r>
        <w:t xml:space="preserve"> tipping points. </w:t>
      </w:r>
      <w:r w:rsidR="00A34460">
        <w:t xml:space="preserve">This would test the accuracy of our current understanding and provide evidence to improve the effectiveness of management actions on the reef. </w:t>
      </w:r>
      <w:r>
        <w:t xml:space="preserve">De’ath </w:t>
      </w:r>
      <w:r w:rsidR="002C4C82" w:rsidRPr="002C4C82">
        <w:rPr>
          <w:i/>
        </w:rPr>
        <w:t>et al.</w:t>
      </w:r>
      <w:r>
        <w:t xml:space="preserve"> (2012) suggest that COTS control alone would be sufficient to allow coral recovery at a reef scale, </w:t>
      </w:r>
      <w:r w:rsidR="002A1204">
        <w:t xml:space="preserve">which is </w:t>
      </w:r>
      <w:r>
        <w:t>a testable hy</w:t>
      </w:r>
      <w:r w:rsidR="00A34460">
        <w:t xml:space="preserve">pothesis. </w:t>
      </w:r>
      <w:r>
        <w:t xml:space="preserve">The urgency of targeted research </w:t>
      </w:r>
      <w:r w:rsidR="002A1204">
        <w:t>applied</w:t>
      </w:r>
      <w:r>
        <w:t xml:space="preserve"> to reef restoration </w:t>
      </w:r>
      <w:r w:rsidR="00A34460">
        <w:t>is not clearly articulated</w:t>
      </w:r>
      <w:r w:rsidR="002A1204">
        <w:t xml:space="preserve"> sufficiently in the P</w:t>
      </w:r>
      <w:r>
        <w:t xml:space="preserve">rogram </w:t>
      </w:r>
      <w:r w:rsidR="002A1204">
        <w:t>R</w:t>
      </w:r>
      <w:r>
        <w:t xml:space="preserve">eport. </w:t>
      </w:r>
    </w:p>
    <w:p w:rsidR="00366558" w:rsidRDefault="00366558" w:rsidP="00366558">
      <w:pPr>
        <w:pStyle w:val="Para0"/>
      </w:pPr>
      <w:r>
        <w:t xml:space="preserve">The Program Report includes a number of </w:t>
      </w:r>
      <w:r w:rsidR="00B146D2">
        <w:t xml:space="preserve">what should be </w:t>
      </w:r>
      <w:r>
        <w:t xml:space="preserve">very useful initiatives. </w:t>
      </w:r>
    </w:p>
    <w:p w:rsidR="00366558" w:rsidRDefault="00366558" w:rsidP="007C648D">
      <w:pPr>
        <w:pStyle w:val="Para0"/>
        <w:numPr>
          <w:ilvl w:val="0"/>
          <w:numId w:val="47"/>
        </w:numPr>
        <w:ind w:left="567" w:hanging="567"/>
      </w:pPr>
      <w:r>
        <w:t xml:space="preserve">Development of a Cumulative Impacts Policy is critical, but will be challenging on many levels. Conceptually, there is a major challenge </w:t>
      </w:r>
      <w:r w:rsidR="00B146D2">
        <w:t xml:space="preserve">in </w:t>
      </w:r>
      <w:r>
        <w:t xml:space="preserve">developing a quantitative understanding of how multiple </w:t>
      </w:r>
      <w:r>
        <w:lastRenderedPageBreak/>
        <w:t xml:space="preserve">human and natural impacts interact in affecting the health and long term resilience of the </w:t>
      </w:r>
      <w:r w:rsidR="00BB2B46">
        <w:t>Great Barrier Reef</w:t>
      </w:r>
      <w:r>
        <w:t xml:space="preserve"> ecosystem. The preliminary qualitative assessments are useful but inadequate as a basis to make significant management and investment decisions. For this, quantitative understanding will be critical if future management of impacts is to be based on their relative contribution to health or decline. Basing an adaptive management strategy around cumulative impact risk assessment in a complex and heterogeneous system will also present a major governance challenge both to </w:t>
      </w:r>
      <w:r w:rsidR="007E1785">
        <w:t>GBRMPA</w:t>
      </w:r>
      <w:r>
        <w:t xml:space="preserve"> and their partners across the Commonwealth and State Governments. </w:t>
      </w:r>
    </w:p>
    <w:p w:rsidR="00366558" w:rsidRDefault="00F96C20" w:rsidP="007C648D">
      <w:pPr>
        <w:pStyle w:val="Para0"/>
        <w:numPr>
          <w:ilvl w:val="0"/>
          <w:numId w:val="47"/>
        </w:numPr>
        <w:ind w:left="567" w:hanging="567"/>
      </w:pPr>
      <w:r>
        <w:t>The d</w:t>
      </w:r>
      <w:r w:rsidR="00366558">
        <w:t xml:space="preserve">evelopment of “Best Practice Standards for Managing Impacts”, so that impacts are “managed such that ecosystem thresholds are not reached” is also </w:t>
      </w:r>
      <w:r w:rsidR="00BB2B46">
        <w:t xml:space="preserve">a </w:t>
      </w:r>
      <w:r w:rsidR="00366558">
        <w:t>welcome</w:t>
      </w:r>
      <w:r w:rsidR="00BB2B46">
        <w:t xml:space="preserve"> response</w:t>
      </w:r>
      <w:r w:rsidR="00366558">
        <w:t xml:space="preserve">. As the Program </w:t>
      </w:r>
      <w:r w:rsidR="00BB2B46">
        <w:t>Report</w:t>
      </w:r>
      <w:r w:rsidR="00366558">
        <w:t xml:space="preserve"> acknowledges, this will require development of suitable methods for assessing impact</w:t>
      </w:r>
      <w:r>
        <w:t>s,</w:t>
      </w:r>
      <w:r w:rsidR="00366558">
        <w:t xml:space="preserve"> and adequate data. The commitment to developing the Standards must be matched with a commitment</w:t>
      </w:r>
      <w:r>
        <w:t xml:space="preserve"> to implement</w:t>
      </w:r>
      <w:r w:rsidR="00366558">
        <w:t xml:space="preserve"> (and resourc</w:t>
      </w:r>
      <w:r>
        <w:t>e) them</w:t>
      </w:r>
      <w:r w:rsidR="00366558">
        <w:t xml:space="preserve">, or there is a risk of repeating </w:t>
      </w:r>
      <w:r w:rsidR="00BB2B46">
        <w:t>the pattern highlighted in the review of management e</w:t>
      </w:r>
      <w:r w:rsidR="00366558">
        <w:t>ffectiveness</w:t>
      </w:r>
      <w:r w:rsidR="00B146D2">
        <w:t xml:space="preserve"> of</w:t>
      </w:r>
      <w:r w:rsidR="00366558">
        <w:t xml:space="preserve"> </w:t>
      </w:r>
      <w:r w:rsidR="00B146D2">
        <w:t xml:space="preserve">having a </w:t>
      </w:r>
      <w:r w:rsidR="00366558">
        <w:t xml:space="preserve">good understanding of the issues, good process, good output (a policy), but </w:t>
      </w:r>
      <w:r w:rsidR="00BB2B46">
        <w:t xml:space="preserve">poor </w:t>
      </w:r>
      <w:r w:rsidR="00366558">
        <w:t xml:space="preserve">outcomes. </w:t>
      </w:r>
      <w:r w:rsidR="00BB2B46">
        <w:t>In order to</w:t>
      </w:r>
      <w:r w:rsidR="00366558">
        <w:t xml:space="preserve"> manage impacts</w:t>
      </w:r>
      <w:r w:rsidR="00BB2B46">
        <w:t>, they n</w:t>
      </w:r>
      <w:r w:rsidR="00366558">
        <w:t xml:space="preserve">eed to </w:t>
      </w:r>
      <w:r w:rsidR="00BB2B46">
        <w:t xml:space="preserve">be </w:t>
      </w:r>
      <w:r w:rsidR="00366558">
        <w:t>measure</w:t>
      </w:r>
      <w:r w:rsidR="00BB2B46">
        <w:t xml:space="preserve">d at a scale and </w:t>
      </w:r>
      <w:r w:rsidR="00366558">
        <w:t xml:space="preserve">frequency that is meaningful to inform and adapt management. </w:t>
      </w:r>
    </w:p>
    <w:p w:rsidR="00366558" w:rsidRDefault="00366558" w:rsidP="007C648D">
      <w:pPr>
        <w:pStyle w:val="Para0"/>
        <w:numPr>
          <w:ilvl w:val="0"/>
          <w:numId w:val="47"/>
        </w:numPr>
        <w:ind w:left="567" w:hanging="567"/>
      </w:pPr>
      <w:r>
        <w:t>The Net Benefit Policy is similarly well-conceived, and its goal of developing a “Strategic Framework to guide actions and manage funds for protectin</w:t>
      </w:r>
      <w:r w:rsidR="00BB2B46">
        <w:t xml:space="preserve">g and restoring the </w:t>
      </w:r>
      <w:r>
        <w:t xml:space="preserve">values of the </w:t>
      </w:r>
      <w:r w:rsidR="00BB2B46">
        <w:t>Great Barrier Reef</w:t>
      </w:r>
      <w:r>
        <w:t xml:space="preserve">” is a </w:t>
      </w:r>
      <w:r w:rsidR="00BB2B46">
        <w:t>positive</w:t>
      </w:r>
      <w:r>
        <w:t xml:space="preserve"> step forward. The Reef Trust concept provides </w:t>
      </w:r>
      <w:r w:rsidR="00CA22B7">
        <w:t xml:space="preserve">a potential funding </w:t>
      </w:r>
      <w:r>
        <w:t xml:space="preserve">basis for </w:t>
      </w:r>
      <w:r w:rsidR="00551E8D">
        <w:t xml:space="preserve">well-targeted </w:t>
      </w:r>
      <w:r>
        <w:t xml:space="preserve">major initiatives.  </w:t>
      </w:r>
    </w:p>
    <w:p w:rsidR="008171FE" w:rsidRDefault="00F96C20" w:rsidP="00D055DA">
      <w:pPr>
        <w:pStyle w:val="Heading1"/>
      </w:pPr>
      <w:bookmarkStart w:id="42" w:name="_Toc378857219"/>
      <w:r>
        <w:lastRenderedPageBreak/>
        <w:t>Comparative a</w:t>
      </w:r>
      <w:r w:rsidR="008171FE">
        <w:t xml:space="preserve">ssessment of </w:t>
      </w:r>
      <w:r w:rsidR="00C802A8">
        <w:t>Queensland</w:t>
      </w:r>
      <w:r w:rsidR="008171FE">
        <w:t xml:space="preserve"> and </w:t>
      </w:r>
      <w:r w:rsidR="00880A76">
        <w:t xml:space="preserve">GBRMPA </w:t>
      </w:r>
      <w:r w:rsidR="008171FE">
        <w:t>Strategic Assessments</w:t>
      </w:r>
      <w:bookmarkEnd w:id="42"/>
    </w:p>
    <w:p w:rsidR="008171FE" w:rsidRDefault="000E57BC" w:rsidP="008171FE">
      <w:pPr>
        <w:pStyle w:val="Heading2"/>
      </w:pPr>
      <w:bookmarkStart w:id="43" w:name="_Toc378857220"/>
      <w:r>
        <w:rPr>
          <w:noProof/>
          <w:lang w:eastAsia="en-AU"/>
        </w:rPr>
        <mc:AlternateContent>
          <mc:Choice Requires="wps">
            <w:drawing>
              <wp:anchor distT="0" distB="0" distL="114300" distR="114300" simplePos="0" relativeHeight="251679744" behindDoc="0" locked="0" layoutInCell="1" allowOverlap="1">
                <wp:simplePos x="0" y="0"/>
                <wp:positionH relativeFrom="column">
                  <wp:posOffset>3176905</wp:posOffset>
                </wp:positionH>
                <wp:positionV relativeFrom="paragraph">
                  <wp:posOffset>482600</wp:posOffset>
                </wp:positionV>
                <wp:extent cx="3378835" cy="5502275"/>
                <wp:effectExtent l="38100" t="38100" r="107315" b="117475"/>
                <wp:wrapSquare wrapText="bothSides"/>
                <wp:docPr id="2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78835" cy="5502275"/>
                        </a:xfrm>
                        <a:prstGeom prst="roundRect">
                          <a:avLst/>
                        </a:prstGeom>
                        <a:solidFill>
                          <a:schemeClr val="accent6">
                            <a:lumMod val="20000"/>
                            <a:lumOff val="80000"/>
                          </a:schemeClr>
                        </a:solidFill>
                        <a:effectLst>
                          <a:outerShdw blurRad="50800" dist="38100" dir="2700000" algn="tl"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txbx>
                        <w:txbxContent>
                          <w:p w:rsidR="00233787" w:rsidRDefault="00233787" w:rsidP="0096415D">
                            <w:pPr>
                              <w:spacing w:before="40" w:after="40"/>
                              <w:ind w:right="-104"/>
                              <w:rPr>
                                <w:rFonts w:asciiTheme="minorHAnsi" w:hAnsiTheme="minorHAnsi"/>
                                <w:b/>
                                <w:color w:val="7030A0"/>
                                <w:sz w:val="22"/>
                              </w:rPr>
                            </w:pPr>
                            <w:r>
                              <w:rPr>
                                <w:rFonts w:asciiTheme="minorHAnsi" w:hAnsiTheme="minorHAnsi"/>
                                <w:b/>
                                <w:color w:val="7030A0"/>
                                <w:sz w:val="22"/>
                              </w:rPr>
                              <w:t>The Queensland and GBRMPA programs share a commitment to give greater consideration to MNES in the implementation of their respective management activities. When considered collectively, several areas of strength and alignment are evident; such as the management of tourism, the prioritisation of limited field management activities, and the application of spatial tools and science to inform management decisions. Weaknesses and gaps in the programs primarily relate to the coastal interface, where issues such as water quality and connectivity, which stretch across a variety of land uses, habitats and jurisdictions are not effectively managed. Some aspects of the Great Barrier Reef’s management, such as administering approvals under the EPBC Act, are not described or assessed in either the Queensland or GBRMPA Strategic Assessments.</w:t>
                            </w:r>
                          </w:p>
                          <w:p w:rsidR="00233787" w:rsidRPr="00EB16DA" w:rsidRDefault="00233787" w:rsidP="0096415D">
                            <w:pPr>
                              <w:spacing w:before="40" w:after="40"/>
                              <w:ind w:right="-104"/>
                              <w:rPr>
                                <w:rFonts w:asciiTheme="minorHAnsi" w:hAnsiTheme="minorHAnsi"/>
                                <w:b/>
                                <w:color w:val="7030A0"/>
                                <w:sz w:val="22"/>
                              </w:rPr>
                            </w:pPr>
                            <w:r>
                              <w:rPr>
                                <w:rFonts w:asciiTheme="minorHAnsi" w:hAnsiTheme="minorHAnsi"/>
                                <w:b/>
                                <w:color w:val="7030A0"/>
                                <w:sz w:val="22"/>
                              </w:rPr>
                              <w:t xml:space="preserve">There are opportunities to significantly strengthen both Strategic Assessments through more detailed collaboration, and cross referencing between the Queensland and GBRMPA documents, to present an integrated approach to the management of MNES. While there may be small areas of duplication, it is the gaps of climate change, extreme weather and water quality that require the most attention. </w:t>
                            </w:r>
                          </w:p>
                          <w:p w:rsidR="00233787" w:rsidRDefault="00233787" w:rsidP="0096415D">
                            <w:pPr>
                              <w:ind w:right="-104"/>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Rounded Rectangle 21" o:spid="_x0000_s1031" style="position:absolute;left:0;text-align:left;margin-left:250.15pt;margin-top:38pt;width:266.05pt;height:433.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" fillcolor="#dce6f2 [665]" strokecolor="#78736b [1604]" strokeweight="2pt">
                <v:shadow on="t" color="black" opacity="26214f" origin="-.5,-.5" offset=".74836mm,.74836mm"/>
                <v:path arrowok="t"/>
                <v:textbox>
                  <w:txbxContent>
                    <w:p w:rsidR="00233787" w:rsidRDefault="00233787" w:rsidP="0096415D">
                      <w:pPr>
                        <w:spacing w:before="40" w:after="40"/>
                        <w:ind w:right="-104"/>
                        <w:rPr>
                          <w:rFonts w:asciiTheme="minorHAnsi" w:hAnsiTheme="minorHAnsi"/>
                          <w:b/>
                          <w:color w:val="7030A0"/>
                          <w:sz w:val="22"/>
                        </w:rPr>
                      </w:pPr>
                      <w:r>
                        <w:rPr>
                          <w:rFonts w:asciiTheme="minorHAnsi" w:hAnsiTheme="minorHAnsi"/>
                          <w:b/>
                          <w:color w:val="7030A0"/>
                          <w:sz w:val="22"/>
                        </w:rPr>
                        <w:t>The Queensland and GBRMPA programs share a commitment to give greater consideration to MNES in the implementation of their respective management activities. When considered collectively, several areas of strength and alignment are evident; such as the management of tourism, the prioritisation of limited field management activities, and the application of spatial tools and science to inform management decisions. Weaknesses and gaps in the programs primarily relate to the coastal interface, where issues such as water quality and connectivity, which stretch across a variety of land uses, habitats and jurisdictions are not effectively managed. Some aspects of the Great Barrier Reef’s management, such as administering approvals under the EPBC Act, are not described or assessed in either the Queensland or GBRMPA Strategic Assessments.</w:t>
                      </w:r>
                    </w:p>
                    <w:p w:rsidR="00233787" w:rsidRPr="00EB16DA" w:rsidRDefault="00233787" w:rsidP="0096415D">
                      <w:pPr>
                        <w:spacing w:before="40" w:after="40"/>
                        <w:ind w:right="-104"/>
                        <w:rPr>
                          <w:rFonts w:asciiTheme="minorHAnsi" w:hAnsiTheme="minorHAnsi"/>
                          <w:b/>
                          <w:color w:val="7030A0"/>
                          <w:sz w:val="22"/>
                        </w:rPr>
                      </w:pPr>
                      <w:r>
                        <w:rPr>
                          <w:rFonts w:asciiTheme="minorHAnsi" w:hAnsiTheme="minorHAnsi"/>
                          <w:b/>
                          <w:color w:val="7030A0"/>
                          <w:sz w:val="22"/>
                        </w:rPr>
                        <w:t xml:space="preserve">There are opportunities to significantly strengthen both Strategic Assessments through more detailed collaboration, and cross referencing between the Queensland and GBRMPA documents, to present an integrated approach to the management of MNES. While there may be small areas of duplication, it is the gaps of climate change, extreme weather and water quality that require the most attention. </w:t>
                      </w:r>
                    </w:p>
                    <w:p w:rsidR="00233787" w:rsidRDefault="00233787" w:rsidP="0096415D">
                      <w:pPr>
                        <w:ind w:right="-104"/>
                        <w:jc w:val="center"/>
                      </w:pPr>
                    </w:p>
                  </w:txbxContent>
                </v:textbox>
                <w10:wrap type="square"/>
              </v:roundrect>
            </w:pict>
          </mc:Fallback>
        </mc:AlternateContent>
      </w:r>
      <w:r w:rsidR="008171FE">
        <w:t>Introduction</w:t>
      </w:r>
      <w:bookmarkEnd w:id="43"/>
    </w:p>
    <w:p w:rsidR="00256E9C" w:rsidRDefault="00256E9C" w:rsidP="00987024">
      <w:pPr>
        <w:pStyle w:val="Para0"/>
      </w:pPr>
      <w:r>
        <w:t xml:space="preserve">The GBRMPA and </w:t>
      </w:r>
      <w:r w:rsidR="00B02B3A">
        <w:t>Queensland</w:t>
      </w:r>
      <w:r>
        <w:t xml:space="preserve"> programs are intended to provide an integrated, complementary and comprehensive management approach to protecting MNES within the Great Barrier Reef, in conjunction with existing Australian Government legislation, programs and policies, such as the EPBC Act. </w:t>
      </w:r>
    </w:p>
    <w:p w:rsidR="00D90455" w:rsidRDefault="00D90455" w:rsidP="00987024">
      <w:pPr>
        <w:pStyle w:val="Para0"/>
      </w:pPr>
      <w:r>
        <w:t>This section outlines the findings of a comparative assessment of the draft Great Barrier Reef Region Strategic Assessment (</w:t>
      </w:r>
      <w:r w:rsidR="00256E9C">
        <w:t>GBRMPA</w:t>
      </w:r>
      <w:r>
        <w:t>) and draft Great Barrier Reef Coastal Zone Strategic Assessment (</w:t>
      </w:r>
      <w:r w:rsidR="00256E9C">
        <w:t>Queensland Government</w:t>
      </w:r>
      <w:r>
        <w:t xml:space="preserve">). The purpose of the analysis is to ascertain gaps in management to protect MNES, including OUV of the Great Barrier Reef World Heritage Property. </w:t>
      </w:r>
    </w:p>
    <w:p w:rsidR="00D90455" w:rsidRDefault="00A34460" w:rsidP="00987024">
      <w:pPr>
        <w:pStyle w:val="Para0"/>
      </w:pPr>
      <w:r>
        <w:t>The</w:t>
      </w:r>
      <w:r w:rsidR="00CD4D04">
        <w:t xml:space="preserve"> extent to which the current and proposed p</w:t>
      </w:r>
      <w:r w:rsidR="00D90455">
        <w:t xml:space="preserve">rograms align and complement each other </w:t>
      </w:r>
      <w:r>
        <w:t xml:space="preserve">was considered </w:t>
      </w:r>
      <w:r w:rsidR="00D90455">
        <w:t xml:space="preserve">to provide an integrated and comprehensive management approach for protecting MNES. The review team sought to identify any notable or important information and management gaps or deficiencies that are evident from considering the Strategic </w:t>
      </w:r>
      <w:r w:rsidR="001C1882">
        <w:t>Assessment reports and Program r</w:t>
      </w:r>
      <w:r w:rsidR="00D90455">
        <w:t>eports together. Proposed areas of management where clarification is required in relation to the delineation of responsibility and other relevant implementation matters were also considered.</w:t>
      </w:r>
    </w:p>
    <w:p w:rsidR="00256E9C" w:rsidRDefault="00F96C20" w:rsidP="00256E9C">
      <w:pPr>
        <w:pStyle w:val="Heading2"/>
      </w:pPr>
      <w:bookmarkStart w:id="44" w:name="_Toc378857221"/>
      <w:r>
        <w:t>Matters of National Environmental Significance</w:t>
      </w:r>
      <w:bookmarkEnd w:id="44"/>
    </w:p>
    <w:p w:rsidR="00987024" w:rsidRDefault="00987024" w:rsidP="00987024">
      <w:pPr>
        <w:pStyle w:val="Para0"/>
      </w:pPr>
      <w:r w:rsidRPr="00F1272B">
        <w:t xml:space="preserve">A common theme of both assessments is that </w:t>
      </w:r>
      <w:r w:rsidR="00D90D51">
        <w:t>the</w:t>
      </w:r>
      <w:r w:rsidRPr="00F1272B">
        <w:t xml:space="preserve"> legislation </w:t>
      </w:r>
      <w:r w:rsidR="00D90D51">
        <w:t>upon which the Program</w:t>
      </w:r>
      <w:r w:rsidR="001C1882">
        <w:t>s are</w:t>
      </w:r>
      <w:r w:rsidR="00D90D51">
        <w:t xml:space="preserve"> based </w:t>
      </w:r>
      <w:r w:rsidRPr="00F1272B">
        <w:t xml:space="preserve">does not specifically establish or reference MNES. In the case of the </w:t>
      </w:r>
      <w:r w:rsidR="00880A76">
        <w:t xml:space="preserve">GBRMPA </w:t>
      </w:r>
      <w:r w:rsidR="00256E9C">
        <w:t>Strategic Assessment</w:t>
      </w:r>
      <w:r w:rsidRPr="00F1272B">
        <w:t xml:space="preserve">, </w:t>
      </w:r>
      <w:r w:rsidR="00D90D51">
        <w:t xml:space="preserve">protection of MNES is </w:t>
      </w:r>
      <w:r w:rsidRPr="00F1272B">
        <w:t>based on ke</w:t>
      </w:r>
      <w:r w:rsidR="00D90D51">
        <w:t>y values and attributes of MNES, which are afforded protection through the management of the Great Barrier Reef Marine Park. Likewise, the Queensland Program was not established with MNES in mind, and the protection afforded to MNES through the Queensland Government’s existing program has been largely coincidental rather than the product of a targeted legislative framework. The Queensland Program proposes to develop a planning framework that explicitly considers MNES, which will bring stronger alignment of management and assessment activities</w:t>
      </w:r>
      <w:r w:rsidR="00CD4D04">
        <w:t xml:space="preserve"> with that of the Commonwealth</w:t>
      </w:r>
      <w:r w:rsidR="00D90D51">
        <w:t>.</w:t>
      </w:r>
      <w:r w:rsidR="007376F4">
        <w:t xml:space="preserve"> The first recommended improvement </w:t>
      </w:r>
      <w:r w:rsidR="00F10B9B">
        <w:t>outlined in the GBRMPA Program</w:t>
      </w:r>
      <w:r w:rsidR="007376F4">
        <w:t xml:space="preserve"> is to explicitly incorporate consideration of all values relevant to MNES, including elements of the property’s OUV, into the Authority’s programs, plans and policies. </w:t>
      </w:r>
      <w:r w:rsidR="00CD4D04">
        <w:t>There</w:t>
      </w:r>
      <w:r w:rsidR="007376F4">
        <w:t xml:space="preserve"> appears to therefore be mutual agreement that MNES will form a significant part of management of the Great Barrier Reef in the future.</w:t>
      </w:r>
      <w:r w:rsidR="00CD4D04">
        <w:t xml:space="preserve"> This new resolve of both management jurisdictions to focus on MNES appears to be a key benefit of the Strategic Assessment process and a demonstration of incremental improvement and alignment in management direction.</w:t>
      </w:r>
    </w:p>
    <w:p w:rsidR="008171FE" w:rsidRDefault="008171FE" w:rsidP="008171FE">
      <w:pPr>
        <w:pStyle w:val="Heading2"/>
      </w:pPr>
      <w:bookmarkStart w:id="45" w:name="_Toc378857222"/>
      <w:r>
        <w:lastRenderedPageBreak/>
        <w:t>Strengths and alignments</w:t>
      </w:r>
      <w:bookmarkEnd w:id="45"/>
    </w:p>
    <w:p w:rsidR="0060735E" w:rsidRDefault="00DC6970" w:rsidP="0060735E">
      <w:pPr>
        <w:pStyle w:val="Para0"/>
      </w:pPr>
      <w:r>
        <w:t xml:space="preserve">Overall the joint management arrangements </w:t>
      </w:r>
      <w:r w:rsidR="0029464E">
        <w:t>in place for</w:t>
      </w:r>
      <w:r>
        <w:t xml:space="preserve"> the Great Barrier Reef are</w:t>
      </w:r>
      <w:r w:rsidR="0029464E">
        <w:t xml:space="preserve"> considered to be</w:t>
      </w:r>
      <w:r>
        <w:t xml:space="preserve"> effective and appropriate </w:t>
      </w:r>
      <w:r w:rsidR="0029464E">
        <w:t>for</w:t>
      </w:r>
      <w:r>
        <w:t xml:space="preserve"> the jurisdictional responsibilities of the State and </w:t>
      </w:r>
      <w:r w:rsidR="00880A76">
        <w:t>GBRMPA</w:t>
      </w:r>
      <w:r>
        <w:t xml:space="preserve">. There are </w:t>
      </w:r>
      <w:r w:rsidR="0029464E">
        <w:t>functional</w:t>
      </w:r>
      <w:r>
        <w:t xml:space="preserve"> similarities in the approach </w:t>
      </w:r>
      <w:r w:rsidR="0029464E">
        <w:t>taken between the jurisdictions to managing the</w:t>
      </w:r>
      <w:r>
        <w:t xml:space="preserve"> landscapes </w:t>
      </w:r>
      <w:r w:rsidR="0029464E">
        <w:t>of the Great Barrier Reef, its coastal zone and catchment</w:t>
      </w:r>
      <w:r>
        <w:t xml:space="preserve">. The establishment of a reserve system across the landscape is one such </w:t>
      </w:r>
      <w:r w:rsidR="0029464E">
        <w:t>approach</w:t>
      </w:r>
      <w:r>
        <w:t xml:space="preserve">. The </w:t>
      </w:r>
      <w:r w:rsidR="0029464E">
        <w:t xml:space="preserve">Great Barrier Reef </w:t>
      </w:r>
      <w:r>
        <w:t>zoning plan establishes Marine National Park Zones</w:t>
      </w:r>
      <w:r w:rsidR="001C1882">
        <w:t xml:space="preserve"> over approximately 30% of the m</w:t>
      </w:r>
      <w:r>
        <w:t xml:space="preserve">arine </w:t>
      </w:r>
      <w:r w:rsidR="001C1882">
        <w:t>p</w:t>
      </w:r>
      <w:r>
        <w:t xml:space="preserve">ark, where all forms of extraction </w:t>
      </w:r>
      <w:r w:rsidR="0029464E">
        <w:t>are</w:t>
      </w:r>
      <w:r>
        <w:t xml:space="preserve"> prohibited. Within the Great Barrier Reef Coastal Zone, national</w:t>
      </w:r>
      <w:r w:rsidR="0029464E">
        <w:t xml:space="preserve"> parks and other protected area tenures</w:t>
      </w:r>
      <w:r>
        <w:t xml:space="preserve"> are also established on land and protect the functional landscapes upon which the Great Barrier Reef can rely. Importantly, both reserve systems apply a representative area approach </w:t>
      </w:r>
      <w:r w:rsidR="0029464E">
        <w:t xml:space="preserve">to </w:t>
      </w:r>
      <w:r w:rsidR="00317F04">
        <w:t>contribute to</w:t>
      </w:r>
      <w:r>
        <w:t xml:space="preserve"> the protection of </w:t>
      </w:r>
      <w:r w:rsidR="0029464E">
        <w:t xml:space="preserve">representation </w:t>
      </w:r>
      <w:r w:rsidR="00317F04">
        <w:t xml:space="preserve">examples </w:t>
      </w:r>
      <w:r w:rsidR="0029464E">
        <w:t xml:space="preserve">of the various </w:t>
      </w:r>
      <w:r>
        <w:t>habitats and bioregions.</w:t>
      </w:r>
    </w:p>
    <w:p w:rsidR="0060735E" w:rsidRDefault="00DC6970" w:rsidP="0060735E">
      <w:pPr>
        <w:pStyle w:val="Para0"/>
      </w:pPr>
      <w:r>
        <w:t xml:space="preserve">The assessment of major developments in and around the Great Barrier Reef World Heritage Area is another strength of both programs. The Queensland Program is very focussed on development assessment and has several targeted legislative instruments to provide for </w:t>
      </w:r>
      <w:r w:rsidR="00F96C20">
        <w:t>marine habitat protection</w:t>
      </w:r>
      <w:r>
        <w:t xml:space="preserve"> and sustainable use</w:t>
      </w:r>
      <w:r w:rsidR="00763937">
        <w:t xml:space="preserve"> of the coastal zone and catchment</w:t>
      </w:r>
      <w:r>
        <w:t xml:space="preserve">. GBRMPA is </w:t>
      </w:r>
      <w:r w:rsidR="0029464E">
        <w:t>generally</w:t>
      </w:r>
      <w:r>
        <w:t xml:space="preserve"> directly involved </w:t>
      </w:r>
      <w:r w:rsidR="0029464E">
        <w:t>in the assessment of</w:t>
      </w:r>
      <w:r>
        <w:t xml:space="preserve"> projects located within the marine park, and provides advice to the Department of the Environment for approv</w:t>
      </w:r>
      <w:r w:rsidR="00C854B3">
        <w:t>als under the EPBC Act. Marine p</w:t>
      </w:r>
      <w:r>
        <w:t xml:space="preserve">arks permits are </w:t>
      </w:r>
      <w:r w:rsidR="0029464E">
        <w:t xml:space="preserve">generally </w:t>
      </w:r>
      <w:r>
        <w:t xml:space="preserve">assessed jointly by the Queensland Parks and Wildlife Service and GBRMPA, and permits may be granted with identical conditions to address relevant legislation applying across the combined </w:t>
      </w:r>
      <w:r w:rsidR="0029464E">
        <w:t>jurisdictions</w:t>
      </w:r>
      <w:r>
        <w:t xml:space="preserve">. Permit compliance </w:t>
      </w:r>
      <w:r w:rsidR="0029464E">
        <w:t>is generally completed</w:t>
      </w:r>
      <w:r>
        <w:t xml:space="preserve"> by the field man</w:t>
      </w:r>
      <w:r w:rsidR="004B1506">
        <w:t xml:space="preserve">agement program, </w:t>
      </w:r>
      <w:r w:rsidR="0029464E">
        <w:t xml:space="preserve">which has direct and </w:t>
      </w:r>
      <w:r w:rsidR="004B1506">
        <w:t>strategic links to GBRMPA staff.</w:t>
      </w:r>
    </w:p>
    <w:p w:rsidR="0060735E" w:rsidRDefault="004B1506" w:rsidP="0060735E">
      <w:pPr>
        <w:pStyle w:val="Para0"/>
      </w:pPr>
      <w:r>
        <w:t xml:space="preserve">The spatial understanding of environmental values at a regional </w:t>
      </w:r>
      <w:r w:rsidR="00C06F56">
        <w:t xml:space="preserve">scale </w:t>
      </w:r>
      <w:r>
        <w:t xml:space="preserve">is a strength of both assessments. </w:t>
      </w:r>
      <w:r w:rsidR="00C06F56">
        <w:t>The Queensland Program applied vegetation mapping techniques to highlight environmental values and identify areas where clearing had been extensive</w:t>
      </w:r>
      <w:r w:rsidR="0029464E">
        <w:t>, potentially contributing to impacts downstream</w:t>
      </w:r>
      <w:r w:rsidR="00C06F56">
        <w:t xml:space="preserve">. GBRMPA has a good understanding of bioregions and habitats, which </w:t>
      </w:r>
      <w:r w:rsidR="0029464E">
        <w:t>is being</w:t>
      </w:r>
      <w:r w:rsidR="00C06F56">
        <w:t xml:space="preserve"> enhanced through </w:t>
      </w:r>
      <w:r w:rsidR="0029464E">
        <w:t>ongoing research. While extensive knowledge gaps exist, the information available is impressive</w:t>
      </w:r>
      <w:r w:rsidR="00C06F56">
        <w:t xml:space="preserve"> given the large geographic extent of the </w:t>
      </w:r>
      <w:r w:rsidR="0029464E">
        <w:t>Great Barrier Reef Region and the difficulties in monitoring remote marine ecosystems.</w:t>
      </w:r>
    </w:p>
    <w:p w:rsidR="00BF13B2" w:rsidRDefault="00BF13B2" w:rsidP="00BF13B2">
      <w:pPr>
        <w:pStyle w:val="Para0"/>
      </w:pPr>
      <w:r>
        <w:t xml:space="preserve">The management of tourism in the Great Barrier Reef is a success and represents good work in providing improved performance, reduced impacts despite the rising </w:t>
      </w:r>
      <w:r w:rsidR="00BB57DB">
        <w:t xml:space="preserve">visitor </w:t>
      </w:r>
      <w:r>
        <w:t>numbers, and some excellent examples of partnerships with industry and researchers. In the context of World Heritage obl</w:t>
      </w:r>
      <w:r w:rsidR="0029464E">
        <w:t>igations, the tourism operators</w:t>
      </w:r>
      <w:r>
        <w:t xml:space="preserve"> </w:t>
      </w:r>
      <w:r w:rsidR="001C1882">
        <w:t>present the World H</w:t>
      </w:r>
      <w:r w:rsidR="00763937">
        <w:t xml:space="preserve">eritage values to </w:t>
      </w:r>
      <w:r>
        <w:t>visitors</w:t>
      </w:r>
      <w:r w:rsidR="0029464E">
        <w:t>,</w:t>
      </w:r>
      <w:r w:rsidR="00BB57DB">
        <w:t xml:space="preserve"> </w:t>
      </w:r>
      <w:r w:rsidR="0029464E">
        <w:t>with additional support from</w:t>
      </w:r>
      <w:r w:rsidR="00BB57DB">
        <w:t xml:space="preserve"> </w:t>
      </w:r>
      <w:r w:rsidR="00763937">
        <w:t>GBRMPA and the</w:t>
      </w:r>
      <w:r w:rsidR="00BB57DB">
        <w:t xml:space="preserve"> Queensland Parks and Wildlife Service through the field management program</w:t>
      </w:r>
      <w:r>
        <w:t xml:space="preserve">. </w:t>
      </w:r>
    </w:p>
    <w:p w:rsidR="008171FE" w:rsidRDefault="008171FE" w:rsidP="008171FE">
      <w:pPr>
        <w:pStyle w:val="Heading2"/>
      </w:pPr>
      <w:bookmarkStart w:id="46" w:name="_Toc378857223"/>
      <w:r>
        <w:t>Gaps and inconsistencies</w:t>
      </w:r>
      <w:bookmarkEnd w:id="46"/>
    </w:p>
    <w:p w:rsidR="001F7C1C" w:rsidRDefault="00EB4BC5" w:rsidP="00987024">
      <w:pPr>
        <w:pStyle w:val="Para0"/>
      </w:pPr>
      <w:r>
        <w:t xml:space="preserve">Both </w:t>
      </w:r>
      <w:r w:rsidR="00A0794C">
        <w:t>Strategic A</w:t>
      </w:r>
      <w:r w:rsidR="00BD59A4">
        <w:t>ssessment</w:t>
      </w:r>
      <w:r w:rsidR="00A0794C">
        <w:t>s</w:t>
      </w:r>
      <w:r w:rsidR="00BD59A4">
        <w:t xml:space="preserve"> </w:t>
      </w:r>
      <w:r w:rsidR="00A0794C">
        <w:t>evaluat</w:t>
      </w:r>
      <w:r>
        <w:t>ed</w:t>
      </w:r>
      <w:r w:rsidR="00BD59A4">
        <w:t xml:space="preserve"> the effectiveness of current management </w:t>
      </w:r>
      <w:r w:rsidR="00A0794C">
        <w:t>activities</w:t>
      </w:r>
      <w:r w:rsidR="00BD59A4">
        <w:t xml:space="preserve"> (Program elements). </w:t>
      </w:r>
      <w:r w:rsidR="001C1882">
        <w:t>Unfortunately</w:t>
      </w:r>
      <w:r w:rsidR="00BD59A4">
        <w:t>, the</w:t>
      </w:r>
      <w:r w:rsidR="00987024">
        <w:t xml:space="preserve"> method </w:t>
      </w:r>
      <w:r w:rsidR="00AE0DFC">
        <w:t>used to assess</w:t>
      </w:r>
      <w:r w:rsidR="00987024">
        <w:t xml:space="preserve"> management effectiveness differs significantly </w:t>
      </w:r>
      <w:r w:rsidR="00987024" w:rsidRPr="00F1272B">
        <w:t xml:space="preserve">between </w:t>
      </w:r>
      <w:r w:rsidR="00AE0DFC">
        <w:t>the GBRMPA</w:t>
      </w:r>
      <w:r w:rsidR="00987024" w:rsidRPr="00F1272B">
        <w:t xml:space="preserve"> and </w:t>
      </w:r>
      <w:r w:rsidR="00AE0DFC">
        <w:t>Queensland Government Strategic Assessments</w:t>
      </w:r>
      <w:r w:rsidR="00987024" w:rsidRPr="00F1272B">
        <w:t xml:space="preserve">. </w:t>
      </w:r>
      <w:r w:rsidR="00AE0DFC">
        <w:t>GBRMPA commissioned an independent assessment</w:t>
      </w:r>
      <w:r w:rsidR="00BD59A4">
        <w:t xml:space="preserve"> of the effectiveness of its Program, which was</w:t>
      </w:r>
      <w:r w:rsidR="00AE0DFC">
        <w:t xml:space="preserve"> </w:t>
      </w:r>
      <w:r w:rsidR="00BD59A4">
        <w:t>based on</w:t>
      </w:r>
      <w:r w:rsidR="00AE0DFC">
        <w:t xml:space="preserve"> the application of an IUCN management effectiveness framework </w:t>
      </w:r>
      <w:r w:rsidR="00A0794C">
        <w:t>as well as a similar system applied to the</w:t>
      </w:r>
      <w:r w:rsidR="00BD59A4">
        <w:t xml:space="preserve"> </w:t>
      </w:r>
      <w:r w:rsidR="00AE0DFC">
        <w:t>Outlook Report</w:t>
      </w:r>
      <w:r w:rsidR="00DC42C5">
        <w:t xml:space="preserve"> (GBRMPA 2009)</w:t>
      </w:r>
      <w:r w:rsidR="00AE0DFC">
        <w:t>. The Queensland Government</w:t>
      </w:r>
      <w:r w:rsidR="00987024">
        <w:t xml:space="preserve"> developed </w:t>
      </w:r>
      <w:r w:rsidR="00BD59A4">
        <w:t xml:space="preserve">its own </w:t>
      </w:r>
      <w:r w:rsidR="00987024">
        <w:t xml:space="preserve">criteria </w:t>
      </w:r>
      <w:r w:rsidR="00AE0DFC">
        <w:t xml:space="preserve">for assessing management effectiveness, </w:t>
      </w:r>
      <w:r w:rsidR="00987024">
        <w:t xml:space="preserve">based on the endorsement criteria from </w:t>
      </w:r>
      <w:r w:rsidR="00A0794C">
        <w:t>its</w:t>
      </w:r>
      <w:r w:rsidR="00987024">
        <w:t xml:space="preserve"> </w:t>
      </w:r>
      <w:r w:rsidR="00AE0DFC">
        <w:t>Terms of Reference</w:t>
      </w:r>
      <w:r w:rsidR="00987024">
        <w:t xml:space="preserve"> and other best practice management standards</w:t>
      </w:r>
      <w:r w:rsidR="00BD59A4">
        <w:t xml:space="preserve"> available</w:t>
      </w:r>
      <w:r w:rsidR="00987024">
        <w:t xml:space="preserve">. </w:t>
      </w:r>
      <w:r w:rsidR="00AE0DFC">
        <w:t>The con</w:t>
      </w:r>
      <w:r w:rsidR="00BD59A4">
        <w:t xml:space="preserve">trasting approaches </w:t>
      </w:r>
      <w:r w:rsidR="00584546">
        <w:t>cause</w:t>
      </w:r>
      <w:r w:rsidR="00BD59A4">
        <w:t xml:space="preserve"> great difficulty in assessing how effective </w:t>
      </w:r>
      <w:r w:rsidR="00A0794C">
        <w:t xml:space="preserve">the combined </w:t>
      </w:r>
      <w:r w:rsidR="00BD59A4">
        <w:t>Program</w:t>
      </w:r>
      <w:r w:rsidR="00A0794C">
        <w:t>s are</w:t>
      </w:r>
      <w:r w:rsidR="00BD59A4">
        <w:t xml:space="preserve"> at managing MNES, a fundamental </w:t>
      </w:r>
      <w:r w:rsidR="00A0794C">
        <w:t>step</w:t>
      </w:r>
      <w:r w:rsidR="00BD59A4">
        <w:t xml:space="preserve"> </w:t>
      </w:r>
      <w:r w:rsidR="00A0794C">
        <w:t>in identifying</w:t>
      </w:r>
      <w:r w:rsidR="00BD59A4">
        <w:t xml:space="preserve"> gaps and strengths </w:t>
      </w:r>
      <w:r w:rsidR="00A0794C">
        <w:t>overall</w:t>
      </w:r>
      <w:r w:rsidR="001F7C1C">
        <w:t xml:space="preserve">. </w:t>
      </w:r>
    </w:p>
    <w:p w:rsidR="001F7C1C" w:rsidRDefault="00584546" w:rsidP="00987024">
      <w:pPr>
        <w:pStyle w:val="Para0"/>
      </w:pPr>
      <w:r>
        <w:t>The</w:t>
      </w:r>
      <w:r w:rsidR="000D1EC0">
        <w:t xml:space="preserve"> condition and t</w:t>
      </w:r>
      <w:r w:rsidR="001F7C1C">
        <w:t>rend assessments</w:t>
      </w:r>
      <w:r w:rsidR="00AE0DFC">
        <w:t xml:space="preserve"> applied the s</w:t>
      </w:r>
      <w:r w:rsidR="001F7C1C">
        <w:t>ame grad</w:t>
      </w:r>
      <w:r w:rsidR="00FE05C4">
        <w:t>ing</w:t>
      </w:r>
      <w:r w:rsidR="00AE0DFC">
        <w:t xml:space="preserve"> system,</w:t>
      </w:r>
      <w:r w:rsidR="001F7C1C">
        <w:t xml:space="preserve"> which resulted in a relatively consistent approach</w:t>
      </w:r>
      <w:r w:rsidR="000D1EC0">
        <w:t xml:space="preserve"> across both </w:t>
      </w:r>
      <w:r>
        <w:t>Strategic A</w:t>
      </w:r>
      <w:r w:rsidR="000D1EC0">
        <w:t>ssessments</w:t>
      </w:r>
      <w:r w:rsidR="001F7C1C">
        <w:t xml:space="preserve">. </w:t>
      </w:r>
      <w:r w:rsidR="00F66542">
        <w:t>However</w:t>
      </w:r>
      <w:r w:rsidR="00F96C20">
        <w:t>,</w:t>
      </w:r>
      <w:r w:rsidR="00F66542">
        <w:t xml:space="preserve"> cross references from </w:t>
      </w:r>
      <w:r w:rsidR="00AE0DFC">
        <w:t xml:space="preserve">the Queensland Strategic Assessment Report to results of the GBRMPA assessment of condition and trend </w:t>
      </w:r>
      <w:r>
        <w:t>could be improved with further explanation</w:t>
      </w:r>
      <w:r w:rsidR="00F66542">
        <w:t xml:space="preserve">. The condition and trend </w:t>
      </w:r>
      <w:r w:rsidR="00AE0DFC">
        <w:t xml:space="preserve">is evaluated for </w:t>
      </w:r>
      <w:r w:rsidR="00F66542">
        <w:t xml:space="preserve">four </w:t>
      </w:r>
      <w:r w:rsidR="00AE0DFC">
        <w:t xml:space="preserve">separate </w:t>
      </w:r>
      <w:r w:rsidR="00F66542">
        <w:t xml:space="preserve">regions </w:t>
      </w:r>
      <w:r w:rsidR="00AE0DFC">
        <w:t>within the Great Barrier Reef Region assessment</w:t>
      </w:r>
      <w:r w:rsidR="00F96C20">
        <w:t xml:space="preserve"> (GBRMPA 2013b)</w:t>
      </w:r>
      <w:r w:rsidR="00AE0DFC">
        <w:t xml:space="preserve">. </w:t>
      </w:r>
      <w:r w:rsidR="000D1EC0">
        <w:t xml:space="preserve">However, when cited by the Queensland </w:t>
      </w:r>
      <w:r w:rsidR="001C1882">
        <w:t>A</w:t>
      </w:r>
      <w:r w:rsidR="000D1EC0">
        <w:t>ssessment</w:t>
      </w:r>
      <w:r w:rsidR="001C1882">
        <w:t xml:space="preserve"> Report</w:t>
      </w:r>
      <w:r w:rsidR="00AE0DFC">
        <w:t xml:space="preserve">, only </w:t>
      </w:r>
      <w:r w:rsidR="003440BA">
        <w:t>the southern inshore rating appears to be reported, potentially skewing interpretation of the broader marine assessment.</w:t>
      </w:r>
      <w:r>
        <w:t xml:space="preserve"> The Great Barrier Reef Region Strategic Assessment does not discuss or present the results of the Queensland Government assessment of the Coastal Zone in any detail.</w:t>
      </w:r>
    </w:p>
    <w:p w:rsidR="001F7C1C" w:rsidRDefault="001F7C1C" w:rsidP="00987024">
      <w:pPr>
        <w:pStyle w:val="Para0"/>
      </w:pPr>
      <w:r>
        <w:lastRenderedPageBreak/>
        <w:t xml:space="preserve">The approach to </w:t>
      </w:r>
      <w:r w:rsidR="00AE0DFC">
        <w:t xml:space="preserve">assessing </w:t>
      </w:r>
      <w:r>
        <w:t xml:space="preserve">risk was similar in </w:t>
      </w:r>
      <w:r w:rsidR="00074DF8">
        <w:t xml:space="preserve">the Queensland and GBRMPA </w:t>
      </w:r>
      <w:r w:rsidR="00A0794C">
        <w:t>S</w:t>
      </w:r>
      <w:r w:rsidR="00074DF8">
        <w:t>trategic</w:t>
      </w:r>
      <w:r>
        <w:t xml:space="preserve"> </w:t>
      </w:r>
      <w:r w:rsidR="00A0794C">
        <w:t>A</w:t>
      </w:r>
      <w:r>
        <w:t>ssessments</w:t>
      </w:r>
      <w:r w:rsidR="00074DF8">
        <w:t>.</w:t>
      </w:r>
      <w:r w:rsidR="00A0794C">
        <w:t xml:space="preserve"> O</w:t>
      </w:r>
      <w:r w:rsidR="00074DF8">
        <w:t xml:space="preserve">ne key difference was the </w:t>
      </w:r>
      <w:r w:rsidR="00EB4BC5">
        <w:t xml:space="preserve">inconsistency of the </w:t>
      </w:r>
      <w:r w:rsidR="00074DF8">
        <w:t xml:space="preserve">final risk tables </w:t>
      </w:r>
      <w:r>
        <w:t>(</w:t>
      </w:r>
      <w:r w:rsidR="00D175E1">
        <w:t xml:space="preserve">GBRMPA </w:t>
      </w:r>
      <w:r>
        <w:t xml:space="preserve">Table 10.2; </w:t>
      </w:r>
      <w:r w:rsidR="006A4AEA">
        <w:t>Queensland</w:t>
      </w:r>
      <w:r>
        <w:t xml:space="preserve"> Table 3.8-4)</w:t>
      </w:r>
      <w:r w:rsidR="00EB4BC5">
        <w:t>. Combinations of consequence and likelihood for the two assessments, in some cases, gave different overall risk ratings</w:t>
      </w:r>
      <w:r w:rsidR="00074DF8">
        <w:t xml:space="preserve">. </w:t>
      </w:r>
      <w:r>
        <w:t>For example</w:t>
      </w:r>
      <w:r w:rsidR="00074DF8">
        <w:t>, an activity rated as</w:t>
      </w:r>
      <w:r>
        <w:t xml:space="preserve"> possible and </w:t>
      </w:r>
      <w:r w:rsidR="00074DF8">
        <w:t xml:space="preserve">with </w:t>
      </w:r>
      <w:r>
        <w:t>catastrophic</w:t>
      </w:r>
      <w:r w:rsidR="00074DF8">
        <w:t xml:space="preserve"> consequences is assessed as very high risk in </w:t>
      </w:r>
      <w:r w:rsidR="00CB3DDA">
        <w:t>the GBRMPA assessment</w:t>
      </w:r>
      <w:r w:rsidR="00074DF8">
        <w:t xml:space="preserve"> and high risk in the </w:t>
      </w:r>
      <w:r w:rsidR="00CB3DDA">
        <w:t>Queensland Government assessment</w:t>
      </w:r>
      <w:r>
        <w:t>.</w:t>
      </w:r>
    </w:p>
    <w:p w:rsidR="00794723" w:rsidRDefault="00794723" w:rsidP="00794723">
      <w:pPr>
        <w:pStyle w:val="Para0"/>
      </w:pPr>
      <w:r>
        <w:t xml:space="preserve">The Strategic Assessments highlight that </w:t>
      </w:r>
      <w:r w:rsidRPr="001141D8">
        <w:t xml:space="preserve">addressing impacts at the </w:t>
      </w:r>
      <w:r w:rsidR="00584546">
        <w:t>broad, whole-of-Great Barrier Reef scale</w:t>
      </w:r>
      <w:r w:rsidRPr="001141D8">
        <w:t xml:space="preserve"> is</w:t>
      </w:r>
      <w:r>
        <w:t xml:space="preserve"> </w:t>
      </w:r>
      <w:r w:rsidR="00584546">
        <w:t>a significant challenge</w:t>
      </w:r>
      <w:r>
        <w:t>, particularly im</w:t>
      </w:r>
      <w:r w:rsidRPr="001141D8">
        <w:t xml:space="preserve">pacts on coastal ecosystems, connectivity and water quality. </w:t>
      </w:r>
      <w:r w:rsidR="00584546">
        <w:t>These are areas that appear to ‘fall</w:t>
      </w:r>
      <w:r w:rsidRPr="001141D8">
        <w:t xml:space="preserve"> between the cracks’ for both </w:t>
      </w:r>
      <w:r>
        <w:t xml:space="preserve">the </w:t>
      </w:r>
      <w:r w:rsidR="00C802A8">
        <w:t>Queensland</w:t>
      </w:r>
      <w:r>
        <w:t xml:space="preserve"> and </w:t>
      </w:r>
      <w:r w:rsidR="001C1882">
        <w:t>GBRMPA</w:t>
      </w:r>
      <w:r>
        <w:t xml:space="preserve"> </w:t>
      </w:r>
      <w:r w:rsidR="001C1882">
        <w:t>assessments</w:t>
      </w:r>
      <w:r w:rsidRPr="001141D8">
        <w:t xml:space="preserve">. The </w:t>
      </w:r>
      <w:r>
        <w:t xml:space="preserve">Queensland </w:t>
      </w:r>
      <w:r w:rsidR="001C1882">
        <w:t>Strategic Assessment</w:t>
      </w:r>
      <w:r w:rsidRPr="001141D8">
        <w:t xml:space="preserve"> did not comprehensively demonstrate these </w:t>
      </w:r>
      <w:r>
        <w:t>matters were</w:t>
      </w:r>
      <w:r w:rsidRPr="001141D8">
        <w:t xml:space="preserve"> being managed effectively</w:t>
      </w:r>
      <w:r>
        <w:t>,</w:t>
      </w:r>
      <w:r w:rsidRPr="001141D8">
        <w:t xml:space="preserve"> </w:t>
      </w:r>
      <w:r>
        <w:t>especially</w:t>
      </w:r>
      <w:r w:rsidRPr="001141D8">
        <w:t xml:space="preserve"> connectivity. Water quality is mainly being addressed through changing agricultur</w:t>
      </w:r>
      <w:r>
        <w:t xml:space="preserve">al practices which have a weak </w:t>
      </w:r>
      <w:r w:rsidRPr="001141D8">
        <w:t xml:space="preserve">compliance regime and limited, insecure funding sources. There was no thorough assessment of the adequacy and effectiveness of measures to improve water quality flowing into the </w:t>
      </w:r>
      <w:r>
        <w:t>Great Barrier Reef</w:t>
      </w:r>
      <w:r w:rsidRPr="001141D8">
        <w:t>, especially from broad-scale land</w:t>
      </w:r>
      <w:r>
        <w:t>-</w:t>
      </w:r>
      <w:r w:rsidRPr="001141D8">
        <w:t>uses.</w:t>
      </w:r>
      <w:r>
        <w:t xml:space="preserve"> The </w:t>
      </w:r>
      <w:r w:rsidR="00584546">
        <w:t>GBRMPA</w:t>
      </w:r>
      <w:r>
        <w:t xml:space="preserve"> Strategic Assessment identifies deterioration in water quality from catchment runoff as a major impacting process affecting the Great Barrier Reef, and links this with much of the decline in coral cover. While new management activities are proposed to address the issue, they are dominated by processes which have a low likelihood of resulting in significant improvements.</w:t>
      </w:r>
    </w:p>
    <w:p w:rsidR="000D1EC0" w:rsidRDefault="000D1EC0" w:rsidP="000D1EC0">
      <w:pPr>
        <w:pStyle w:val="Para0"/>
      </w:pPr>
      <w:r>
        <w:t xml:space="preserve">The comparative assessment </w:t>
      </w:r>
      <w:r w:rsidR="00584546">
        <w:t xml:space="preserve">of programs also </w:t>
      </w:r>
      <w:r>
        <w:t>identified that there is a significant blurring of the lines of responsibility throughout the coastal waters of the Great Barrier Reef, which i</w:t>
      </w:r>
      <w:r w:rsidR="00A0794C">
        <w:t>n</w:t>
      </w:r>
      <w:r>
        <w:t xml:space="preserve"> essence arises from the lack of detail in either assessment on how major activities or issues in </w:t>
      </w:r>
      <w:r w:rsidR="00584546">
        <w:t>these inshore waters</w:t>
      </w:r>
      <w:r>
        <w:t xml:space="preserve"> are managed. Port development is a key example of an issue </w:t>
      </w:r>
      <w:r w:rsidR="00A0794C">
        <w:t>fundamental</w:t>
      </w:r>
      <w:r>
        <w:t xml:space="preserve"> to the </w:t>
      </w:r>
      <w:r w:rsidR="00A0794C">
        <w:t>origin of</w:t>
      </w:r>
      <w:r w:rsidR="00584546">
        <w:t xml:space="preserve"> the S</w:t>
      </w:r>
      <w:r>
        <w:t xml:space="preserve">trategic </w:t>
      </w:r>
      <w:r w:rsidR="00584546">
        <w:t>A</w:t>
      </w:r>
      <w:r>
        <w:t xml:space="preserve">ssessment, </w:t>
      </w:r>
      <w:r w:rsidR="00A0794C">
        <w:t>and is central</w:t>
      </w:r>
      <w:r>
        <w:t xml:space="preserve"> to the concerns </w:t>
      </w:r>
      <w:r w:rsidR="00A0794C">
        <w:t xml:space="preserve">of the World Heritage </w:t>
      </w:r>
      <w:r w:rsidR="00794723">
        <w:t>Committee</w:t>
      </w:r>
      <w:r w:rsidR="00A0794C">
        <w:t>. However, this activity</w:t>
      </w:r>
      <w:r>
        <w:t xml:space="preserve"> received limited attention in either the </w:t>
      </w:r>
      <w:r w:rsidR="00C802A8">
        <w:t>Queensland</w:t>
      </w:r>
      <w:r>
        <w:t xml:space="preserve"> or </w:t>
      </w:r>
      <w:r w:rsidR="00584546">
        <w:t>GBRMPA</w:t>
      </w:r>
      <w:r>
        <w:t xml:space="preserve"> assessment. Discussion about associated activities, such as dredging and the fate of dredged material</w:t>
      </w:r>
      <w:r w:rsidR="00584546">
        <w:t xml:space="preserve"> when placed at sea</w:t>
      </w:r>
      <w:r>
        <w:t xml:space="preserve"> is also </w:t>
      </w:r>
      <w:r w:rsidR="00A0794C">
        <w:t>fairly minimal</w:t>
      </w:r>
      <w:r>
        <w:t xml:space="preserve"> and seems to be complicated by the jurisdictional lines between coastal </w:t>
      </w:r>
      <w:r w:rsidR="00584546">
        <w:t>(</w:t>
      </w:r>
      <w:r w:rsidR="00C802A8">
        <w:t>Queensland</w:t>
      </w:r>
      <w:r w:rsidR="00584546">
        <w:t xml:space="preserve">) </w:t>
      </w:r>
      <w:r>
        <w:t xml:space="preserve">and marine </w:t>
      </w:r>
      <w:r w:rsidR="00584546">
        <w:t xml:space="preserve">(Commonwealth) </w:t>
      </w:r>
      <w:r>
        <w:t xml:space="preserve">waters. </w:t>
      </w:r>
      <w:r w:rsidR="00A0794C">
        <w:t>Without further explanation, the</w:t>
      </w:r>
      <w:r>
        <w:t xml:space="preserve"> reader is </w:t>
      </w:r>
      <w:r w:rsidR="00A0794C">
        <w:t xml:space="preserve">unclear </w:t>
      </w:r>
      <w:r>
        <w:t>whether each jurisdiction views the</w:t>
      </w:r>
      <w:r w:rsidR="00584546">
        <w:t>se</w:t>
      </w:r>
      <w:r>
        <w:t xml:space="preserve"> issue</w:t>
      </w:r>
      <w:r w:rsidR="00584546">
        <w:t>s</w:t>
      </w:r>
      <w:r>
        <w:t xml:space="preserve"> as the other</w:t>
      </w:r>
      <w:r w:rsidR="00EB4BC5">
        <w:t>’</w:t>
      </w:r>
      <w:r>
        <w:t xml:space="preserve">s key responsibility, or if </w:t>
      </w:r>
      <w:r w:rsidR="00584546">
        <w:t>the activities</w:t>
      </w:r>
      <w:r>
        <w:t xml:space="preserve"> ha</w:t>
      </w:r>
      <w:r w:rsidR="00584546">
        <w:t>ve</w:t>
      </w:r>
      <w:r>
        <w:t xml:space="preserve"> been overlooked.</w:t>
      </w:r>
    </w:p>
    <w:p w:rsidR="00F1272B" w:rsidRDefault="00F1272B" w:rsidP="00F1272B">
      <w:pPr>
        <w:pStyle w:val="Para0"/>
      </w:pPr>
      <w:r w:rsidRPr="00F1272B">
        <w:t>Responsibility for islands appears to complicated</w:t>
      </w:r>
      <w:r w:rsidR="00794723">
        <w:t xml:space="preserve"> from a tenure perspective</w:t>
      </w:r>
      <w:r w:rsidRPr="00F1272B">
        <w:t xml:space="preserve"> and not conducive to a consistent approach (See </w:t>
      </w:r>
      <w:r w:rsidR="00CD5A17">
        <w:t>Section</w:t>
      </w:r>
      <w:r w:rsidR="00794723">
        <w:t xml:space="preserve"> </w:t>
      </w:r>
      <w:r w:rsidRPr="00F1272B">
        <w:t xml:space="preserve">9.5.2 </w:t>
      </w:r>
      <w:r w:rsidR="00794723">
        <w:t xml:space="preserve">of the </w:t>
      </w:r>
      <w:r w:rsidR="00584546">
        <w:t xml:space="preserve">GBRMPA </w:t>
      </w:r>
      <w:r w:rsidR="00794723">
        <w:t>Assessment Report</w:t>
      </w:r>
      <w:r w:rsidRPr="00F1272B">
        <w:t>).</w:t>
      </w:r>
      <w:r w:rsidR="000D1EC0">
        <w:t xml:space="preserve"> The tenure arrangement</w:t>
      </w:r>
      <w:r w:rsidR="00794723">
        <w:t xml:space="preserve">s for islands are highly varied, with some </w:t>
      </w:r>
      <w:r w:rsidR="00584546">
        <w:t xml:space="preserve">included within </w:t>
      </w:r>
      <w:r w:rsidR="00794723">
        <w:t xml:space="preserve">the marine park despite being non-tidal, some being national park and others a variety of government and privately owned tenures. The demonstration case on island management provides examples of targeted island management activities which provide meaningful conservation outcomes. However, such </w:t>
      </w:r>
      <w:r w:rsidR="00584546">
        <w:t>management activities</w:t>
      </w:r>
      <w:r w:rsidR="00794723">
        <w:t xml:space="preserve"> do not appear to be widespread, and are likely to lack the </w:t>
      </w:r>
      <w:r w:rsidR="00EB4BC5">
        <w:t xml:space="preserve">resources required for </w:t>
      </w:r>
      <w:r w:rsidR="00584546">
        <w:t>broad application.</w:t>
      </w:r>
    </w:p>
    <w:p w:rsidR="00F1272B" w:rsidRDefault="002D21DC" w:rsidP="00F1272B">
      <w:pPr>
        <w:pStyle w:val="Para0"/>
      </w:pPr>
      <w:r>
        <w:t xml:space="preserve">Elements of the </w:t>
      </w:r>
      <w:r w:rsidR="00C802A8">
        <w:t>Queensland</w:t>
      </w:r>
      <w:r w:rsidR="00491964">
        <w:t xml:space="preserve"> and </w:t>
      </w:r>
      <w:r w:rsidR="00D175E1">
        <w:t>GBRMPA</w:t>
      </w:r>
      <w:r w:rsidR="00D175E1" w:rsidRPr="00F1272B">
        <w:t xml:space="preserve"> </w:t>
      </w:r>
      <w:r>
        <w:t>programs</w:t>
      </w:r>
      <w:r w:rsidR="00794723">
        <w:t xml:space="preserve"> established to manage the </w:t>
      </w:r>
      <w:r>
        <w:t>Great Barrier Reef</w:t>
      </w:r>
      <w:r w:rsidR="00D53236">
        <w:t xml:space="preserve"> </w:t>
      </w:r>
      <w:r w:rsidR="00584546">
        <w:t>are</w:t>
      </w:r>
      <w:r w:rsidR="00D53236">
        <w:t xml:space="preserve"> not always complementary. </w:t>
      </w:r>
      <w:r w:rsidR="009F7E07">
        <w:t xml:space="preserve">One example is </w:t>
      </w:r>
      <w:r w:rsidR="007E217C">
        <w:t>the application of seasonal closures to protect nesting seabirds</w:t>
      </w:r>
      <w:r w:rsidR="00564217">
        <w:t xml:space="preserve"> on islands</w:t>
      </w:r>
      <w:r w:rsidR="007E217C">
        <w:t>, which</w:t>
      </w:r>
      <w:r w:rsidR="00D53236">
        <w:t xml:space="preserve"> </w:t>
      </w:r>
      <w:r w:rsidR="007E217C">
        <w:t xml:space="preserve">are not replicated </w:t>
      </w:r>
      <w:r w:rsidR="009F7E07">
        <w:t>within</w:t>
      </w:r>
      <w:r w:rsidR="00CB3DDA">
        <w:t xml:space="preserve"> waters </w:t>
      </w:r>
      <w:r w:rsidR="009F7E07">
        <w:t xml:space="preserve">immediately </w:t>
      </w:r>
      <w:r w:rsidR="007E217C">
        <w:t>adjoining the islands</w:t>
      </w:r>
      <w:r w:rsidR="009F7E07">
        <w:t xml:space="preserve">. </w:t>
      </w:r>
      <w:r w:rsidR="00564217">
        <w:t>Also, while</w:t>
      </w:r>
      <w:r w:rsidR="009F7E07">
        <w:t xml:space="preserve"> about 400 islands are protected as national park, there are some of high conservation value that are not within the protected area estate. </w:t>
      </w:r>
      <w:r w:rsidR="00564217">
        <w:t>There</w:t>
      </w:r>
      <w:r w:rsidR="00D53236">
        <w:t xml:space="preserve"> </w:t>
      </w:r>
      <w:r w:rsidR="000D1EC0">
        <w:t xml:space="preserve">does not appear to be </w:t>
      </w:r>
      <w:r w:rsidR="00F1272B" w:rsidRPr="00F1272B">
        <w:t xml:space="preserve">joint recognition of </w:t>
      </w:r>
      <w:r w:rsidR="007D6290">
        <w:t xml:space="preserve">some </w:t>
      </w:r>
      <w:r w:rsidR="00F1272B" w:rsidRPr="00F1272B">
        <w:t xml:space="preserve">planning tools by </w:t>
      </w:r>
      <w:r w:rsidR="007E1785">
        <w:t>GBRMPA</w:t>
      </w:r>
      <w:r w:rsidR="00F1272B" w:rsidRPr="00F1272B">
        <w:t xml:space="preserve"> and the Queensland Government, as demonstrated by the Cairns Area Plan of Management</w:t>
      </w:r>
      <w:r w:rsidR="000D1EC0">
        <w:t xml:space="preserve">, which </w:t>
      </w:r>
      <w:r>
        <w:t>appears to be</w:t>
      </w:r>
      <w:r w:rsidR="00D53236">
        <w:t xml:space="preserve"> an important management tool for GBRMPA in addressing tourism threats but is </w:t>
      </w:r>
      <w:r w:rsidR="000D1EC0">
        <w:t xml:space="preserve">reported not to be approved by </w:t>
      </w:r>
      <w:r w:rsidR="00483FC6">
        <w:t>the Queensland Government (see p</w:t>
      </w:r>
      <w:r w:rsidR="000D1EC0">
        <w:t xml:space="preserve">age 9-28 of </w:t>
      </w:r>
      <w:r w:rsidR="007D6290">
        <w:t xml:space="preserve">the GBRMPA </w:t>
      </w:r>
      <w:r w:rsidR="000D1EC0">
        <w:t>Assessment Report). While the joint management arrangements and a commitment to them appear to be strong, there are unexplained anomalies which</w:t>
      </w:r>
      <w:r>
        <w:t xml:space="preserve"> </w:t>
      </w:r>
      <w:r w:rsidR="00483FC6">
        <w:t>over-</w:t>
      </w:r>
      <w:r w:rsidR="003A1A03">
        <w:t xml:space="preserve">complicate and constrain the effective implementation of some management actions. </w:t>
      </w:r>
    </w:p>
    <w:p w:rsidR="007D6290" w:rsidRDefault="002D21DC" w:rsidP="00F1272B">
      <w:pPr>
        <w:pStyle w:val="Para0"/>
      </w:pPr>
      <w:r>
        <w:t>From a legislative perspective, there are elements of the Commonwealth Government</w:t>
      </w:r>
      <w:r w:rsidR="00827166">
        <w:t xml:space="preserve">’s </w:t>
      </w:r>
      <w:r>
        <w:t xml:space="preserve">management of the Great Barrier Reef which sit outside of </w:t>
      </w:r>
      <w:r w:rsidR="007E1785">
        <w:t>GBRMPA</w:t>
      </w:r>
      <w:r>
        <w:t xml:space="preserve"> and are therefore not </w:t>
      </w:r>
      <w:r w:rsidR="00827166">
        <w:t>within the scope of</w:t>
      </w:r>
      <w:r>
        <w:t xml:space="preserve"> either the </w:t>
      </w:r>
      <w:r w:rsidR="0096415D">
        <w:t>Queensland</w:t>
      </w:r>
      <w:r>
        <w:t xml:space="preserve"> or GBRMPA </w:t>
      </w:r>
      <w:r w:rsidR="00827166">
        <w:t>Strategic Assessments, as outlined in their respective Terms of Reference</w:t>
      </w:r>
      <w:r>
        <w:t>. One example is staff from the Department of the Environment who implement the EPBC Act, through the administration of approvals alon</w:t>
      </w:r>
      <w:r w:rsidR="0096415D">
        <w:t xml:space="preserve">g the Great Barrier Reef coast. </w:t>
      </w:r>
      <w:r w:rsidR="00827166">
        <w:t>This</w:t>
      </w:r>
      <w:r w:rsidR="0096415D">
        <w:t xml:space="preserve"> means that there are some aspects of the Great Barrier Reef’s management that are not considered within the collective Strategic Assessment process.</w:t>
      </w:r>
    </w:p>
    <w:p w:rsidR="00423F93" w:rsidRDefault="00423F93" w:rsidP="00F1272B">
      <w:pPr>
        <w:pStyle w:val="Para0"/>
      </w:pPr>
      <w:r w:rsidRPr="00423F93">
        <w:lastRenderedPageBreak/>
        <w:t xml:space="preserve">In general, fisheries </w:t>
      </w:r>
      <w:r w:rsidR="002D21DC">
        <w:t>is another issue that has received limited attention</w:t>
      </w:r>
      <w:r w:rsidR="00E23582">
        <w:t xml:space="preserve"> in either assessment</w:t>
      </w:r>
      <w:r w:rsidRPr="00423F93">
        <w:t>. The Coastal Zone assessment did not address fisheries issues in any detail</w:t>
      </w:r>
      <w:r w:rsidR="002D21DC">
        <w:t>,</w:t>
      </w:r>
      <w:r w:rsidRPr="00423F93">
        <w:t xml:space="preserve"> although most fisheries management is a State responsibility. The Terms of Reference for the marine assessment clearly focus on GB</w:t>
      </w:r>
      <w:r w:rsidR="00E23582">
        <w:t xml:space="preserve">RMPA’s management arrangements, although </w:t>
      </w:r>
      <w:r w:rsidRPr="00423F93">
        <w:t>some as</w:t>
      </w:r>
      <w:r w:rsidR="00E23582">
        <w:t>pects of fisheries management</w:t>
      </w:r>
      <w:r w:rsidR="007D6290">
        <w:t xml:space="preserve"> are described</w:t>
      </w:r>
      <w:r w:rsidRPr="00423F93">
        <w:t xml:space="preserve">. As an example, the </w:t>
      </w:r>
      <w:r w:rsidR="007D6290">
        <w:t>GBRMPA Assessment Report</w:t>
      </w:r>
      <w:r w:rsidR="00483FC6">
        <w:t xml:space="preserve"> </w:t>
      </w:r>
      <w:r w:rsidRPr="00423F93">
        <w:t>describe</w:t>
      </w:r>
      <w:r w:rsidR="00483FC6">
        <w:t>s</w:t>
      </w:r>
      <w:r w:rsidRPr="00423F93">
        <w:t xml:space="preserve"> the trawl fishery and notes in several places, including the independent effectiveness review in Chapter 8, that the trawl fisher</w:t>
      </w:r>
      <w:r w:rsidR="007D6290">
        <w:t>y still has latent overcapacity. But</w:t>
      </w:r>
      <w:r w:rsidRPr="00423F93">
        <w:t xml:space="preserve"> there is no clear indication in either program report ho</w:t>
      </w:r>
      <w:r w:rsidR="00E23582">
        <w:t>w this issue is to be addressed, and it would appear to be part of the Queen</w:t>
      </w:r>
      <w:r w:rsidR="007D6290">
        <w:t>sland Government’s jurisdiction, rather that of GBRMPA.</w:t>
      </w:r>
    </w:p>
    <w:p w:rsidR="00D82C13" w:rsidRPr="00DB05B9" w:rsidRDefault="00E23582" w:rsidP="00D82C13">
      <w:pPr>
        <w:pStyle w:val="Para0"/>
      </w:pPr>
      <w:r>
        <w:t>For a small number of potentially significant issues, Program elements seem to be acting in a direction contrary to the findings of the Strategic Assessment. For example</w:t>
      </w:r>
      <w:r w:rsidR="00483FC6">
        <w:t>,</w:t>
      </w:r>
      <w:r>
        <w:t xml:space="preserve"> the </w:t>
      </w:r>
      <w:r w:rsidR="00D82C13">
        <w:t>new Regional Plan for Cape York Peninsula proposed by the Queensland Government</w:t>
      </w:r>
      <w:r>
        <w:t xml:space="preserve"> may affect c</w:t>
      </w:r>
      <w:r w:rsidR="00D82C13">
        <w:t>atchment runoff</w:t>
      </w:r>
      <w:r>
        <w:t>,</w:t>
      </w:r>
      <w:r w:rsidR="00D82C13">
        <w:t xml:space="preserve"> a major contributor to wa</w:t>
      </w:r>
      <w:r w:rsidR="00483FC6">
        <w:t>ter quality declines in areas wh</w:t>
      </w:r>
      <w:r w:rsidR="00D82C13">
        <w:t xml:space="preserve">ere extensive agriculture and coastal development occur. The new Plan for Cape York Peninsula </w:t>
      </w:r>
      <w:r w:rsidR="00B859CA">
        <w:t>seeks to enable and support</w:t>
      </w:r>
      <w:r w:rsidR="00D82C13">
        <w:t xml:space="preserve"> more intensive development (including agriculture) in a region that to date has had very limited activity, which underpins the good condition of the northern section of the Great Barrier Reef. Some discussion of the prospects for impacts on the relatively pristine northern section </w:t>
      </w:r>
      <w:r w:rsidR="007D6290">
        <w:t xml:space="preserve">of the Great Barrier Reef </w:t>
      </w:r>
      <w:r w:rsidR="00D82C13">
        <w:t xml:space="preserve">are warranted in light of the Queensland Government’s proposals. </w:t>
      </w:r>
      <w:r>
        <w:t xml:space="preserve">More broadly, amendments to the vegetation management framework in Queensland appear to be inconsistent with the desire to </w:t>
      </w:r>
      <w:r w:rsidR="007D6290">
        <w:t>address catchment runoff and associated water quality issues for the Great Barrier Reef by improving land</w:t>
      </w:r>
      <w:r w:rsidR="00B859CA">
        <w:t xml:space="preserve"> </w:t>
      </w:r>
      <w:r w:rsidR="007D6290">
        <w:t>use practices</w:t>
      </w:r>
      <w:r>
        <w:t xml:space="preserve">. </w:t>
      </w:r>
    </w:p>
    <w:p w:rsidR="00E23582" w:rsidRDefault="00E23582" w:rsidP="00E23582">
      <w:pPr>
        <w:pStyle w:val="Para0"/>
      </w:pPr>
      <w:r>
        <w:t>In order to identify further key gaps</w:t>
      </w:r>
      <w:r w:rsidR="007D6290">
        <w:t xml:space="preserve"> in the whole-of-Great Barrier Reef Program</w:t>
      </w:r>
      <w:r>
        <w:t xml:space="preserve">, </w:t>
      </w:r>
      <w:r w:rsidR="002C4C82">
        <w:t xml:space="preserve">values or impacts </w:t>
      </w:r>
      <w:r>
        <w:t xml:space="preserve">which were assessed as either ‘partially effective’ or ‘ineffective’ for outcomes in the GBRMPA </w:t>
      </w:r>
      <w:r w:rsidR="007D6290">
        <w:t>Assessment Report</w:t>
      </w:r>
      <w:r w:rsidR="0096415D">
        <w:t xml:space="preserve"> (Chapter </w:t>
      </w:r>
      <w:r>
        <w:t>8)</w:t>
      </w:r>
      <w:r w:rsidR="00483FC6">
        <w:t xml:space="preserve"> w</w:t>
      </w:r>
      <w:r w:rsidR="007D6290">
        <w:t xml:space="preserve">ere </w:t>
      </w:r>
      <w:r w:rsidR="00BF21DB">
        <w:t>identified</w:t>
      </w:r>
      <w:r w:rsidR="00483FC6">
        <w:t>. C</w:t>
      </w:r>
      <w:r w:rsidR="007D6290">
        <w:t xml:space="preserve">onsideration </w:t>
      </w:r>
      <w:r w:rsidR="00483FC6">
        <w:t xml:space="preserve">was then given to </w:t>
      </w:r>
      <w:r w:rsidR="007D6290">
        <w:t xml:space="preserve">the </w:t>
      </w:r>
      <w:r>
        <w:t xml:space="preserve">extent to which gaps leading to the lack of effectiveness </w:t>
      </w:r>
      <w:r w:rsidR="007D6290">
        <w:t>are</w:t>
      </w:r>
      <w:r>
        <w:t xml:space="preserve"> addressed by the Queensland Program. </w:t>
      </w:r>
      <w:r w:rsidR="007D6290">
        <w:t>The scale of gaps between the pr</w:t>
      </w:r>
      <w:r w:rsidR="00483FC6">
        <w:t>ograms was described as either large, m</w:t>
      </w:r>
      <w:r w:rsidR="007D6290">
        <w:t xml:space="preserve">edium or </w:t>
      </w:r>
      <w:r w:rsidR="00483FC6">
        <w:t>s</w:t>
      </w:r>
      <w:r w:rsidR="007D6290">
        <w:t xml:space="preserve">mall, and the significance of the gap for the protection of MNES of the Great Barrier Reef was assessed as either </w:t>
      </w:r>
      <w:r w:rsidR="00483FC6">
        <w:t>h</w:t>
      </w:r>
      <w:r w:rsidR="007D6290">
        <w:t xml:space="preserve">igh, </w:t>
      </w:r>
      <w:r w:rsidR="00483FC6">
        <w:t>m</w:t>
      </w:r>
      <w:r w:rsidR="007D6290">
        <w:t xml:space="preserve">oderate or </w:t>
      </w:r>
      <w:r w:rsidR="00483FC6">
        <w:t>l</w:t>
      </w:r>
      <w:r w:rsidR="007D6290">
        <w:t xml:space="preserve">ow. </w:t>
      </w:r>
      <w:r>
        <w:t>Results of this comparison are presented i</w:t>
      </w:r>
      <w:r w:rsidR="002C4C82">
        <w:t xml:space="preserve">n </w:t>
      </w:r>
      <w:r w:rsidR="00201582">
        <w:fldChar w:fldCharType="begin"/>
      </w:r>
      <w:r w:rsidR="00201582">
        <w:instrText xml:space="preserve"> REF _Ref377930562 \h  \* MERGEFORMAT </w:instrText>
      </w:r>
      <w:r w:rsidR="00201582">
        <w:fldChar w:fldCharType="separate"/>
      </w:r>
      <w:r w:rsidR="00526632" w:rsidRPr="00526632">
        <w:rPr>
          <w:b/>
        </w:rPr>
        <w:t xml:space="preserve">Table </w:t>
      </w:r>
      <w:r w:rsidR="00526632" w:rsidRPr="00526632">
        <w:rPr>
          <w:b/>
          <w:noProof/>
        </w:rPr>
        <w:t>7</w:t>
      </w:r>
      <w:r w:rsidR="00526632" w:rsidRPr="00526632">
        <w:rPr>
          <w:b/>
          <w:noProof/>
        </w:rPr>
        <w:noBreakHyphen/>
        <w:t>1</w:t>
      </w:r>
      <w:r w:rsidR="00201582">
        <w:fldChar w:fldCharType="end"/>
      </w:r>
      <w:r>
        <w:t>.</w:t>
      </w:r>
      <w:r w:rsidR="00C14AA9">
        <w:t xml:space="preserve"> Activities for which management gaps are largest and there is a high significance for protection of MNES of the Great Barrier Reef are ‘climate change and extreme weather’ and ‘water quality protection’. These impacting processes are recognised by both assessments as key risks to the future of the Great Barrier Reef, and their management should form a more prominent role in the future commitments for each program.</w:t>
      </w:r>
    </w:p>
    <w:p w:rsidR="00483FC6" w:rsidRDefault="00483FC6" w:rsidP="00E23582">
      <w:pPr>
        <w:pStyle w:val="Para0"/>
        <w:sectPr w:rsidR="00483FC6" w:rsidSect="00753322">
          <w:footerReference w:type="default" r:id="rId18"/>
          <w:headerReference w:type="first" r:id="rId19"/>
          <w:footerReference w:type="first" r:id="rId20"/>
          <w:pgSz w:w="11901" w:h="16840" w:code="9"/>
          <w:pgMar w:top="567" w:right="851" w:bottom="851" w:left="1134" w:header="567" w:footer="369" w:gutter="0"/>
          <w:pgNumType w:start="1"/>
          <w:cols w:space="0"/>
          <w:formProt w:val="0"/>
          <w:titlePg/>
          <w:docGrid w:linePitch="360"/>
        </w:sectPr>
      </w:pPr>
    </w:p>
    <w:p w:rsidR="003A1A03" w:rsidRDefault="002C4C82" w:rsidP="002C4C82">
      <w:pPr>
        <w:pStyle w:val="Caption"/>
      </w:pPr>
      <w:bookmarkStart w:id="47" w:name="_Ref377930562"/>
      <w:r>
        <w:lastRenderedPageBreak/>
        <w:t xml:space="preserve">Table </w:t>
      </w:r>
      <w:r w:rsidR="00E954B8">
        <w:fldChar w:fldCharType="begin"/>
      </w:r>
      <w:r>
        <w:instrText xml:space="preserve"> STYLEREF 1 \s </w:instrText>
      </w:r>
      <w:r w:rsidR="00E954B8">
        <w:fldChar w:fldCharType="separate"/>
      </w:r>
      <w:r w:rsidR="00526632">
        <w:rPr>
          <w:noProof/>
        </w:rPr>
        <w:t>7</w:t>
      </w:r>
      <w:r w:rsidR="00E954B8">
        <w:fldChar w:fldCharType="end"/>
      </w:r>
      <w:r>
        <w:noBreakHyphen/>
      </w:r>
      <w:r w:rsidR="00E954B8">
        <w:fldChar w:fldCharType="begin"/>
      </w:r>
      <w:r>
        <w:instrText xml:space="preserve"> SEQ Table \* ARABIC \s 1 </w:instrText>
      </w:r>
      <w:r w:rsidR="00E954B8">
        <w:fldChar w:fldCharType="separate"/>
      </w:r>
      <w:r w:rsidR="00526632">
        <w:rPr>
          <w:noProof/>
        </w:rPr>
        <w:t>1</w:t>
      </w:r>
      <w:r w:rsidR="00E954B8">
        <w:fldChar w:fldCharType="end"/>
      </w:r>
      <w:bookmarkEnd w:id="47"/>
      <w:r>
        <w:t xml:space="preserve"> </w:t>
      </w:r>
      <w:r w:rsidR="003F08CE">
        <w:t>Assessment of whether weaknesses in the GBRMPA program are addressed by the Queensland program, and the scale and significance of gaps for the protection of MNES of the Great Barrier Reef.</w:t>
      </w:r>
    </w:p>
    <w:tbl>
      <w:tblPr>
        <w:tblStyle w:val="Table1"/>
        <w:tblW w:w="0" w:type="auto"/>
        <w:tblLook w:val="04A0" w:firstRow="1" w:lastRow="0" w:firstColumn="1" w:lastColumn="0" w:noHBand="0" w:noVBand="1"/>
      </w:tblPr>
      <w:tblGrid>
        <w:gridCol w:w="2405"/>
        <w:gridCol w:w="2126"/>
        <w:gridCol w:w="4111"/>
        <w:gridCol w:w="2126"/>
        <w:gridCol w:w="4536"/>
      </w:tblGrid>
      <w:tr w:rsidR="00B752F7" w:rsidRPr="00BF21DB" w:rsidTr="00483FC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405" w:type="dxa"/>
          </w:tcPr>
          <w:p w:rsidR="00B752F7" w:rsidRPr="00BF21DB" w:rsidRDefault="00CB3DDA" w:rsidP="00074DF8">
            <w:pPr>
              <w:pStyle w:val="Para0"/>
              <w:rPr>
                <w:sz w:val="18"/>
                <w:szCs w:val="18"/>
              </w:rPr>
            </w:pPr>
            <w:r>
              <w:rPr>
                <w:sz w:val="18"/>
                <w:szCs w:val="18"/>
              </w:rPr>
              <w:t>Value or impact</w:t>
            </w:r>
            <w:r w:rsidR="00B752F7" w:rsidRPr="00BF21DB">
              <w:rPr>
                <w:sz w:val="18"/>
                <w:szCs w:val="18"/>
              </w:rPr>
              <w:t xml:space="preserve"> which scored Partially Effective or Ineffective in GBRMPA Strategic Assessment</w:t>
            </w:r>
          </w:p>
        </w:tc>
        <w:tc>
          <w:tcPr>
            <w:tcW w:w="2126" w:type="dxa"/>
          </w:tcPr>
          <w:p w:rsidR="00B752F7" w:rsidRPr="00BF21DB" w:rsidRDefault="00B752F7" w:rsidP="00F1272B">
            <w:pPr>
              <w:pStyle w:val="Para0"/>
              <w:cnfStyle w:val="100000000000" w:firstRow="1" w:lastRow="0" w:firstColumn="0" w:lastColumn="0" w:oddVBand="0" w:evenVBand="0" w:oddHBand="0" w:evenHBand="0" w:firstRowFirstColumn="0" w:firstRowLastColumn="0" w:lastRowFirstColumn="0" w:lastRowLastColumn="0"/>
              <w:rPr>
                <w:sz w:val="18"/>
                <w:szCs w:val="18"/>
              </w:rPr>
            </w:pPr>
            <w:r w:rsidRPr="00BF21DB">
              <w:rPr>
                <w:sz w:val="18"/>
                <w:szCs w:val="18"/>
              </w:rPr>
              <w:t>Management effectiveness</w:t>
            </w:r>
            <w:r w:rsidR="003A1A03" w:rsidRPr="00BF21DB">
              <w:rPr>
                <w:sz w:val="18"/>
                <w:szCs w:val="18"/>
              </w:rPr>
              <w:t xml:space="preserve"> assessment</w:t>
            </w:r>
            <w:r w:rsidR="00483FC6">
              <w:rPr>
                <w:sz w:val="18"/>
                <w:szCs w:val="18"/>
              </w:rPr>
              <w:t xml:space="preserve"> overall (o</w:t>
            </w:r>
            <w:r w:rsidRPr="00BF21DB">
              <w:rPr>
                <w:sz w:val="18"/>
                <w:szCs w:val="18"/>
              </w:rPr>
              <w:t>utcomes)</w:t>
            </w:r>
          </w:p>
        </w:tc>
        <w:tc>
          <w:tcPr>
            <w:tcW w:w="4111" w:type="dxa"/>
          </w:tcPr>
          <w:p w:rsidR="00B752F7" w:rsidRPr="00BF21DB" w:rsidRDefault="00B752F7" w:rsidP="00B752F7">
            <w:pPr>
              <w:pStyle w:val="Para0"/>
              <w:cnfStyle w:val="100000000000" w:firstRow="1" w:lastRow="0" w:firstColumn="0" w:lastColumn="0" w:oddVBand="0" w:evenVBand="0" w:oddHBand="0" w:evenHBand="0" w:firstRowFirstColumn="0" w:firstRowLastColumn="0" w:lastRowFirstColumn="0" w:lastRowLastColumn="0"/>
              <w:rPr>
                <w:sz w:val="18"/>
                <w:szCs w:val="18"/>
              </w:rPr>
            </w:pPr>
            <w:r w:rsidRPr="00BF21DB">
              <w:rPr>
                <w:sz w:val="18"/>
                <w:szCs w:val="18"/>
              </w:rPr>
              <w:t>Are gaps addressed by the Queensland Government Program?</w:t>
            </w:r>
          </w:p>
        </w:tc>
        <w:tc>
          <w:tcPr>
            <w:tcW w:w="2126" w:type="dxa"/>
          </w:tcPr>
          <w:p w:rsidR="00B752F7" w:rsidRPr="00BF21DB" w:rsidRDefault="00827166" w:rsidP="00827166">
            <w:pPr>
              <w:pStyle w:val="Para0"/>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Size</w:t>
            </w:r>
            <w:r w:rsidR="00B752F7" w:rsidRPr="00BF21DB">
              <w:rPr>
                <w:sz w:val="18"/>
                <w:szCs w:val="18"/>
              </w:rPr>
              <w:t xml:space="preserve"> of gap in management</w:t>
            </w:r>
            <w:r w:rsidR="00AB2AF2">
              <w:rPr>
                <w:sz w:val="18"/>
                <w:szCs w:val="18"/>
              </w:rPr>
              <w:t xml:space="preserve"> between Programs</w:t>
            </w:r>
            <w:r w:rsidR="00B752F7" w:rsidRPr="00BF21DB">
              <w:rPr>
                <w:sz w:val="18"/>
                <w:szCs w:val="18"/>
              </w:rPr>
              <w:t>?</w:t>
            </w:r>
          </w:p>
        </w:tc>
        <w:tc>
          <w:tcPr>
            <w:tcW w:w="4536" w:type="dxa"/>
          </w:tcPr>
          <w:p w:rsidR="00B752F7" w:rsidRPr="00BF21DB" w:rsidRDefault="00B752F7" w:rsidP="00483FC6">
            <w:pPr>
              <w:pStyle w:val="Para0"/>
              <w:cnfStyle w:val="100000000000" w:firstRow="1"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Significance for </w:t>
            </w:r>
            <w:r w:rsidR="003A1A03" w:rsidRPr="00BF21DB">
              <w:rPr>
                <w:sz w:val="18"/>
                <w:szCs w:val="18"/>
              </w:rPr>
              <w:t>protection of MNES</w:t>
            </w:r>
            <w:r w:rsidRPr="00BF21DB">
              <w:rPr>
                <w:sz w:val="18"/>
                <w:szCs w:val="18"/>
              </w:rPr>
              <w:t xml:space="preserve"> of </w:t>
            </w:r>
            <w:r w:rsidR="003A1A03" w:rsidRPr="00BF21DB">
              <w:rPr>
                <w:sz w:val="18"/>
                <w:szCs w:val="18"/>
              </w:rPr>
              <w:t xml:space="preserve">the </w:t>
            </w:r>
            <w:r w:rsidR="00483FC6">
              <w:rPr>
                <w:sz w:val="18"/>
                <w:szCs w:val="18"/>
              </w:rPr>
              <w:t>Great Barrier Reef</w:t>
            </w:r>
          </w:p>
        </w:tc>
      </w:tr>
      <w:tr w:rsidR="00B752F7" w:rsidRPr="00BF21DB" w:rsidTr="00BC3421">
        <w:tc>
          <w:tcPr>
            <w:cnfStyle w:val="001000000000" w:firstRow="0" w:lastRow="0" w:firstColumn="1" w:lastColumn="0" w:oddVBand="0" w:evenVBand="0" w:oddHBand="0" w:evenHBand="0" w:firstRowFirstColumn="0" w:firstRowLastColumn="0" w:lastRowFirstColumn="0" w:lastRowLastColumn="0"/>
            <w:tcW w:w="2405" w:type="dxa"/>
          </w:tcPr>
          <w:p w:rsidR="00B752F7" w:rsidRPr="00BF21DB" w:rsidRDefault="00B752F7" w:rsidP="00F1272B">
            <w:pPr>
              <w:pStyle w:val="Para0"/>
              <w:rPr>
                <w:sz w:val="18"/>
                <w:szCs w:val="18"/>
              </w:rPr>
            </w:pPr>
            <w:r w:rsidRPr="00BF21DB">
              <w:rPr>
                <w:sz w:val="18"/>
                <w:szCs w:val="18"/>
              </w:rPr>
              <w:t>Historic heritage values</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Partially effective</w:t>
            </w:r>
          </w:p>
        </w:tc>
        <w:tc>
          <w:tcPr>
            <w:tcW w:w="4111" w:type="dxa"/>
          </w:tcPr>
          <w:p w:rsidR="00B752F7" w:rsidRPr="00BF21DB" w:rsidRDefault="00B752F7" w:rsidP="00074DF8">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There is some state legislation to protect historic heritage values but this aspect of management is not a focus of the Queensland Program</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Large</w:t>
            </w:r>
          </w:p>
        </w:tc>
        <w:tc>
          <w:tcPr>
            <w:tcW w:w="4536" w:type="dxa"/>
          </w:tcPr>
          <w:p w:rsidR="00B752F7" w:rsidRPr="00BF21DB" w:rsidRDefault="00B752F7" w:rsidP="00BF21DB">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Low. The Great Barrier Reef </w:t>
            </w:r>
            <w:r w:rsidR="00BF21DB">
              <w:rPr>
                <w:sz w:val="18"/>
                <w:szCs w:val="18"/>
              </w:rPr>
              <w:t>World Heritage Area</w:t>
            </w:r>
            <w:r w:rsidRPr="00BF21DB">
              <w:rPr>
                <w:sz w:val="18"/>
                <w:szCs w:val="18"/>
              </w:rPr>
              <w:t xml:space="preserve"> is recognised for its natural heritage values, with historic heritage </w:t>
            </w:r>
            <w:r w:rsidR="003A1A03" w:rsidRPr="00BF21DB">
              <w:rPr>
                <w:sz w:val="18"/>
                <w:szCs w:val="18"/>
              </w:rPr>
              <w:t>values comprising</w:t>
            </w:r>
            <w:r w:rsidRPr="00BF21DB">
              <w:rPr>
                <w:sz w:val="18"/>
                <w:szCs w:val="18"/>
              </w:rPr>
              <w:t xml:space="preserve"> a relatively minor </w:t>
            </w:r>
            <w:r w:rsidR="003A1A03" w:rsidRPr="00BF21DB">
              <w:rPr>
                <w:sz w:val="18"/>
                <w:szCs w:val="18"/>
              </w:rPr>
              <w:t>part of the MNES</w:t>
            </w:r>
            <w:r w:rsidRPr="00BF21DB">
              <w:rPr>
                <w:sz w:val="18"/>
                <w:szCs w:val="18"/>
              </w:rPr>
              <w:t>.</w:t>
            </w:r>
          </w:p>
        </w:tc>
      </w:tr>
      <w:tr w:rsidR="00B752F7" w:rsidRPr="00BF21DB" w:rsidTr="00BC3421">
        <w:tc>
          <w:tcPr>
            <w:cnfStyle w:val="001000000000" w:firstRow="0" w:lastRow="0" w:firstColumn="1" w:lastColumn="0" w:oddVBand="0" w:evenVBand="0" w:oddHBand="0" w:evenHBand="0" w:firstRowFirstColumn="0" w:firstRowLastColumn="0" w:lastRowFirstColumn="0" w:lastRowLastColumn="0"/>
            <w:tcW w:w="2405" w:type="dxa"/>
          </w:tcPr>
          <w:p w:rsidR="00B752F7" w:rsidRPr="00BF21DB" w:rsidRDefault="00B752F7" w:rsidP="00F1272B">
            <w:pPr>
              <w:pStyle w:val="Para0"/>
              <w:rPr>
                <w:sz w:val="18"/>
                <w:szCs w:val="18"/>
              </w:rPr>
            </w:pPr>
            <w:r w:rsidRPr="00BF21DB">
              <w:rPr>
                <w:sz w:val="18"/>
                <w:szCs w:val="18"/>
              </w:rPr>
              <w:t>Climate change and extreme weather</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Partially effective</w:t>
            </w:r>
          </w:p>
        </w:tc>
        <w:tc>
          <w:tcPr>
            <w:tcW w:w="4111" w:type="dxa"/>
          </w:tcPr>
          <w:p w:rsidR="00B752F7" w:rsidRPr="00BF21DB" w:rsidRDefault="00B752F7" w:rsidP="00BF21DB">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There is limited scope for </w:t>
            </w:r>
            <w:r w:rsidR="00BF21DB">
              <w:rPr>
                <w:sz w:val="18"/>
                <w:szCs w:val="18"/>
              </w:rPr>
              <w:t xml:space="preserve">direct </w:t>
            </w:r>
            <w:r w:rsidRPr="00BF21DB">
              <w:rPr>
                <w:sz w:val="18"/>
                <w:szCs w:val="18"/>
              </w:rPr>
              <w:t>action f</w:t>
            </w:r>
            <w:r w:rsidR="00D53236" w:rsidRPr="00BF21DB">
              <w:rPr>
                <w:sz w:val="18"/>
                <w:szCs w:val="18"/>
              </w:rPr>
              <w:t>rom the Queensland Government. Improved o</w:t>
            </w:r>
            <w:r w:rsidRPr="00BF21DB">
              <w:rPr>
                <w:sz w:val="18"/>
                <w:szCs w:val="18"/>
              </w:rPr>
              <w:t>perational management of the Great Barrier Reef for resilience in the face of climate change</w:t>
            </w:r>
            <w:r w:rsidR="003A1A03" w:rsidRPr="00BF21DB">
              <w:rPr>
                <w:sz w:val="18"/>
                <w:szCs w:val="18"/>
              </w:rPr>
              <w:t xml:space="preserve"> (for example through the field management program)</w:t>
            </w:r>
            <w:r w:rsidRPr="00BF21DB">
              <w:rPr>
                <w:sz w:val="18"/>
                <w:szCs w:val="18"/>
              </w:rPr>
              <w:t xml:space="preserve"> </w:t>
            </w:r>
            <w:r w:rsidR="00BF21DB">
              <w:rPr>
                <w:sz w:val="18"/>
                <w:szCs w:val="18"/>
              </w:rPr>
              <w:t xml:space="preserve">is a </w:t>
            </w:r>
            <w:r w:rsidRPr="00BF21DB">
              <w:rPr>
                <w:sz w:val="18"/>
                <w:szCs w:val="18"/>
              </w:rPr>
              <w:t xml:space="preserve">weakness of both </w:t>
            </w:r>
            <w:r w:rsidR="00BF21DB">
              <w:rPr>
                <w:sz w:val="18"/>
                <w:szCs w:val="18"/>
              </w:rPr>
              <w:t xml:space="preserve">proposed </w:t>
            </w:r>
            <w:r w:rsidRPr="00BF21DB">
              <w:rPr>
                <w:sz w:val="18"/>
                <w:szCs w:val="18"/>
              </w:rPr>
              <w:t>Programs.</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Large</w:t>
            </w:r>
          </w:p>
        </w:tc>
        <w:tc>
          <w:tcPr>
            <w:tcW w:w="4536" w:type="dxa"/>
          </w:tcPr>
          <w:p w:rsidR="00B752F7" w:rsidRPr="00BF21DB" w:rsidRDefault="00B752F7" w:rsidP="00BF21DB">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High. </w:t>
            </w:r>
            <w:r w:rsidR="00BF21DB">
              <w:rPr>
                <w:sz w:val="18"/>
                <w:szCs w:val="18"/>
              </w:rPr>
              <w:t>A g</w:t>
            </w:r>
            <w:r w:rsidRPr="00BF21DB">
              <w:rPr>
                <w:sz w:val="18"/>
                <w:szCs w:val="18"/>
              </w:rPr>
              <w:t>reater emphasis is required on managing for resilience in the face of climate change.</w:t>
            </w:r>
            <w:r w:rsidR="00BF21DB">
              <w:rPr>
                <w:sz w:val="18"/>
                <w:szCs w:val="18"/>
              </w:rPr>
              <w:t xml:space="preserve"> As climate change impacts are likely to be cumulative, reducing other impacts (e.g. from illegal fishing and pests) is likely to be critical. </w:t>
            </w:r>
            <w:r w:rsidR="003A1A03" w:rsidRPr="00BF21DB">
              <w:rPr>
                <w:sz w:val="18"/>
                <w:szCs w:val="18"/>
              </w:rPr>
              <w:t xml:space="preserve"> </w:t>
            </w:r>
          </w:p>
        </w:tc>
      </w:tr>
      <w:tr w:rsidR="00B752F7" w:rsidRPr="00BF21DB" w:rsidTr="00BC3421">
        <w:tc>
          <w:tcPr>
            <w:cnfStyle w:val="001000000000" w:firstRow="0" w:lastRow="0" w:firstColumn="1" w:lastColumn="0" w:oddVBand="0" w:evenVBand="0" w:oddHBand="0" w:evenHBand="0" w:firstRowFirstColumn="0" w:firstRowLastColumn="0" w:lastRowFirstColumn="0" w:lastRowLastColumn="0"/>
            <w:tcW w:w="2405" w:type="dxa"/>
          </w:tcPr>
          <w:p w:rsidR="00B752F7" w:rsidRPr="00BF21DB" w:rsidRDefault="00B752F7" w:rsidP="00F1272B">
            <w:pPr>
              <w:pStyle w:val="Para0"/>
              <w:rPr>
                <w:sz w:val="18"/>
                <w:szCs w:val="18"/>
              </w:rPr>
            </w:pPr>
            <w:r w:rsidRPr="00BF21DB">
              <w:rPr>
                <w:sz w:val="18"/>
                <w:szCs w:val="18"/>
              </w:rPr>
              <w:t>Water quality protection (catchment runoff)</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Partially effective</w:t>
            </w:r>
          </w:p>
        </w:tc>
        <w:tc>
          <w:tcPr>
            <w:tcW w:w="4111" w:type="dxa"/>
          </w:tcPr>
          <w:p w:rsidR="00B752F7" w:rsidRPr="00BF21DB" w:rsidRDefault="00B752F7" w:rsidP="00D53236">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The Queensland Government has management actions in place, such as </w:t>
            </w:r>
            <w:r w:rsidR="00483FC6">
              <w:rPr>
                <w:sz w:val="18"/>
                <w:szCs w:val="18"/>
              </w:rPr>
              <w:t xml:space="preserve">the </w:t>
            </w:r>
            <w:r w:rsidRPr="00BF21DB">
              <w:rPr>
                <w:sz w:val="18"/>
                <w:szCs w:val="18"/>
              </w:rPr>
              <w:t xml:space="preserve">Reef Plan, and </w:t>
            </w:r>
            <w:r w:rsidR="00D53236" w:rsidRPr="00BF21DB">
              <w:rPr>
                <w:sz w:val="18"/>
                <w:szCs w:val="18"/>
              </w:rPr>
              <w:t>is</w:t>
            </w:r>
            <w:r w:rsidRPr="00BF21DB">
              <w:rPr>
                <w:sz w:val="18"/>
                <w:szCs w:val="18"/>
              </w:rPr>
              <w:t xml:space="preserve"> preserving </w:t>
            </w:r>
            <w:r w:rsidR="00D53236" w:rsidRPr="00BF21DB">
              <w:rPr>
                <w:sz w:val="18"/>
                <w:szCs w:val="18"/>
              </w:rPr>
              <w:t xml:space="preserve">portions of </w:t>
            </w:r>
            <w:r w:rsidRPr="00BF21DB">
              <w:rPr>
                <w:sz w:val="18"/>
                <w:szCs w:val="18"/>
              </w:rPr>
              <w:t xml:space="preserve">the catchment through the protected area estate. Such actions are partially effective and could be strengthened, </w:t>
            </w:r>
            <w:r w:rsidR="003A1A03" w:rsidRPr="00BF21DB">
              <w:rPr>
                <w:sz w:val="18"/>
                <w:szCs w:val="18"/>
              </w:rPr>
              <w:t>given the magnitude of the task and the significance</w:t>
            </w:r>
            <w:r w:rsidR="00BF21DB">
              <w:rPr>
                <w:sz w:val="18"/>
                <w:szCs w:val="18"/>
              </w:rPr>
              <w:t xml:space="preserve"> of this issue</w:t>
            </w:r>
            <w:r w:rsidR="003A1A03" w:rsidRPr="00BF21DB">
              <w:rPr>
                <w:sz w:val="18"/>
                <w:szCs w:val="18"/>
              </w:rPr>
              <w:t xml:space="preserve"> for the future of the </w:t>
            </w:r>
            <w:r w:rsidR="00D53236" w:rsidRPr="00BF21DB">
              <w:rPr>
                <w:sz w:val="18"/>
                <w:szCs w:val="18"/>
              </w:rPr>
              <w:t>Great Barrier Reef</w:t>
            </w:r>
            <w:r w:rsidR="003A1A03" w:rsidRPr="00BF21DB">
              <w:rPr>
                <w:sz w:val="18"/>
                <w:szCs w:val="18"/>
              </w:rPr>
              <w:t>.</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Medium</w:t>
            </w:r>
          </w:p>
        </w:tc>
        <w:tc>
          <w:tcPr>
            <w:tcW w:w="4536" w:type="dxa"/>
          </w:tcPr>
          <w:p w:rsidR="00B752F7" w:rsidRPr="00BF21DB" w:rsidRDefault="00B752F7" w:rsidP="00BF21DB">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High. Water quality appears to be the most significant legacy issue affecting the </w:t>
            </w:r>
            <w:r w:rsidR="00BF21DB">
              <w:rPr>
                <w:sz w:val="18"/>
                <w:szCs w:val="18"/>
              </w:rPr>
              <w:t>Great Barrier Reef</w:t>
            </w:r>
            <w:r w:rsidRPr="00BF21DB">
              <w:rPr>
                <w:sz w:val="18"/>
                <w:szCs w:val="18"/>
              </w:rPr>
              <w:t xml:space="preserve">, </w:t>
            </w:r>
            <w:r w:rsidR="00D53236" w:rsidRPr="00BF21DB">
              <w:rPr>
                <w:sz w:val="18"/>
                <w:szCs w:val="18"/>
              </w:rPr>
              <w:t>primarily from</w:t>
            </w:r>
            <w:r w:rsidR="005A4B18" w:rsidRPr="00BF21DB">
              <w:rPr>
                <w:sz w:val="18"/>
                <w:szCs w:val="18"/>
              </w:rPr>
              <w:t xml:space="preserve"> </w:t>
            </w:r>
            <w:r w:rsidRPr="00BF21DB">
              <w:rPr>
                <w:sz w:val="18"/>
                <w:szCs w:val="18"/>
              </w:rPr>
              <w:t xml:space="preserve">catchment runoff. </w:t>
            </w:r>
            <w:r w:rsidR="003A1A03" w:rsidRPr="00BF21DB">
              <w:rPr>
                <w:sz w:val="18"/>
                <w:szCs w:val="18"/>
              </w:rPr>
              <w:t xml:space="preserve">Large declines in inshore and mid shelf coral cover appear to be </w:t>
            </w:r>
            <w:r w:rsidR="00D53236" w:rsidRPr="00BF21DB">
              <w:rPr>
                <w:sz w:val="18"/>
                <w:szCs w:val="18"/>
              </w:rPr>
              <w:t xml:space="preserve">either directly or indirectly </w:t>
            </w:r>
            <w:r w:rsidR="003A1A03" w:rsidRPr="00BF21DB">
              <w:rPr>
                <w:sz w:val="18"/>
                <w:szCs w:val="18"/>
              </w:rPr>
              <w:t>linked with water quality declines.</w:t>
            </w:r>
          </w:p>
        </w:tc>
      </w:tr>
      <w:tr w:rsidR="00B752F7" w:rsidRPr="00BF21DB" w:rsidTr="00BC3421">
        <w:tc>
          <w:tcPr>
            <w:cnfStyle w:val="001000000000" w:firstRow="0" w:lastRow="0" w:firstColumn="1" w:lastColumn="0" w:oddVBand="0" w:evenVBand="0" w:oddHBand="0" w:evenHBand="0" w:firstRowFirstColumn="0" w:firstRowLastColumn="0" w:lastRowFirstColumn="0" w:lastRowLastColumn="0"/>
            <w:tcW w:w="2405" w:type="dxa"/>
          </w:tcPr>
          <w:p w:rsidR="00B752F7" w:rsidRPr="00BF21DB" w:rsidRDefault="00B752F7" w:rsidP="00F1272B">
            <w:pPr>
              <w:pStyle w:val="Para0"/>
              <w:rPr>
                <w:sz w:val="18"/>
                <w:szCs w:val="18"/>
              </w:rPr>
            </w:pPr>
            <w:r w:rsidRPr="00BF21DB">
              <w:rPr>
                <w:sz w:val="18"/>
                <w:szCs w:val="18"/>
              </w:rPr>
              <w:t>Coastal development (pr</w:t>
            </w:r>
            <w:r w:rsidR="00483FC6">
              <w:rPr>
                <w:sz w:val="18"/>
                <w:szCs w:val="18"/>
              </w:rPr>
              <w:t xml:space="preserve">otection of coastal </w:t>
            </w:r>
            <w:r w:rsidR="00483FC6">
              <w:rPr>
                <w:sz w:val="18"/>
                <w:szCs w:val="18"/>
              </w:rPr>
              <w:lastRenderedPageBreak/>
              <w:t>ecosystems)</w:t>
            </w:r>
          </w:p>
          <w:p w:rsidR="00B752F7" w:rsidRPr="00BF21DB" w:rsidRDefault="00B752F7" w:rsidP="00F1272B">
            <w:pPr>
              <w:pStyle w:val="Para0"/>
              <w:rPr>
                <w:sz w:val="18"/>
                <w:szCs w:val="18"/>
              </w:rPr>
            </w:pP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lastRenderedPageBreak/>
              <w:t>Partially effective</w:t>
            </w:r>
          </w:p>
        </w:tc>
        <w:tc>
          <w:tcPr>
            <w:tcW w:w="4111" w:type="dxa"/>
          </w:tcPr>
          <w:p w:rsidR="00B752F7" w:rsidRPr="00BF21DB" w:rsidRDefault="00B752F7" w:rsidP="00B859CA">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Queensland has a coastal development assessment framework in place across various legislative instruments, and relevant policies and </w:t>
            </w:r>
            <w:r w:rsidRPr="00BF21DB">
              <w:rPr>
                <w:sz w:val="18"/>
                <w:szCs w:val="18"/>
              </w:rPr>
              <w:lastRenderedPageBreak/>
              <w:t xml:space="preserve">strategies such as the </w:t>
            </w:r>
            <w:r w:rsidR="00BF21DB">
              <w:rPr>
                <w:sz w:val="18"/>
                <w:szCs w:val="18"/>
              </w:rPr>
              <w:t xml:space="preserve">draft </w:t>
            </w:r>
            <w:r w:rsidRPr="00BF21DB">
              <w:rPr>
                <w:sz w:val="18"/>
                <w:szCs w:val="18"/>
              </w:rPr>
              <w:t xml:space="preserve">Queensland Ports Strategy. </w:t>
            </w:r>
            <w:r w:rsidR="003A1A03" w:rsidRPr="00BF21DB">
              <w:rPr>
                <w:sz w:val="18"/>
                <w:szCs w:val="18"/>
              </w:rPr>
              <w:t xml:space="preserve">Development assessment is </w:t>
            </w:r>
            <w:r w:rsidR="00D53236" w:rsidRPr="00BF21DB">
              <w:rPr>
                <w:sz w:val="18"/>
                <w:szCs w:val="18"/>
              </w:rPr>
              <w:t xml:space="preserve">a key focus of the </w:t>
            </w:r>
            <w:r w:rsidR="003A1A03" w:rsidRPr="00BF21DB">
              <w:rPr>
                <w:sz w:val="18"/>
                <w:szCs w:val="18"/>
              </w:rPr>
              <w:t xml:space="preserve">Queensland Program. </w:t>
            </w:r>
            <w:r w:rsidRPr="00BF21DB">
              <w:rPr>
                <w:sz w:val="18"/>
                <w:szCs w:val="18"/>
              </w:rPr>
              <w:t xml:space="preserve">Cumulative </w:t>
            </w:r>
            <w:r w:rsidR="003A1A03" w:rsidRPr="00BF21DB">
              <w:rPr>
                <w:sz w:val="18"/>
                <w:szCs w:val="18"/>
              </w:rPr>
              <w:t>impact assessment</w:t>
            </w:r>
            <w:r w:rsidRPr="00BF21DB">
              <w:rPr>
                <w:sz w:val="18"/>
                <w:szCs w:val="18"/>
              </w:rPr>
              <w:t xml:space="preserve"> and offsets are </w:t>
            </w:r>
            <w:r w:rsidR="003A1A03" w:rsidRPr="00BF21DB">
              <w:rPr>
                <w:sz w:val="18"/>
                <w:szCs w:val="18"/>
              </w:rPr>
              <w:t>recognised weaknesses of both Programs.</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lastRenderedPageBreak/>
              <w:t>Small</w:t>
            </w:r>
          </w:p>
        </w:tc>
        <w:tc>
          <w:tcPr>
            <w:tcW w:w="4536" w:type="dxa"/>
          </w:tcPr>
          <w:p w:rsidR="00B752F7" w:rsidRPr="00BF21DB" w:rsidRDefault="005A4B18" w:rsidP="00F1272B">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Medium. The large number of coastal developments and expanding population </w:t>
            </w:r>
            <w:r w:rsidR="00BF21DB">
              <w:rPr>
                <w:sz w:val="18"/>
                <w:szCs w:val="18"/>
              </w:rPr>
              <w:t>in the coastal zone are relevant. The management of c</w:t>
            </w:r>
            <w:r w:rsidRPr="00BF21DB">
              <w:rPr>
                <w:sz w:val="18"/>
                <w:szCs w:val="18"/>
              </w:rPr>
              <w:t xml:space="preserve">umulative impacts and </w:t>
            </w:r>
            <w:r w:rsidRPr="00BF21DB">
              <w:rPr>
                <w:sz w:val="18"/>
                <w:szCs w:val="18"/>
              </w:rPr>
              <w:lastRenderedPageBreak/>
              <w:t>offsets are the largest gaps.</w:t>
            </w:r>
          </w:p>
        </w:tc>
      </w:tr>
      <w:tr w:rsidR="00B752F7" w:rsidRPr="00BF21DB" w:rsidTr="00BC3421">
        <w:tc>
          <w:tcPr>
            <w:cnfStyle w:val="001000000000" w:firstRow="0" w:lastRow="0" w:firstColumn="1" w:lastColumn="0" w:oddVBand="0" w:evenVBand="0" w:oddHBand="0" w:evenHBand="0" w:firstRowFirstColumn="0" w:firstRowLastColumn="0" w:lastRowFirstColumn="0" w:lastRowLastColumn="0"/>
            <w:tcW w:w="2405" w:type="dxa"/>
          </w:tcPr>
          <w:p w:rsidR="00B752F7" w:rsidRPr="00BF21DB" w:rsidRDefault="00B752F7" w:rsidP="00F1272B">
            <w:pPr>
              <w:pStyle w:val="Para0"/>
              <w:rPr>
                <w:sz w:val="18"/>
                <w:szCs w:val="18"/>
              </w:rPr>
            </w:pPr>
            <w:r w:rsidRPr="00BF21DB">
              <w:rPr>
                <w:sz w:val="18"/>
                <w:szCs w:val="18"/>
              </w:rPr>
              <w:lastRenderedPageBreak/>
              <w:t>Commercial fishing</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Partially effective</w:t>
            </w:r>
          </w:p>
        </w:tc>
        <w:tc>
          <w:tcPr>
            <w:tcW w:w="4111" w:type="dxa"/>
          </w:tcPr>
          <w:p w:rsidR="00B752F7" w:rsidRPr="00BF21DB" w:rsidRDefault="00B752F7" w:rsidP="00286C8B">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The Queensland Government is primarily responsible for managing commercial fisheries in the Great Barrier Reef. However, there is limited discussion of this</w:t>
            </w:r>
            <w:r w:rsidR="005A4B18" w:rsidRPr="00BF21DB">
              <w:rPr>
                <w:sz w:val="18"/>
                <w:szCs w:val="18"/>
              </w:rPr>
              <w:t xml:space="preserve"> function</w:t>
            </w:r>
            <w:r w:rsidRPr="00BF21DB">
              <w:rPr>
                <w:sz w:val="18"/>
                <w:szCs w:val="18"/>
              </w:rPr>
              <w:t xml:space="preserve"> in the </w:t>
            </w:r>
            <w:r w:rsidR="003A1A03" w:rsidRPr="00BF21DB">
              <w:rPr>
                <w:sz w:val="18"/>
                <w:szCs w:val="18"/>
              </w:rPr>
              <w:t>Queensland Strategic Assessment, making it difficult to assess the Program effectiveness.</w:t>
            </w:r>
          </w:p>
        </w:tc>
        <w:tc>
          <w:tcPr>
            <w:tcW w:w="2126" w:type="dxa"/>
            <w:vAlign w:val="center"/>
          </w:tcPr>
          <w:p w:rsidR="00B752F7" w:rsidRPr="00BF21DB" w:rsidRDefault="005A4B18"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Medium</w:t>
            </w:r>
          </w:p>
        </w:tc>
        <w:tc>
          <w:tcPr>
            <w:tcW w:w="4536" w:type="dxa"/>
          </w:tcPr>
          <w:p w:rsidR="00B752F7" w:rsidRPr="00BF21DB" w:rsidRDefault="003A1A03" w:rsidP="00286C8B">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Medium. </w:t>
            </w:r>
            <w:r w:rsidR="005A4B18" w:rsidRPr="00BF21DB">
              <w:rPr>
                <w:sz w:val="18"/>
                <w:szCs w:val="18"/>
              </w:rPr>
              <w:t xml:space="preserve">The accidental take of threatened species as bycatch is </w:t>
            </w:r>
            <w:r w:rsidRPr="00BF21DB">
              <w:rPr>
                <w:sz w:val="18"/>
                <w:szCs w:val="18"/>
              </w:rPr>
              <w:t xml:space="preserve">gradually </w:t>
            </w:r>
            <w:r w:rsidR="005A4B18" w:rsidRPr="00BF21DB">
              <w:rPr>
                <w:sz w:val="18"/>
                <w:szCs w:val="18"/>
              </w:rPr>
              <w:t>being reduced through active management</w:t>
            </w:r>
            <w:r w:rsidRPr="00BF21DB">
              <w:rPr>
                <w:sz w:val="18"/>
                <w:szCs w:val="18"/>
              </w:rPr>
              <w:t xml:space="preserve"> and has a history of success.</w:t>
            </w:r>
          </w:p>
        </w:tc>
      </w:tr>
      <w:tr w:rsidR="00B752F7" w:rsidRPr="00BF21DB" w:rsidTr="00BC3421">
        <w:tc>
          <w:tcPr>
            <w:cnfStyle w:val="001000000000" w:firstRow="0" w:lastRow="0" w:firstColumn="1" w:lastColumn="0" w:oddVBand="0" w:evenVBand="0" w:oddHBand="0" w:evenHBand="0" w:firstRowFirstColumn="0" w:firstRowLastColumn="0" w:lastRowFirstColumn="0" w:lastRowLastColumn="0"/>
            <w:tcW w:w="2405" w:type="dxa"/>
          </w:tcPr>
          <w:p w:rsidR="00B752F7" w:rsidRPr="00BF21DB" w:rsidRDefault="00B752F7" w:rsidP="00F1272B">
            <w:pPr>
              <w:pStyle w:val="Para0"/>
              <w:rPr>
                <w:sz w:val="18"/>
                <w:szCs w:val="18"/>
              </w:rPr>
            </w:pPr>
            <w:r w:rsidRPr="00BF21DB">
              <w:rPr>
                <w:sz w:val="18"/>
                <w:szCs w:val="18"/>
              </w:rPr>
              <w:t>Recreational fishing</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Partially effective</w:t>
            </w:r>
          </w:p>
        </w:tc>
        <w:tc>
          <w:tcPr>
            <w:tcW w:w="4111" w:type="dxa"/>
          </w:tcPr>
          <w:p w:rsidR="00B752F7" w:rsidRPr="00BF21DB" w:rsidRDefault="00B752F7" w:rsidP="00F8326D">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The Queensland Government is primarily responsible for managing recreational fisheries in the Great Barrier Reef. However, there is limited discussion of this in the Queensland Strategic Assessment</w:t>
            </w:r>
            <w:r w:rsidR="00D53236" w:rsidRPr="00BF21DB">
              <w:rPr>
                <w:sz w:val="18"/>
                <w:szCs w:val="18"/>
              </w:rPr>
              <w:t>, making it difficult to assess the Program effectiveness.</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Small</w:t>
            </w:r>
          </w:p>
        </w:tc>
        <w:tc>
          <w:tcPr>
            <w:tcW w:w="4536" w:type="dxa"/>
          </w:tcPr>
          <w:p w:rsidR="00B752F7" w:rsidRPr="00BF21DB" w:rsidRDefault="00C14AA9" w:rsidP="00D53236">
            <w:pPr>
              <w:pStyle w:val="Para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Small. </w:t>
            </w:r>
            <w:r w:rsidR="005A4B18" w:rsidRPr="00BF21DB">
              <w:rPr>
                <w:sz w:val="18"/>
                <w:szCs w:val="18"/>
              </w:rPr>
              <w:t>Illegal fishing may have significant</w:t>
            </w:r>
            <w:r w:rsidR="00BF21DB">
              <w:rPr>
                <w:sz w:val="18"/>
                <w:szCs w:val="18"/>
              </w:rPr>
              <w:t xml:space="preserve"> impacts at</w:t>
            </w:r>
            <w:r w:rsidR="005A4B18" w:rsidRPr="00BF21DB">
              <w:rPr>
                <w:sz w:val="18"/>
                <w:szCs w:val="18"/>
              </w:rPr>
              <w:t xml:space="preserve"> a local scale and reduce the effectiveness of </w:t>
            </w:r>
            <w:r w:rsidR="003A1A03" w:rsidRPr="00BF21DB">
              <w:rPr>
                <w:sz w:val="18"/>
                <w:szCs w:val="18"/>
              </w:rPr>
              <w:t xml:space="preserve">marine national park </w:t>
            </w:r>
            <w:r w:rsidR="005A4B18" w:rsidRPr="00BF21DB">
              <w:rPr>
                <w:sz w:val="18"/>
                <w:szCs w:val="18"/>
              </w:rPr>
              <w:t xml:space="preserve">zoning </w:t>
            </w:r>
            <w:r w:rsidR="00D53236" w:rsidRPr="00BF21DB">
              <w:rPr>
                <w:sz w:val="18"/>
                <w:szCs w:val="18"/>
              </w:rPr>
              <w:t>at</w:t>
            </w:r>
            <w:r w:rsidR="005A4B18" w:rsidRPr="00BF21DB">
              <w:rPr>
                <w:sz w:val="18"/>
                <w:szCs w:val="18"/>
              </w:rPr>
              <w:t xml:space="preserve"> protecting MNES.</w:t>
            </w:r>
            <w:r w:rsidR="00BF21DB">
              <w:rPr>
                <w:sz w:val="18"/>
                <w:szCs w:val="18"/>
              </w:rPr>
              <w:t xml:space="preserve"> Such impacts may reduce ecosystem resilience.</w:t>
            </w:r>
          </w:p>
        </w:tc>
      </w:tr>
      <w:tr w:rsidR="00B752F7" w:rsidRPr="00BF21DB" w:rsidTr="00BC3421">
        <w:tc>
          <w:tcPr>
            <w:cnfStyle w:val="001000000000" w:firstRow="0" w:lastRow="0" w:firstColumn="1" w:lastColumn="0" w:oddVBand="0" w:evenVBand="0" w:oddHBand="0" w:evenHBand="0" w:firstRowFirstColumn="0" w:firstRowLastColumn="0" w:lastRowFirstColumn="0" w:lastRowLastColumn="0"/>
            <w:tcW w:w="2405" w:type="dxa"/>
          </w:tcPr>
          <w:p w:rsidR="00B752F7" w:rsidRPr="00BF21DB" w:rsidRDefault="00B752F7" w:rsidP="00F1272B">
            <w:pPr>
              <w:pStyle w:val="Para0"/>
              <w:rPr>
                <w:sz w:val="18"/>
                <w:szCs w:val="18"/>
              </w:rPr>
            </w:pPr>
            <w:r w:rsidRPr="00BF21DB">
              <w:rPr>
                <w:sz w:val="18"/>
                <w:szCs w:val="18"/>
              </w:rPr>
              <w:t>Port activities</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Partially effective</w:t>
            </w:r>
          </w:p>
        </w:tc>
        <w:tc>
          <w:tcPr>
            <w:tcW w:w="4111" w:type="dxa"/>
          </w:tcPr>
          <w:p w:rsidR="00B752F7" w:rsidRPr="00BF21DB" w:rsidRDefault="00B752F7" w:rsidP="00C14AA9">
            <w:pPr>
              <w:pStyle w:val="Para0"/>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 xml:space="preserve">The Queensland Government has recently released the </w:t>
            </w:r>
            <w:r w:rsidR="00C14AA9">
              <w:rPr>
                <w:sz w:val="18"/>
                <w:szCs w:val="18"/>
              </w:rPr>
              <w:t xml:space="preserve">draft </w:t>
            </w:r>
            <w:r w:rsidRPr="00BF21DB">
              <w:rPr>
                <w:sz w:val="18"/>
                <w:szCs w:val="18"/>
              </w:rPr>
              <w:t>Queensland Ports Strategy and has legislative frameworks in place to manage</w:t>
            </w:r>
            <w:r w:rsidR="003A1A03" w:rsidRPr="00BF21DB">
              <w:rPr>
                <w:sz w:val="18"/>
                <w:szCs w:val="18"/>
              </w:rPr>
              <w:t xml:space="preserve"> and assess</w:t>
            </w:r>
            <w:r w:rsidRPr="00BF21DB">
              <w:rPr>
                <w:sz w:val="18"/>
                <w:szCs w:val="18"/>
              </w:rPr>
              <w:t xml:space="preserve"> port developments and </w:t>
            </w:r>
            <w:r w:rsidR="003A1A03" w:rsidRPr="00BF21DB">
              <w:rPr>
                <w:sz w:val="18"/>
                <w:szCs w:val="18"/>
              </w:rPr>
              <w:t xml:space="preserve">their associated </w:t>
            </w:r>
            <w:r w:rsidRPr="00BF21DB">
              <w:rPr>
                <w:sz w:val="18"/>
                <w:szCs w:val="18"/>
              </w:rPr>
              <w:t>operations.</w:t>
            </w:r>
            <w:r w:rsidR="003608AD" w:rsidRPr="00BF21DB">
              <w:rPr>
                <w:sz w:val="18"/>
                <w:szCs w:val="18"/>
              </w:rPr>
              <w:t xml:space="preserve"> Neither </w:t>
            </w:r>
            <w:r w:rsidR="00C14AA9">
              <w:rPr>
                <w:sz w:val="18"/>
                <w:szCs w:val="18"/>
              </w:rPr>
              <w:t>Strategic A</w:t>
            </w:r>
            <w:r w:rsidR="003608AD" w:rsidRPr="00BF21DB">
              <w:rPr>
                <w:sz w:val="18"/>
                <w:szCs w:val="18"/>
              </w:rPr>
              <w:t>ssessment has a detailed consideration of port development.</w:t>
            </w:r>
          </w:p>
        </w:tc>
        <w:tc>
          <w:tcPr>
            <w:tcW w:w="2126" w:type="dxa"/>
            <w:vAlign w:val="center"/>
          </w:tcPr>
          <w:p w:rsidR="00B752F7" w:rsidRPr="00BF21DB" w:rsidRDefault="00B752F7" w:rsidP="00BC3421">
            <w:pPr>
              <w:pStyle w:val="Para0"/>
              <w:jc w:val="center"/>
              <w:cnfStyle w:val="000000000000" w:firstRow="0" w:lastRow="0" w:firstColumn="0" w:lastColumn="0" w:oddVBand="0" w:evenVBand="0" w:oddHBand="0" w:evenHBand="0" w:firstRowFirstColumn="0" w:firstRowLastColumn="0" w:lastRowFirstColumn="0" w:lastRowLastColumn="0"/>
              <w:rPr>
                <w:sz w:val="18"/>
                <w:szCs w:val="18"/>
              </w:rPr>
            </w:pPr>
            <w:r w:rsidRPr="00BF21DB">
              <w:rPr>
                <w:sz w:val="18"/>
                <w:szCs w:val="18"/>
              </w:rPr>
              <w:t>Small</w:t>
            </w:r>
          </w:p>
        </w:tc>
        <w:tc>
          <w:tcPr>
            <w:tcW w:w="4536" w:type="dxa"/>
          </w:tcPr>
          <w:p w:rsidR="00B752F7" w:rsidRPr="00BF21DB" w:rsidRDefault="00C14AA9" w:rsidP="005A4B18">
            <w:pPr>
              <w:pStyle w:val="Para0"/>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 xml:space="preserve">Medium. </w:t>
            </w:r>
            <w:r w:rsidR="005A4B18" w:rsidRPr="00BF21DB">
              <w:rPr>
                <w:sz w:val="18"/>
                <w:szCs w:val="18"/>
              </w:rPr>
              <w:t>Further research on the impacts of dredging and material placement activities is needed. Assessment of cumulative impacts and offsets are gaps</w:t>
            </w:r>
            <w:r w:rsidR="003A1A03" w:rsidRPr="00BF21DB">
              <w:rPr>
                <w:sz w:val="18"/>
                <w:szCs w:val="18"/>
              </w:rPr>
              <w:t xml:space="preserve"> which are identified for further action.</w:t>
            </w:r>
          </w:p>
        </w:tc>
      </w:tr>
    </w:tbl>
    <w:p w:rsidR="00483FC6" w:rsidRDefault="00483FC6" w:rsidP="00F1272B">
      <w:pPr>
        <w:pStyle w:val="Para0"/>
        <w:sectPr w:rsidR="00483FC6" w:rsidSect="001047F2">
          <w:pgSz w:w="16840" w:h="11901" w:orient="landscape" w:code="9"/>
          <w:pgMar w:top="851" w:right="851" w:bottom="1134" w:left="567" w:header="567" w:footer="369" w:gutter="0"/>
          <w:cols w:space="0"/>
          <w:formProt w:val="0"/>
          <w:titlePg/>
          <w:docGrid w:linePitch="360"/>
        </w:sectPr>
      </w:pPr>
    </w:p>
    <w:p w:rsidR="00D055DA" w:rsidRDefault="00483FC6" w:rsidP="00D055DA">
      <w:pPr>
        <w:pStyle w:val="Heading1"/>
      </w:pPr>
      <w:bookmarkStart w:id="48" w:name="_Toc378857224"/>
      <w:r>
        <w:lastRenderedPageBreak/>
        <w:t>Conclusions and r</w:t>
      </w:r>
      <w:r w:rsidR="00D055DA">
        <w:t>ecommendations</w:t>
      </w:r>
      <w:bookmarkEnd w:id="48"/>
    </w:p>
    <w:p w:rsidR="0092133A" w:rsidRDefault="0092133A" w:rsidP="0092133A">
      <w:pPr>
        <w:pStyle w:val="Heading2"/>
      </w:pPr>
      <w:bookmarkStart w:id="49" w:name="_Toc378857225"/>
      <w:r>
        <w:t>Summary of conclusions</w:t>
      </w:r>
      <w:bookmarkEnd w:id="49"/>
    </w:p>
    <w:p w:rsidR="00A66C77" w:rsidRDefault="00A66C77" w:rsidP="00C3218B">
      <w:pPr>
        <w:pStyle w:val="Para0"/>
      </w:pPr>
      <w:r>
        <w:t xml:space="preserve">The conclusions of the independent review have been summarised </w:t>
      </w:r>
      <w:r w:rsidR="0001766B">
        <w:t>by applying</w:t>
      </w:r>
      <w:r>
        <w:t xml:space="preserve"> the descriptions outlined in </w:t>
      </w:r>
      <w:r w:rsidR="00201582">
        <w:fldChar w:fldCharType="begin"/>
      </w:r>
      <w:r w:rsidR="00201582">
        <w:instrText xml:space="preserve"> REF _Ref369102325 \h  \* MERGEFORMAT </w:instrText>
      </w:r>
      <w:r w:rsidR="00201582">
        <w:fldChar w:fldCharType="separate"/>
      </w:r>
      <w:r w:rsidR="00526632" w:rsidRPr="00526632">
        <w:rPr>
          <w:b/>
        </w:rPr>
        <w:t xml:space="preserve">Table </w:t>
      </w:r>
      <w:r w:rsidR="00526632" w:rsidRPr="00526632">
        <w:rPr>
          <w:b/>
          <w:noProof/>
        </w:rPr>
        <w:t>8</w:t>
      </w:r>
      <w:r w:rsidR="00526632" w:rsidRPr="00526632">
        <w:rPr>
          <w:b/>
          <w:noProof/>
        </w:rPr>
        <w:noBreakHyphen/>
        <w:t>1</w:t>
      </w:r>
      <w:r w:rsidR="00201582">
        <w:fldChar w:fldCharType="end"/>
      </w:r>
      <w:r>
        <w:t xml:space="preserve">. </w:t>
      </w:r>
      <w:r w:rsidR="00A979DA">
        <w:t xml:space="preserve">A summary of </w:t>
      </w:r>
      <w:r w:rsidR="007D4FB8">
        <w:t>the review team’s</w:t>
      </w:r>
      <w:r w:rsidR="00A979DA">
        <w:t xml:space="preserve"> assessment of the adequacy of the Strategic Assessment </w:t>
      </w:r>
      <w:r w:rsidR="00C423A7">
        <w:t xml:space="preserve">across the key sections of the </w:t>
      </w:r>
      <w:r w:rsidR="007D4FB8">
        <w:t>GBRMPA</w:t>
      </w:r>
      <w:r w:rsidR="00C423A7">
        <w:t xml:space="preserve"> Program </w:t>
      </w:r>
      <w:r w:rsidR="00A979DA">
        <w:t xml:space="preserve">is provided in </w:t>
      </w:r>
      <w:r w:rsidR="00201582">
        <w:fldChar w:fldCharType="begin"/>
      </w:r>
      <w:r w:rsidR="00201582">
        <w:instrText xml:space="preserve"> REF _Ref369102341 \h  \* MERGEFORMAT </w:instrText>
      </w:r>
      <w:r w:rsidR="00201582">
        <w:fldChar w:fldCharType="separate"/>
      </w:r>
      <w:r w:rsidR="00526632" w:rsidRPr="00526632">
        <w:rPr>
          <w:b/>
        </w:rPr>
        <w:t xml:space="preserve">Table </w:t>
      </w:r>
      <w:r w:rsidR="00526632" w:rsidRPr="00526632">
        <w:rPr>
          <w:b/>
          <w:noProof/>
        </w:rPr>
        <w:t>8</w:t>
      </w:r>
      <w:r w:rsidR="00526632" w:rsidRPr="00526632">
        <w:rPr>
          <w:b/>
          <w:noProof/>
        </w:rPr>
        <w:noBreakHyphen/>
        <w:t>2</w:t>
      </w:r>
      <w:r w:rsidR="00201582">
        <w:fldChar w:fldCharType="end"/>
      </w:r>
      <w:r w:rsidR="00A979DA">
        <w:t xml:space="preserve">. </w:t>
      </w:r>
    </w:p>
    <w:p w:rsidR="00C3218B" w:rsidRDefault="00205CB2" w:rsidP="00C3218B">
      <w:pPr>
        <w:pStyle w:val="Para0"/>
      </w:pPr>
      <w:r w:rsidRPr="009338BA">
        <w:t xml:space="preserve">The </w:t>
      </w:r>
      <w:r>
        <w:t xml:space="preserve">draft documents address the majority of the requirements of the Terms of Reference, and with further improvement, </w:t>
      </w:r>
      <w:r w:rsidR="0096415D">
        <w:t>could be completely consistent with them</w:t>
      </w:r>
      <w:r>
        <w:t>. The documents therefore represent</w:t>
      </w:r>
      <w:r w:rsidR="00F77E58">
        <w:t xml:space="preserve"> significant progress towards </w:t>
      </w:r>
      <w:r w:rsidR="00A979DA">
        <w:t xml:space="preserve">establishing a </w:t>
      </w:r>
      <w:r w:rsidR="00F77E58">
        <w:t xml:space="preserve">robust and </w:t>
      </w:r>
      <w:r w:rsidR="00A979DA">
        <w:t xml:space="preserve">comprehensive Strategic Assessment for the Great Barrier Reef </w:t>
      </w:r>
      <w:r w:rsidR="00783947">
        <w:t>Region</w:t>
      </w:r>
      <w:r w:rsidR="00A979DA">
        <w:t xml:space="preserve">. </w:t>
      </w:r>
      <w:r w:rsidR="00783947">
        <w:t>The</w:t>
      </w:r>
      <w:r w:rsidR="00A979DA">
        <w:t xml:space="preserve"> reports are </w:t>
      </w:r>
      <w:r w:rsidR="00783947">
        <w:t>comprehensive</w:t>
      </w:r>
      <w:r w:rsidR="00A979DA">
        <w:t xml:space="preserve">, </w:t>
      </w:r>
      <w:r w:rsidR="00783947">
        <w:t>well referenced and have been informed by extensive public engagement processes</w:t>
      </w:r>
      <w:r w:rsidR="00A979DA">
        <w:t xml:space="preserve">. </w:t>
      </w:r>
      <w:r w:rsidR="0001766B">
        <w:t>Further</w:t>
      </w:r>
      <w:r w:rsidR="00A979DA">
        <w:t xml:space="preserve"> work is </w:t>
      </w:r>
      <w:r w:rsidR="006123BC">
        <w:t>recommended</w:t>
      </w:r>
      <w:r w:rsidR="00A979DA">
        <w:t xml:space="preserve"> to </w:t>
      </w:r>
      <w:r w:rsidR="00783947">
        <w:t>clarify some areas of confusion, refine the explanation of some key technical areas</w:t>
      </w:r>
      <w:r w:rsidR="00763937">
        <w:t xml:space="preserve"> and</w:t>
      </w:r>
      <w:r w:rsidR="00783947">
        <w:t xml:space="preserve"> develop stronger management actions </w:t>
      </w:r>
      <w:r w:rsidR="00763937">
        <w:t>that will more directly address the declining condition of the Great Barrier Reef ecosystem</w:t>
      </w:r>
      <w:r w:rsidR="00D84D37">
        <w:t>.</w:t>
      </w:r>
    </w:p>
    <w:p w:rsidR="00BF31CD" w:rsidRDefault="00BF31CD" w:rsidP="00BF31CD">
      <w:pPr>
        <w:pStyle w:val="Caption"/>
      </w:pPr>
      <w:bookmarkStart w:id="50" w:name="_Ref369102325"/>
      <w:r>
        <w:t xml:space="preserve">Table </w:t>
      </w:r>
      <w:r w:rsidR="00E954B8">
        <w:fldChar w:fldCharType="begin"/>
      </w:r>
      <w:r w:rsidR="002C4C82">
        <w:instrText xml:space="preserve"> STYLEREF 1 \s </w:instrText>
      </w:r>
      <w:r w:rsidR="00E954B8">
        <w:fldChar w:fldCharType="separate"/>
      </w:r>
      <w:r w:rsidR="00526632">
        <w:rPr>
          <w:noProof/>
        </w:rPr>
        <w:t>8</w:t>
      </w:r>
      <w:r w:rsidR="00E954B8">
        <w:fldChar w:fldCharType="end"/>
      </w:r>
      <w:r w:rsidR="002C4C82">
        <w:noBreakHyphen/>
      </w:r>
      <w:r w:rsidR="00E954B8">
        <w:fldChar w:fldCharType="begin"/>
      </w:r>
      <w:r w:rsidR="002C4C82">
        <w:instrText xml:space="preserve"> SEQ Table \* ARABIC \s 1 </w:instrText>
      </w:r>
      <w:r w:rsidR="00E954B8">
        <w:fldChar w:fldCharType="separate"/>
      </w:r>
      <w:r w:rsidR="00526632">
        <w:rPr>
          <w:noProof/>
        </w:rPr>
        <w:t>1</w:t>
      </w:r>
      <w:r w:rsidR="00E954B8">
        <w:fldChar w:fldCharType="end"/>
      </w:r>
      <w:bookmarkEnd w:id="50"/>
      <w:r>
        <w:t xml:space="preserve"> Description of assessment method for summary table.</w:t>
      </w:r>
    </w:p>
    <w:tbl>
      <w:tblPr>
        <w:tblStyle w:val="Table2"/>
        <w:tblW w:w="0" w:type="auto"/>
        <w:tblLook w:val="04A0" w:firstRow="1" w:lastRow="0" w:firstColumn="1" w:lastColumn="0" w:noHBand="0" w:noVBand="1"/>
      </w:tblPr>
      <w:tblGrid>
        <w:gridCol w:w="2693"/>
        <w:gridCol w:w="7326"/>
      </w:tblGrid>
      <w:tr w:rsidR="00E87E9B" w:rsidTr="00FD5AA6">
        <w:trPr>
          <w:cnfStyle w:val="100000000000" w:firstRow="1" w:lastRow="0" w:firstColumn="0" w:lastColumn="0" w:oddVBand="0" w:evenVBand="0" w:oddHBand="0" w:evenHBand="0" w:firstRowFirstColumn="0" w:firstRowLastColumn="0" w:lastRowFirstColumn="0" w:lastRowLastColumn="0"/>
        </w:trPr>
        <w:tc>
          <w:tcPr>
            <w:tcW w:w="2694" w:type="dxa"/>
          </w:tcPr>
          <w:p w:rsidR="00E87E9B" w:rsidRDefault="00E87E9B" w:rsidP="00E87E9B">
            <w:pPr>
              <w:pStyle w:val="Para0"/>
              <w:jc w:val="center"/>
              <w:rPr>
                <w:rFonts w:cs="Arial"/>
                <w:b w:val="0"/>
                <w:noProof/>
                <w:sz w:val="16"/>
                <w:szCs w:val="16"/>
                <w:lang w:eastAsia="en-AU"/>
              </w:rPr>
            </w:pPr>
            <w:r w:rsidRPr="00E87E9B">
              <w:t>Assessment</w:t>
            </w:r>
          </w:p>
        </w:tc>
        <w:tc>
          <w:tcPr>
            <w:tcW w:w="7330" w:type="dxa"/>
          </w:tcPr>
          <w:p w:rsidR="00E87E9B" w:rsidRDefault="00E87E9B" w:rsidP="00E87E9B">
            <w:pPr>
              <w:pStyle w:val="Para0"/>
            </w:pPr>
            <w:r>
              <w:t>Description</w:t>
            </w:r>
          </w:p>
        </w:tc>
      </w:tr>
      <w:tr w:rsidR="00E5380A" w:rsidTr="00FD5AA6">
        <w:tc>
          <w:tcPr>
            <w:tcW w:w="2694" w:type="dxa"/>
          </w:tcPr>
          <w:p w:rsidR="00E5380A" w:rsidRDefault="00E5380A" w:rsidP="00E87E9B">
            <w:pPr>
              <w:pStyle w:val="Para0"/>
              <w:jc w:val="center"/>
            </w:pPr>
            <w:r>
              <w:rPr>
                <w:rFonts w:cs="Arial"/>
                <w:b/>
                <w:noProof/>
                <w:sz w:val="16"/>
                <w:szCs w:val="16"/>
                <w:lang w:eastAsia="en-AU"/>
              </w:rPr>
              <w:drawing>
                <wp:inline distT="0" distB="0" distL="0" distR="0">
                  <wp:extent cx="182880" cy="182880"/>
                  <wp:effectExtent l="0" t="0" r="7620" b="7620"/>
                  <wp:docPr id="1" name="Picture 1"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7330" w:type="dxa"/>
          </w:tcPr>
          <w:p w:rsidR="00C423A7" w:rsidRDefault="00C423A7" w:rsidP="00E87E9B">
            <w:pPr>
              <w:pStyle w:val="Para0"/>
            </w:pPr>
            <w:r>
              <w:t>A rigorous and detailed assessment has been completed. If gaps exist, they are relatively minor</w:t>
            </w:r>
            <w:r w:rsidR="00BF31CD">
              <w:t xml:space="preserve"> and </w:t>
            </w:r>
            <w:r w:rsidR="00D42145">
              <w:t xml:space="preserve">can </w:t>
            </w:r>
            <w:r w:rsidR="00BF31CD">
              <w:t>be address</w:t>
            </w:r>
            <w:r w:rsidR="00B802CA">
              <w:t>ed</w:t>
            </w:r>
            <w:r w:rsidR="00BF31CD">
              <w:t xml:space="preserve"> with minimal rework. </w:t>
            </w:r>
          </w:p>
        </w:tc>
      </w:tr>
      <w:tr w:rsidR="00E5380A" w:rsidTr="00FD5AA6">
        <w:tc>
          <w:tcPr>
            <w:tcW w:w="2694" w:type="dxa"/>
          </w:tcPr>
          <w:p w:rsidR="00E5380A" w:rsidRDefault="00E5380A" w:rsidP="00E87E9B">
            <w:pPr>
              <w:pStyle w:val="Para0"/>
              <w:jc w:val="center"/>
            </w:pPr>
            <w:r>
              <w:rPr>
                <w:rFonts w:cs="Arial"/>
                <w:b/>
                <w:noProof/>
                <w:color w:val="000000"/>
                <w:szCs w:val="20"/>
                <w:lang w:eastAsia="en-AU"/>
              </w:rPr>
              <w:drawing>
                <wp:inline distT="0" distB="0" distL="0" distR="0">
                  <wp:extent cx="180975" cy="180975"/>
                  <wp:effectExtent l="0" t="0" r="9525" b="9525"/>
                  <wp:docPr id="8" name="Picture 8"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7330" w:type="dxa"/>
          </w:tcPr>
          <w:p w:rsidR="00E5380A" w:rsidRDefault="00C423A7" w:rsidP="00B802CA">
            <w:pPr>
              <w:pStyle w:val="Para0"/>
            </w:pPr>
            <w:r>
              <w:t xml:space="preserve">The assessment has been partially </w:t>
            </w:r>
            <w:r w:rsidR="00BF31CD">
              <w:t>effective</w:t>
            </w:r>
            <w:r>
              <w:t xml:space="preserve">, </w:t>
            </w:r>
            <w:r w:rsidR="00B802CA">
              <w:t>with</w:t>
            </w:r>
            <w:r>
              <w:t xml:space="preserve"> some </w:t>
            </w:r>
            <w:r w:rsidR="00E5380A">
              <w:t xml:space="preserve">gaps </w:t>
            </w:r>
            <w:r>
              <w:t>present. Further work is recommended to improve the rigour of the assessment.</w:t>
            </w:r>
          </w:p>
        </w:tc>
      </w:tr>
      <w:tr w:rsidR="00E5380A" w:rsidTr="00FD5AA6">
        <w:tc>
          <w:tcPr>
            <w:tcW w:w="2694" w:type="dxa"/>
          </w:tcPr>
          <w:p w:rsidR="00E5380A" w:rsidRDefault="00E5380A" w:rsidP="00E87E9B">
            <w:pPr>
              <w:pStyle w:val="Para0"/>
              <w:jc w:val="center"/>
            </w:pPr>
            <w:r>
              <w:rPr>
                <w:rFonts w:cs="Arial"/>
                <w:b/>
                <w:noProof/>
                <w:color w:val="000000"/>
                <w:szCs w:val="20"/>
                <w:lang w:eastAsia="en-AU"/>
              </w:rPr>
              <w:drawing>
                <wp:inline distT="0" distB="0" distL="0" distR="0">
                  <wp:extent cx="180975" cy="180975"/>
                  <wp:effectExtent l="0" t="0" r="9525" b="9525"/>
                  <wp:docPr id="9" name="Picture 9" descr="Iss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ssu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7330" w:type="dxa"/>
          </w:tcPr>
          <w:p w:rsidR="00E5380A" w:rsidRDefault="00C423A7" w:rsidP="00BF31CD">
            <w:pPr>
              <w:pStyle w:val="Para0"/>
            </w:pPr>
            <w:r>
              <w:t>Major gaps are present and conclusions are not based on the available evidence</w:t>
            </w:r>
            <w:r w:rsidR="00BF31CD">
              <w:t xml:space="preserve"> or sufficiently supported by information</w:t>
            </w:r>
            <w:r>
              <w:t xml:space="preserve">. </w:t>
            </w:r>
            <w:r w:rsidR="00BF31CD">
              <w:t>A more</w:t>
            </w:r>
            <w:r>
              <w:t xml:space="preserve"> detailed </w:t>
            </w:r>
            <w:r w:rsidR="00BF31CD">
              <w:t xml:space="preserve">description, </w:t>
            </w:r>
            <w:r>
              <w:t xml:space="preserve">assessment </w:t>
            </w:r>
            <w:r w:rsidR="00BF31CD">
              <w:t xml:space="preserve">and/or justification for the outcomes of the assessment </w:t>
            </w:r>
            <w:r w:rsidR="001B0F3A">
              <w:t>are</w:t>
            </w:r>
            <w:r>
              <w:t xml:space="preserve"> required.</w:t>
            </w:r>
          </w:p>
        </w:tc>
      </w:tr>
      <w:tr w:rsidR="00E5380A" w:rsidTr="00FD5AA6">
        <w:tc>
          <w:tcPr>
            <w:tcW w:w="2694" w:type="dxa"/>
          </w:tcPr>
          <w:p w:rsidR="00E5380A" w:rsidRDefault="00E5380A" w:rsidP="00E87E9B">
            <w:pPr>
              <w:pStyle w:val="Para0"/>
              <w:jc w:val="center"/>
            </w:pPr>
            <w:r>
              <w:rPr>
                <w:rFonts w:cs="Arial"/>
                <w:b/>
                <w:noProof/>
                <w:color w:val="000000"/>
                <w:szCs w:val="20"/>
                <w:lang w:eastAsia="en-AU"/>
              </w:rPr>
              <w:drawing>
                <wp:inline distT="0" distB="0" distL="0" distR="0">
                  <wp:extent cx="182880" cy="182880"/>
                  <wp:effectExtent l="0" t="0" r="7620" b="7620"/>
                  <wp:docPr id="10" name="Picture 10" descr="assur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ssuranc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7330" w:type="dxa"/>
          </w:tcPr>
          <w:p w:rsidR="00E5380A" w:rsidRDefault="00E5380A" w:rsidP="00C3218B">
            <w:pPr>
              <w:pStyle w:val="Para0"/>
            </w:pPr>
            <w:r>
              <w:t>Not applicable</w:t>
            </w:r>
          </w:p>
        </w:tc>
      </w:tr>
    </w:tbl>
    <w:p w:rsidR="00E5380A" w:rsidRDefault="00E5380A" w:rsidP="00C3218B">
      <w:pPr>
        <w:pStyle w:val="Para0"/>
      </w:pPr>
    </w:p>
    <w:p w:rsidR="007A63B2" w:rsidRDefault="007A63B2" w:rsidP="00C3218B">
      <w:pPr>
        <w:pStyle w:val="Para0"/>
      </w:pPr>
    </w:p>
    <w:p w:rsidR="007A63B2" w:rsidRDefault="007A63B2" w:rsidP="00C3218B">
      <w:pPr>
        <w:pStyle w:val="Para0"/>
        <w:sectPr w:rsidR="007A63B2" w:rsidSect="001047F2">
          <w:pgSz w:w="11901" w:h="16840" w:code="9"/>
          <w:pgMar w:top="567" w:right="851" w:bottom="851" w:left="1134" w:header="567" w:footer="369" w:gutter="0"/>
          <w:cols w:space="0"/>
          <w:formProt w:val="0"/>
          <w:titlePg/>
          <w:docGrid w:linePitch="360"/>
        </w:sectPr>
      </w:pPr>
    </w:p>
    <w:p w:rsidR="001859FD" w:rsidRDefault="00BF31CD" w:rsidP="00BF31CD">
      <w:pPr>
        <w:pStyle w:val="Caption"/>
      </w:pPr>
      <w:bookmarkStart w:id="51" w:name="_Ref369102341"/>
      <w:r>
        <w:lastRenderedPageBreak/>
        <w:t xml:space="preserve">Table </w:t>
      </w:r>
      <w:r w:rsidR="00E954B8">
        <w:fldChar w:fldCharType="begin"/>
      </w:r>
      <w:r w:rsidR="002C4C82">
        <w:instrText xml:space="preserve"> STYLEREF 1 \s </w:instrText>
      </w:r>
      <w:r w:rsidR="00E954B8">
        <w:fldChar w:fldCharType="separate"/>
      </w:r>
      <w:r w:rsidR="00526632">
        <w:rPr>
          <w:noProof/>
        </w:rPr>
        <w:t>8</w:t>
      </w:r>
      <w:r w:rsidR="00E954B8">
        <w:fldChar w:fldCharType="end"/>
      </w:r>
      <w:r w:rsidR="002C4C82">
        <w:noBreakHyphen/>
      </w:r>
      <w:r w:rsidR="00E954B8">
        <w:fldChar w:fldCharType="begin"/>
      </w:r>
      <w:r w:rsidR="002C4C82">
        <w:instrText xml:space="preserve"> SEQ Table \* ARABIC \s 1 </w:instrText>
      </w:r>
      <w:r w:rsidR="00E954B8">
        <w:fldChar w:fldCharType="separate"/>
      </w:r>
      <w:r w:rsidR="00526632">
        <w:rPr>
          <w:noProof/>
        </w:rPr>
        <w:t>2</w:t>
      </w:r>
      <w:r w:rsidR="00E954B8">
        <w:fldChar w:fldCharType="end"/>
      </w:r>
      <w:bookmarkEnd w:id="51"/>
      <w:r>
        <w:t xml:space="preserve"> Summary table of SKM’s assessment of the adequacy of the Strategic Assessment.</w:t>
      </w:r>
    </w:p>
    <w:tbl>
      <w:tblPr>
        <w:tblStyle w:val="Table2"/>
        <w:tblW w:w="0" w:type="auto"/>
        <w:tblLook w:val="04A0" w:firstRow="1" w:lastRow="0" w:firstColumn="1" w:lastColumn="0" w:noHBand="0" w:noVBand="1"/>
      </w:tblPr>
      <w:tblGrid>
        <w:gridCol w:w="2263"/>
        <w:gridCol w:w="1780"/>
        <w:gridCol w:w="1780"/>
        <w:gridCol w:w="1781"/>
        <w:gridCol w:w="1780"/>
        <w:gridCol w:w="1781"/>
        <w:gridCol w:w="3969"/>
      </w:tblGrid>
      <w:tr w:rsidR="00BF31CD" w:rsidTr="00FA0A4E">
        <w:trPr>
          <w:gridAfter w:val="1"/>
          <w:cnfStyle w:val="100000000000" w:firstRow="1" w:lastRow="0" w:firstColumn="0" w:lastColumn="0" w:oddVBand="0" w:evenVBand="0" w:oddHBand="0" w:evenHBand="0" w:firstRowFirstColumn="0" w:firstRowLastColumn="0" w:lastRowFirstColumn="0" w:lastRowLastColumn="0"/>
          <w:wAfter w:w="3969" w:type="dxa"/>
          <w:tblHeader/>
        </w:trPr>
        <w:tc>
          <w:tcPr>
            <w:tcW w:w="2263" w:type="dxa"/>
            <w:tcBorders>
              <w:top w:val="nil"/>
              <w:left w:val="nil"/>
            </w:tcBorders>
            <w:shd w:val="clear" w:color="auto" w:fill="FFFFFF" w:themeFill="background2"/>
          </w:tcPr>
          <w:p w:rsidR="00BF31CD" w:rsidRDefault="00BF31CD" w:rsidP="000E57BC">
            <w:pPr>
              <w:pStyle w:val="Para0"/>
              <w:spacing w:beforeLines="60" w:before="144" w:afterLines="60" w:after="144" w:line="240" w:lineRule="auto"/>
            </w:pPr>
          </w:p>
        </w:tc>
        <w:tc>
          <w:tcPr>
            <w:tcW w:w="8902" w:type="dxa"/>
            <w:gridSpan w:val="5"/>
          </w:tcPr>
          <w:p w:rsidR="00BF31CD" w:rsidRPr="00FD5AA6" w:rsidRDefault="00BF31CD" w:rsidP="000E57BC">
            <w:pPr>
              <w:pStyle w:val="Para0"/>
              <w:spacing w:beforeLines="60" w:before="144" w:afterLines="60" w:after="144" w:line="240" w:lineRule="auto"/>
              <w:jc w:val="center"/>
            </w:pPr>
            <w:r w:rsidRPr="00FD5AA6">
              <w:t xml:space="preserve">Summary of </w:t>
            </w:r>
            <w:r w:rsidR="000E5EF0">
              <w:t>a</w:t>
            </w:r>
            <w:r w:rsidRPr="00FD5AA6">
              <w:t>dequacy of Strategic Assessment</w:t>
            </w:r>
          </w:p>
        </w:tc>
      </w:tr>
      <w:tr w:rsidR="00BF31CD" w:rsidTr="00205CB2">
        <w:trPr>
          <w:cnfStyle w:val="100000000000" w:firstRow="1" w:lastRow="0" w:firstColumn="0" w:lastColumn="0" w:oddVBand="0" w:evenVBand="0" w:oddHBand="0" w:evenHBand="0" w:firstRowFirstColumn="0" w:firstRowLastColumn="0" w:lastRowFirstColumn="0" w:lastRowLastColumn="0"/>
          <w:tblHeader/>
        </w:trPr>
        <w:tc>
          <w:tcPr>
            <w:tcW w:w="2263" w:type="dxa"/>
            <w:vAlign w:val="center"/>
          </w:tcPr>
          <w:p w:rsidR="00BF31CD" w:rsidRPr="00F0234A" w:rsidRDefault="000E5EF0" w:rsidP="000E57BC">
            <w:pPr>
              <w:pStyle w:val="Para0"/>
              <w:spacing w:beforeLines="60" w:before="144" w:afterLines="60" w:after="144" w:line="240" w:lineRule="auto"/>
              <w:jc w:val="center"/>
            </w:pPr>
            <w:r>
              <w:t>Program c</w:t>
            </w:r>
            <w:r w:rsidR="00BF31CD" w:rsidRPr="00F0234A">
              <w:t>omponent</w:t>
            </w:r>
          </w:p>
        </w:tc>
        <w:tc>
          <w:tcPr>
            <w:tcW w:w="1780" w:type="dxa"/>
            <w:vAlign w:val="center"/>
          </w:tcPr>
          <w:p w:rsidR="00BF31CD" w:rsidRPr="00F0234A" w:rsidRDefault="00205CB2" w:rsidP="000E57BC">
            <w:pPr>
              <w:pStyle w:val="Para0"/>
              <w:spacing w:beforeLines="60" w:before="144" w:afterLines="60" w:after="144" w:line="240" w:lineRule="auto"/>
              <w:jc w:val="center"/>
            </w:pPr>
            <w:r>
              <w:t>Coverage of topics</w:t>
            </w:r>
            <w:r w:rsidR="00FA0A4E">
              <w:t xml:space="preserve"> with</w:t>
            </w:r>
            <w:r>
              <w:t>in the</w:t>
            </w:r>
            <w:r w:rsidR="00FA0A4E">
              <w:t xml:space="preserve"> </w:t>
            </w:r>
            <w:r w:rsidR="00BF31CD" w:rsidRPr="00F0234A">
              <w:t>Terms of Reference</w:t>
            </w:r>
          </w:p>
        </w:tc>
        <w:tc>
          <w:tcPr>
            <w:tcW w:w="1780" w:type="dxa"/>
            <w:vAlign w:val="center"/>
          </w:tcPr>
          <w:p w:rsidR="00BF31CD" w:rsidRPr="00F0234A" w:rsidRDefault="000E5EF0" w:rsidP="000E57BC">
            <w:pPr>
              <w:pStyle w:val="Para0"/>
              <w:spacing w:beforeLines="60" w:before="144" w:afterLines="60" w:after="144" w:line="240" w:lineRule="auto"/>
              <w:jc w:val="center"/>
            </w:pPr>
            <w:r>
              <w:t>Structure and c</w:t>
            </w:r>
            <w:r w:rsidR="00BF31CD" w:rsidRPr="00F0234A">
              <w:t>ohesiveness</w:t>
            </w:r>
          </w:p>
        </w:tc>
        <w:tc>
          <w:tcPr>
            <w:tcW w:w="1781" w:type="dxa"/>
            <w:vAlign w:val="center"/>
          </w:tcPr>
          <w:p w:rsidR="00BF31CD" w:rsidRPr="00F0234A" w:rsidRDefault="00BF31CD" w:rsidP="000E57BC">
            <w:pPr>
              <w:pStyle w:val="Para0"/>
              <w:spacing w:beforeLines="60" w:before="144" w:afterLines="60" w:after="144" w:line="240" w:lineRule="auto"/>
              <w:jc w:val="center"/>
            </w:pPr>
            <w:r w:rsidRPr="00F0234A">
              <w:t xml:space="preserve">Breadth and </w:t>
            </w:r>
            <w:r w:rsidR="000E5EF0">
              <w:t>d</w:t>
            </w:r>
            <w:r w:rsidRPr="00F0234A">
              <w:t>epth</w:t>
            </w:r>
          </w:p>
        </w:tc>
        <w:tc>
          <w:tcPr>
            <w:tcW w:w="1780" w:type="dxa"/>
            <w:vAlign w:val="center"/>
          </w:tcPr>
          <w:p w:rsidR="00BF31CD" w:rsidRPr="00F0234A" w:rsidRDefault="00BF31CD" w:rsidP="000E57BC">
            <w:pPr>
              <w:pStyle w:val="Para0"/>
              <w:spacing w:beforeLines="60" w:before="144" w:afterLines="60" w:after="144" w:line="240" w:lineRule="auto"/>
              <w:jc w:val="center"/>
            </w:pPr>
            <w:r w:rsidRPr="00F0234A">
              <w:t xml:space="preserve">Technical </w:t>
            </w:r>
            <w:r w:rsidR="000E5EF0">
              <w:t>a</w:t>
            </w:r>
            <w:r w:rsidR="00D81446">
              <w:t>ccuracy</w:t>
            </w:r>
          </w:p>
        </w:tc>
        <w:tc>
          <w:tcPr>
            <w:tcW w:w="1781" w:type="dxa"/>
            <w:vAlign w:val="center"/>
          </w:tcPr>
          <w:p w:rsidR="00BF31CD" w:rsidRPr="00F0234A" w:rsidRDefault="00BF31CD" w:rsidP="000E57BC">
            <w:pPr>
              <w:pStyle w:val="Para0"/>
              <w:spacing w:beforeLines="60" w:before="144" w:afterLines="60" w:after="144" w:line="240" w:lineRule="auto"/>
              <w:jc w:val="center"/>
            </w:pPr>
            <w:r w:rsidRPr="00F0234A">
              <w:t xml:space="preserve">Validity of </w:t>
            </w:r>
            <w:r w:rsidR="000E5EF0">
              <w:t>c</w:t>
            </w:r>
            <w:r w:rsidRPr="00F0234A">
              <w:t>onclusions</w:t>
            </w:r>
          </w:p>
        </w:tc>
        <w:tc>
          <w:tcPr>
            <w:tcW w:w="3969" w:type="dxa"/>
            <w:vAlign w:val="center"/>
          </w:tcPr>
          <w:p w:rsidR="00BF31CD" w:rsidRPr="00F0234A" w:rsidRDefault="00422008" w:rsidP="000E57BC">
            <w:pPr>
              <w:pStyle w:val="Para0"/>
              <w:spacing w:beforeLines="60" w:before="144" w:afterLines="60" w:after="144" w:line="240" w:lineRule="auto"/>
              <w:jc w:val="center"/>
            </w:pPr>
            <w:r w:rsidRPr="00F0234A">
              <w:t>Key comments, focussing on gaps</w:t>
            </w:r>
          </w:p>
        </w:tc>
      </w:tr>
      <w:tr w:rsidR="00BF31CD" w:rsidTr="00836EB5">
        <w:tc>
          <w:tcPr>
            <w:tcW w:w="2263" w:type="dxa"/>
            <w:vAlign w:val="center"/>
          </w:tcPr>
          <w:p w:rsidR="00BF31CD" w:rsidRPr="00434C20" w:rsidRDefault="00BF31CD" w:rsidP="000E57BC">
            <w:pPr>
              <w:pStyle w:val="Para0"/>
              <w:spacing w:beforeLines="60" w:before="144" w:afterLines="60" w:after="144" w:line="240" w:lineRule="auto"/>
              <w:jc w:val="center"/>
              <w:rPr>
                <w:b/>
              </w:rPr>
            </w:pPr>
            <w:r w:rsidRPr="00434C20">
              <w:rPr>
                <w:b/>
              </w:rPr>
              <w:t>Introduction and objectives</w:t>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12" name="Picture 12"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28" name="Picture 28"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1781"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15" name="Picture 15"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18" name="Picture 18"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89070F"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2880" cy="182880"/>
                  <wp:effectExtent l="0" t="0" r="7620" b="7620"/>
                  <wp:docPr id="14" name="Picture 14" descr="assur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ssuranc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3969" w:type="dxa"/>
          </w:tcPr>
          <w:p w:rsidR="00BF31CD" w:rsidRDefault="009016D0" w:rsidP="000E57BC">
            <w:pPr>
              <w:pStyle w:val="Para0"/>
              <w:spacing w:beforeLines="60" w:before="144" w:afterLines="60" w:after="144" w:line="240" w:lineRule="auto"/>
            </w:pPr>
            <w:r>
              <w:t>No clear objectives</w:t>
            </w:r>
            <w:r w:rsidR="00DD2D3F">
              <w:t xml:space="preserve"> for the Strategic Assessment process.</w:t>
            </w:r>
          </w:p>
        </w:tc>
      </w:tr>
      <w:tr w:rsidR="00BF31CD" w:rsidTr="00836EB5">
        <w:tc>
          <w:tcPr>
            <w:tcW w:w="2263" w:type="dxa"/>
            <w:vAlign w:val="center"/>
          </w:tcPr>
          <w:p w:rsidR="00BF31CD" w:rsidRPr="00434C20" w:rsidRDefault="002B45BB" w:rsidP="000E57BC">
            <w:pPr>
              <w:pStyle w:val="Para0"/>
              <w:spacing w:beforeLines="60" w:before="144" w:afterLines="60" w:after="144" w:line="240" w:lineRule="auto"/>
              <w:jc w:val="center"/>
              <w:rPr>
                <w:b/>
              </w:rPr>
            </w:pPr>
            <w:r>
              <w:rPr>
                <w:b/>
              </w:rPr>
              <w:t>Protecting</w:t>
            </w:r>
            <w:r w:rsidR="00BF31CD" w:rsidRPr="00434C20">
              <w:rPr>
                <w:b/>
              </w:rPr>
              <w:t xml:space="preserve"> MNES</w:t>
            </w:r>
          </w:p>
        </w:tc>
        <w:tc>
          <w:tcPr>
            <w:tcW w:w="1780" w:type="dxa"/>
            <w:vAlign w:val="center"/>
          </w:tcPr>
          <w:p w:rsidR="00BF31CD" w:rsidRDefault="009016D0"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22" name="Picture 22"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2B45BB"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53" name="Picture 53"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1781" w:type="dxa"/>
            <w:vAlign w:val="center"/>
          </w:tcPr>
          <w:p w:rsidR="00BF31CD" w:rsidRDefault="009016D0"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23" name="Picture 23"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26" name="Picture 26"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27" name="Picture 27"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3969" w:type="dxa"/>
          </w:tcPr>
          <w:p w:rsidR="00BF31CD" w:rsidRDefault="00DD2D3F" w:rsidP="000E57BC">
            <w:pPr>
              <w:pStyle w:val="Para0"/>
              <w:spacing w:beforeLines="60" w:before="144" w:afterLines="60" w:after="144" w:line="240" w:lineRule="auto"/>
            </w:pPr>
            <w:r>
              <w:t>Improve use of terms when describing MNES and OUV (e.g. values, attributes and elements).</w:t>
            </w:r>
          </w:p>
        </w:tc>
      </w:tr>
      <w:tr w:rsidR="00BF31CD" w:rsidTr="00836EB5">
        <w:tc>
          <w:tcPr>
            <w:tcW w:w="2263" w:type="dxa"/>
            <w:vAlign w:val="center"/>
          </w:tcPr>
          <w:p w:rsidR="00BF31CD" w:rsidRPr="00434C20" w:rsidRDefault="00BF31CD" w:rsidP="000E57BC">
            <w:pPr>
              <w:pStyle w:val="Para0"/>
              <w:spacing w:beforeLines="60" w:before="144" w:afterLines="60" w:after="144" w:line="240" w:lineRule="auto"/>
              <w:jc w:val="center"/>
              <w:rPr>
                <w:b/>
              </w:rPr>
            </w:pPr>
            <w:r>
              <w:rPr>
                <w:b/>
              </w:rPr>
              <w:t>Description of Program legislation and policies</w:t>
            </w:r>
          </w:p>
        </w:tc>
        <w:tc>
          <w:tcPr>
            <w:tcW w:w="1780" w:type="dxa"/>
            <w:vAlign w:val="center"/>
          </w:tcPr>
          <w:p w:rsidR="00BF31CD" w:rsidRDefault="00BF31CD" w:rsidP="000E57BC">
            <w:pPr>
              <w:pStyle w:val="Para0"/>
              <w:spacing w:beforeLines="60" w:before="144" w:afterLines="60" w:after="144" w:line="240" w:lineRule="auto"/>
              <w:jc w:val="center"/>
              <w:rPr>
                <w:rFonts w:cs="Arial"/>
                <w:b/>
                <w:noProof/>
                <w:sz w:val="16"/>
                <w:szCs w:val="16"/>
                <w:lang w:eastAsia="en-AU"/>
              </w:rPr>
            </w:pPr>
            <w:r>
              <w:rPr>
                <w:rFonts w:cs="Arial"/>
                <w:b/>
                <w:noProof/>
                <w:sz w:val="16"/>
                <w:szCs w:val="16"/>
                <w:lang w:eastAsia="en-AU"/>
              </w:rPr>
              <w:drawing>
                <wp:inline distT="0" distB="0" distL="0" distR="0">
                  <wp:extent cx="182880" cy="182880"/>
                  <wp:effectExtent l="0" t="0" r="7620" b="7620"/>
                  <wp:docPr id="73" name="Picture 73"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9016D0" w:rsidP="000E57BC">
            <w:pPr>
              <w:pStyle w:val="Para0"/>
              <w:spacing w:beforeLines="60" w:before="144" w:afterLines="60" w:after="144" w:line="240" w:lineRule="auto"/>
              <w:jc w:val="center"/>
              <w:rPr>
                <w:rFonts w:cs="Arial"/>
                <w:b/>
                <w:noProof/>
                <w:sz w:val="16"/>
                <w:szCs w:val="16"/>
                <w:lang w:eastAsia="en-AU"/>
              </w:rPr>
            </w:pPr>
            <w:r>
              <w:rPr>
                <w:rFonts w:cs="Arial"/>
                <w:b/>
                <w:noProof/>
                <w:sz w:val="16"/>
                <w:szCs w:val="16"/>
                <w:lang w:eastAsia="en-AU"/>
              </w:rPr>
              <w:drawing>
                <wp:inline distT="0" distB="0" distL="0" distR="0">
                  <wp:extent cx="182880" cy="182880"/>
                  <wp:effectExtent l="0" t="0" r="7620" b="7620"/>
                  <wp:docPr id="30" name="Picture 30"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9016D0" w:rsidP="000E57BC">
            <w:pPr>
              <w:pStyle w:val="Para0"/>
              <w:spacing w:beforeLines="60" w:before="144" w:afterLines="60" w:after="144" w:line="240" w:lineRule="auto"/>
              <w:jc w:val="center"/>
              <w:rPr>
                <w:rFonts w:cs="Arial"/>
                <w:b/>
                <w:noProof/>
                <w:color w:val="000000"/>
                <w:szCs w:val="20"/>
                <w:lang w:eastAsia="en-AU"/>
              </w:rPr>
            </w:pPr>
            <w:r>
              <w:rPr>
                <w:rFonts w:cs="Arial"/>
                <w:b/>
                <w:noProof/>
                <w:sz w:val="16"/>
                <w:szCs w:val="16"/>
                <w:lang w:eastAsia="en-AU"/>
              </w:rPr>
              <w:drawing>
                <wp:inline distT="0" distB="0" distL="0" distR="0">
                  <wp:extent cx="182880" cy="182880"/>
                  <wp:effectExtent l="0" t="0" r="7620" b="7620"/>
                  <wp:docPr id="31" name="Picture 31"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9016D0" w:rsidP="000E57BC">
            <w:pPr>
              <w:pStyle w:val="Para0"/>
              <w:spacing w:beforeLines="60" w:before="144" w:afterLines="60" w:after="144" w:line="240" w:lineRule="auto"/>
              <w:jc w:val="center"/>
              <w:rPr>
                <w:rFonts w:cs="Arial"/>
                <w:b/>
                <w:noProof/>
                <w:color w:val="000000"/>
                <w:szCs w:val="20"/>
                <w:lang w:eastAsia="en-AU"/>
              </w:rPr>
            </w:pPr>
            <w:r>
              <w:rPr>
                <w:rFonts w:cs="Arial"/>
                <w:b/>
                <w:noProof/>
                <w:sz w:val="16"/>
                <w:szCs w:val="16"/>
                <w:lang w:eastAsia="en-AU"/>
              </w:rPr>
              <w:drawing>
                <wp:inline distT="0" distB="0" distL="0" distR="0">
                  <wp:extent cx="182880" cy="182880"/>
                  <wp:effectExtent l="0" t="0" r="7620" b="7620"/>
                  <wp:docPr id="35" name="Picture 35"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BF31CD" w:rsidP="000E57BC">
            <w:pPr>
              <w:pStyle w:val="Para0"/>
              <w:spacing w:beforeLines="60" w:before="144" w:afterLines="60" w:after="144" w:line="240" w:lineRule="auto"/>
              <w:jc w:val="center"/>
              <w:rPr>
                <w:rFonts w:cs="Arial"/>
                <w:b/>
                <w:noProof/>
                <w:sz w:val="16"/>
                <w:szCs w:val="16"/>
                <w:lang w:eastAsia="en-AU"/>
              </w:rPr>
            </w:pPr>
            <w:r>
              <w:rPr>
                <w:rFonts w:cs="Arial"/>
                <w:b/>
                <w:noProof/>
                <w:sz w:val="16"/>
                <w:szCs w:val="16"/>
                <w:lang w:eastAsia="en-AU"/>
              </w:rPr>
              <w:drawing>
                <wp:inline distT="0" distB="0" distL="0" distR="0">
                  <wp:extent cx="182880" cy="182880"/>
                  <wp:effectExtent l="0" t="0" r="7620" b="7620"/>
                  <wp:docPr id="75" name="Picture 75"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3969" w:type="dxa"/>
          </w:tcPr>
          <w:p w:rsidR="00BF31CD" w:rsidRDefault="00EA1119" w:rsidP="000E57BC">
            <w:pPr>
              <w:pStyle w:val="Para0"/>
              <w:spacing w:beforeLines="60" w:before="144" w:afterLines="60" w:after="144" w:line="240" w:lineRule="auto"/>
            </w:pPr>
            <w:r>
              <w:t>A clear description of the management framework is provided</w:t>
            </w:r>
            <w:r w:rsidR="00513D65">
              <w:t xml:space="preserve">. </w:t>
            </w:r>
          </w:p>
        </w:tc>
      </w:tr>
      <w:tr w:rsidR="00BF31CD" w:rsidTr="00836EB5">
        <w:tc>
          <w:tcPr>
            <w:tcW w:w="2263" w:type="dxa"/>
            <w:vAlign w:val="center"/>
          </w:tcPr>
          <w:p w:rsidR="00BF31CD" w:rsidRPr="00434C20" w:rsidRDefault="002B45BB" w:rsidP="000E57BC">
            <w:pPr>
              <w:pStyle w:val="Para0"/>
              <w:spacing w:beforeLines="60" w:before="144" w:afterLines="60" w:after="144" w:line="240" w:lineRule="auto"/>
              <w:jc w:val="center"/>
              <w:rPr>
                <w:b/>
              </w:rPr>
            </w:pPr>
            <w:r>
              <w:rPr>
                <w:b/>
              </w:rPr>
              <w:t>Environmental Regulation</w:t>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57" name="Picture 57"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58" name="Picture 58"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CB49E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90" name="Picture 90"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2B45BB"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70" name="Picture 70"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CB49ED"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91" name="Picture 91"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3969" w:type="dxa"/>
          </w:tcPr>
          <w:p w:rsidR="00BF31CD" w:rsidRDefault="0026016A" w:rsidP="000E57BC">
            <w:pPr>
              <w:pStyle w:val="Para0"/>
              <w:spacing w:beforeLines="60" w:before="144" w:afterLines="60" w:after="144" w:line="240" w:lineRule="auto"/>
            </w:pPr>
            <w:r>
              <w:t>Diverse range of tools in legislation, policy and management plans. Further description of scale of implementation would be useful.</w:t>
            </w:r>
          </w:p>
        </w:tc>
      </w:tr>
      <w:tr w:rsidR="00BF31CD" w:rsidTr="00836EB5">
        <w:tc>
          <w:tcPr>
            <w:tcW w:w="2263" w:type="dxa"/>
            <w:vAlign w:val="center"/>
          </w:tcPr>
          <w:p w:rsidR="00BF31CD" w:rsidRPr="00434C20" w:rsidRDefault="002B45BB" w:rsidP="000E57BC">
            <w:pPr>
              <w:pStyle w:val="Para0"/>
              <w:spacing w:beforeLines="60" w:before="144" w:afterLines="60" w:after="144" w:line="240" w:lineRule="auto"/>
              <w:jc w:val="center"/>
              <w:rPr>
                <w:b/>
              </w:rPr>
            </w:pPr>
            <w:r>
              <w:rPr>
                <w:b/>
              </w:rPr>
              <w:t>Engagement</w:t>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62" name="Picture 62"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63" name="Picture 63"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2B45BB"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72" name="Picture 72"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65" name="Picture 65"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66" name="Picture 66"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3969" w:type="dxa"/>
          </w:tcPr>
          <w:p w:rsidR="00BF31CD" w:rsidRDefault="002B45BB" w:rsidP="000E57BC">
            <w:pPr>
              <w:pStyle w:val="Para0"/>
              <w:spacing w:beforeLines="60" w:before="144" w:afterLines="60" w:after="144" w:line="240" w:lineRule="auto"/>
            </w:pPr>
            <w:r>
              <w:t xml:space="preserve">Tourism </w:t>
            </w:r>
            <w:r w:rsidR="00B25D0B">
              <w:t xml:space="preserve">is a </w:t>
            </w:r>
            <w:r>
              <w:t xml:space="preserve">strength. </w:t>
            </w:r>
            <w:r w:rsidR="00B25D0B">
              <w:t>Influence outside of the marine park lacks the traction needed to improve outcomes</w:t>
            </w:r>
            <w:r w:rsidR="00763937">
              <w:t xml:space="preserve">, because </w:t>
            </w:r>
            <w:r w:rsidR="005925BF">
              <w:t xml:space="preserve">some </w:t>
            </w:r>
            <w:r w:rsidR="00763937">
              <w:t xml:space="preserve">stakeholders </w:t>
            </w:r>
            <w:r w:rsidR="00C47949">
              <w:t>may</w:t>
            </w:r>
            <w:r w:rsidR="00763937">
              <w:t xml:space="preserve"> not </w:t>
            </w:r>
            <w:r w:rsidR="00C47949">
              <w:t xml:space="preserve">be </w:t>
            </w:r>
            <w:r w:rsidR="00763937">
              <w:t>effectively engaged and may have differing priorities</w:t>
            </w:r>
            <w:r w:rsidR="00551E8D">
              <w:t xml:space="preserve"> (e.g. the agricultural sector).</w:t>
            </w:r>
          </w:p>
        </w:tc>
      </w:tr>
      <w:tr w:rsidR="00BF31CD" w:rsidTr="00836EB5">
        <w:tc>
          <w:tcPr>
            <w:tcW w:w="2263" w:type="dxa"/>
            <w:vAlign w:val="center"/>
          </w:tcPr>
          <w:p w:rsidR="00BF31CD" w:rsidRPr="00434C20" w:rsidRDefault="002B45BB" w:rsidP="000E57BC">
            <w:pPr>
              <w:pStyle w:val="Para0"/>
              <w:spacing w:beforeLines="60" w:before="144" w:afterLines="60" w:after="144" w:line="240" w:lineRule="auto"/>
              <w:jc w:val="center"/>
              <w:rPr>
                <w:b/>
              </w:rPr>
            </w:pPr>
            <w:r>
              <w:rPr>
                <w:b/>
              </w:rPr>
              <w:t xml:space="preserve">Knowledge, integration and </w:t>
            </w:r>
            <w:r>
              <w:rPr>
                <w:b/>
              </w:rPr>
              <w:lastRenderedPageBreak/>
              <w:t>innovation</w:t>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lastRenderedPageBreak/>
              <w:drawing>
                <wp:inline distT="0" distB="0" distL="0" distR="0">
                  <wp:extent cx="182880" cy="182880"/>
                  <wp:effectExtent l="0" t="0" r="7620" b="7620"/>
                  <wp:docPr id="67" name="Picture 67"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68" name="Picture 68"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2B45BB"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74" name="Picture 74"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26016A"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2" name="Picture 2"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1781" w:type="dxa"/>
            <w:vAlign w:val="center"/>
          </w:tcPr>
          <w:p w:rsidR="00BF31CD" w:rsidRDefault="002B45BB"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78" name="Picture 78"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3969" w:type="dxa"/>
          </w:tcPr>
          <w:p w:rsidR="00BF31CD" w:rsidRDefault="00B25D0B" w:rsidP="000E57BC">
            <w:pPr>
              <w:pStyle w:val="Para0"/>
              <w:spacing w:beforeLines="60" w:before="144" w:afterLines="60" w:after="144" w:line="240" w:lineRule="auto"/>
            </w:pPr>
            <w:r>
              <w:t>The “act, monitor,</w:t>
            </w:r>
            <w:r w:rsidR="002B45BB">
              <w:t xml:space="preserve"> check</w:t>
            </w:r>
            <w:r>
              <w:t>”</w:t>
            </w:r>
            <w:r w:rsidR="002B45BB">
              <w:t xml:space="preserve"> step</w:t>
            </w:r>
            <w:r>
              <w:t xml:space="preserve"> is </w:t>
            </w:r>
            <w:r w:rsidR="002B45BB">
              <w:t>often missing.</w:t>
            </w:r>
            <w:r w:rsidR="0026016A">
              <w:t xml:space="preserve"> Data deficient attributes are </w:t>
            </w:r>
            <w:r w:rsidR="0026016A">
              <w:lastRenderedPageBreak/>
              <w:t>assessed as being in good condition, with</w:t>
            </w:r>
            <w:r w:rsidR="00763937">
              <w:t>out rigorous science, skewing the overall picture. Methods for obtaining expert opinion could be explained in more detail</w:t>
            </w:r>
            <w:r w:rsidR="00AC077A">
              <w:t>, with a discussion on how the information presented is the best available science (in the absence of published scientific information).</w:t>
            </w:r>
          </w:p>
        </w:tc>
      </w:tr>
      <w:tr w:rsidR="00BF31CD" w:rsidTr="00836EB5">
        <w:tc>
          <w:tcPr>
            <w:tcW w:w="2263" w:type="dxa"/>
            <w:vAlign w:val="center"/>
          </w:tcPr>
          <w:p w:rsidR="00BF31CD" w:rsidRPr="00434C20" w:rsidRDefault="002B45BB" w:rsidP="000E57BC">
            <w:pPr>
              <w:pStyle w:val="Para0"/>
              <w:spacing w:beforeLines="60" w:before="144" w:afterLines="60" w:after="144" w:line="240" w:lineRule="auto"/>
              <w:jc w:val="center"/>
              <w:rPr>
                <w:b/>
              </w:rPr>
            </w:pPr>
            <w:r>
              <w:rPr>
                <w:b/>
              </w:rPr>
              <w:lastRenderedPageBreak/>
              <w:t>Addressing spatial scale</w:t>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55" name="Picture 55"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54" name="Picture 54"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2B45BB"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84" name="Picture 84"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52" name="Picture 52"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2B45BB"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83" name="Picture 83"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3969" w:type="dxa"/>
          </w:tcPr>
          <w:p w:rsidR="00BF31CD" w:rsidRDefault="002B45BB" w:rsidP="000E57BC">
            <w:pPr>
              <w:pStyle w:val="Para0"/>
              <w:spacing w:beforeLines="60" w:before="144" w:afterLines="60" w:after="144" w:line="240" w:lineRule="auto"/>
            </w:pPr>
            <w:r>
              <w:t>Good</w:t>
            </w:r>
            <w:r w:rsidR="00B25D0B">
              <w:t xml:space="preserve"> overall. When discussed at a whole-of-Great Barrier Reef scale, the significance of </w:t>
            </w:r>
            <w:r w:rsidR="00FD0620">
              <w:t xml:space="preserve">the </w:t>
            </w:r>
            <w:r w:rsidR="00B25D0B">
              <w:t>decline</w:t>
            </w:r>
            <w:r w:rsidR="00FD0620">
              <w:t xml:space="preserve"> in condition of</w:t>
            </w:r>
            <w:r w:rsidR="00B25D0B">
              <w:t xml:space="preserve"> the southern inshore region </w:t>
            </w:r>
            <w:r w:rsidR="000E5EF0">
              <w:t>is sometimes</w:t>
            </w:r>
            <w:r w:rsidR="00B25D0B">
              <w:t xml:space="preserve"> underemphasised.</w:t>
            </w:r>
          </w:p>
        </w:tc>
      </w:tr>
      <w:tr w:rsidR="00BF31CD" w:rsidTr="00836EB5">
        <w:tc>
          <w:tcPr>
            <w:tcW w:w="2263" w:type="dxa"/>
            <w:vAlign w:val="center"/>
          </w:tcPr>
          <w:p w:rsidR="00BF31CD" w:rsidRPr="00434C20" w:rsidRDefault="000E5EF0" w:rsidP="000E57BC">
            <w:pPr>
              <w:pStyle w:val="Para0"/>
              <w:spacing w:beforeLines="60" w:before="144" w:afterLines="60" w:after="144" w:line="240" w:lineRule="auto"/>
              <w:jc w:val="center"/>
              <w:rPr>
                <w:b/>
              </w:rPr>
            </w:pPr>
            <w:r>
              <w:rPr>
                <w:b/>
              </w:rPr>
              <w:t>Strengthened m</w:t>
            </w:r>
            <w:r w:rsidR="00BF31CD" w:rsidRPr="00434C20">
              <w:rPr>
                <w:b/>
              </w:rPr>
              <w:t>anagement</w:t>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34" name="Picture 34"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2B45BB"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85" name="Picture 85"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2B45BB"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88" name="Picture 88"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36" name="Picture 36"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2B45BB"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87" name="Picture 87"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3969" w:type="dxa"/>
          </w:tcPr>
          <w:p w:rsidR="00BF31CD" w:rsidRDefault="00103C7D" w:rsidP="000E57BC">
            <w:pPr>
              <w:pStyle w:val="Para0"/>
              <w:spacing w:beforeLines="60" w:before="144" w:afterLines="60" w:after="144" w:line="240" w:lineRule="auto"/>
            </w:pPr>
            <w:r>
              <w:t>The right kind of initiatives</w:t>
            </w:r>
            <w:r w:rsidR="00B25D0B">
              <w:t xml:space="preserve"> are proposed</w:t>
            </w:r>
            <w:r>
              <w:t xml:space="preserve">, but </w:t>
            </w:r>
            <w:r w:rsidR="00AC077A">
              <w:t>resources appear to be lacking to implement them at the scale required</w:t>
            </w:r>
            <w:r w:rsidR="00B25D0B">
              <w:t>.</w:t>
            </w:r>
          </w:p>
        </w:tc>
      </w:tr>
      <w:tr w:rsidR="00BF31CD" w:rsidTr="00FA0A4E">
        <w:tc>
          <w:tcPr>
            <w:tcW w:w="2263" w:type="dxa"/>
            <w:vAlign w:val="center"/>
          </w:tcPr>
          <w:p w:rsidR="00BF31CD" w:rsidRPr="00434C20" w:rsidRDefault="00A310AD" w:rsidP="000E57BC">
            <w:pPr>
              <w:pStyle w:val="Para0"/>
              <w:spacing w:beforeLines="60" w:before="144" w:afterLines="60" w:after="144" w:line="240" w:lineRule="auto"/>
              <w:jc w:val="center"/>
              <w:rPr>
                <w:b/>
              </w:rPr>
            </w:pPr>
            <w:r>
              <w:rPr>
                <w:b/>
              </w:rPr>
              <w:t>Forward c</w:t>
            </w:r>
            <w:r w:rsidR="00BF31CD" w:rsidRPr="00434C20">
              <w:rPr>
                <w:b/>
              </w:rPr>
              <w:t>ommitments</w:t>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29" name="Picture 29"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2B45BB"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89" name="Picture 89"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BF31CD"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32" name="Picture 32" descr="Issu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ssu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1780" w:type="dxa"/>
            <w:vAlign w:val="center"/>
          </w:tcPr>
          <w:p w:rsidR="00BF31CD" w:rsidRDefault="00D42145"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19" name="Picture 19"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BF31CD"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33" name="Picture 33"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3969" w:type="dxa"/>
          </w:tcPr>
          <w:p w:rsidR="00BF31CD" w:rsidRDefault="00B25D0B" w:rsidP="000E57BC">
            <w:pPr>
              <w:pStyle w:val="Para0"/>
              <w:spacing w:beforeLines="60" w:before="144" w:afterLines="60" w:after="144" w:line="240" w:lineRule="auto"/>
            </w:pPr>
            <w:r>
              <w:t xml:space="preserve">Forward commitments are processes </w:t>
            </w:r>
            <w:r w:rsidR="0026016A">
              <w:t>rather tha</w:t>
            </w:r>
            <w:r>
              <w:t>n outcome-</w:t>
            </w:r>
            <w:r w:rsidR="0026016A">
              <w:t>focussed</w:t>
            </w:r>
            <w:r w:rsidR="00AC077A">
              <w:t xml:space="preserve"> and are not of a scale required to address the declining MNES</w:t>
            </w:r>
            <w:r w:rsidR="0026016A">
              <w:t xml:space="preserve">. </w:t>
            </w:r>
            <w:r>
              <w:t xml:space="preserve">They are </w:t>
            </w:r>
            <w:r w:rsidR="00AC077A">
              <w:t xml:space="preserve">also </w:t>
            </w:r>
            <w:r>
              <w:t>n</w:t>
            </w:r>
            <w:r w:rsidR="0026016A">
              <w:t>ot aligned with key gaps</w:t>
            </w:r>
            <w:r w:rsidR="00AC077A">
              <w:t xml:space="preserve"> in the current Program.</w:t>
            </w:r>
          </w:p>
        </w:tc>
      </w:tr>
      <w:tr w:rsidR="00BF31CD" w:rsidTr="00FA0A4E">
        <w:tc>
          <w:tcPr>
            <w:tcW w:w="2263" w:type="dxa"/>
            <w:vAlign w:val="center"/>
          </w:tcPr>
          <w:p w:rsidR="00BF31CD" w:rsidRPr="00434C20" w:rsidRDefault="000E5EF0" w:rsidP="000E57BC">
            <w:pPr>
              <w:pStyle w:val="Para0"/>
              <w:spacing w:beforeLines="60" w:before="144" w:afterLines="60" w:after="144" w:line="240" w:lineRule="auto"/>
              <w:jc w:val="center"/>
              <w:rPr>
                <w:b/>
              </w:rPr>
            </w:pPr>
            <w:r>
              <w:rPr>
                <w:b/>
              </w:rPr>
              <w:t>Implementation and g</w:t>
            </w:r>
            <w:r w:rsidR="00BF31CD" w:rsidRPr="00434C20">
              <w:rPr>
                <w:b/>
              </w:rPr>
              <w:t>overnance</w:t>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44" name="Picture 44"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43" name="Picture 43"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BF31CD"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40" name="Picture 40"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1780" w:type="dxa"/>
            <w:vAlign w:val="center"/>
          </w:tcPr>
          <w:p w:rsidR="00BF31CD" w:rsidRDefault="00CB49E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92" name="Picture 92"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42" name="Picture 42"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3969" w:type="dxa"/>
          </w:tcPr>
          <w:p w:rsidR="00BF31CD" w:rsidRDefault="002B45BB" w:rsidP="000E57BC">
            <w:pPr>
              <w:pStyle w:val="Para0"/>
              <w:spacing w:beforeLines="60" w:before="144" w:afterLines="60" w:after="144" w:line="240" w:lineRule="auto"/>
            </w:pPr>
            <w:r>
              <w:t>No discussion of</w:t>
            </w:r>
            <w:r w:rsidR="00B25D0B">
              <w:t xml:space="preserve"> the</w:t>
            </w:r>
            <w:r>
              <w:t xml:space="preserve"> adequacy of resources</w:t>
            </w:r>
            <w:r w:rsidR="00B25D0B">
              <w:t xml:space="preserve"> to meet the challenges </w:t>
            </w:r>
            <w:r w:rsidR="00B25D0B">
              <w:lastRenderedPageBreak/>
              <w:t>identified in the assessment.</w:t>
            </w:r>
            <w:r w:rsidR="00A2494F">
              <w:t xml:space="preserve"> Demonstration of strong collaboration with the Queensland Government could be improved.</w:t>
            </w:r>
          </w:p>
        </w:tc>
      </w:tr>
      <w:tr w:rsidR="00BF31CD" w:rsidTr="00FA0A4E">
        <w:tc>
          <w:tcPr>
            <w:tcW w:w="2263" w:type="dxa"/>
            <w:vAlign w:val="center"/>
          </w:tcPr>
          <w:p w:rsidR="00BF31CD" w:rsidRPr="00434C20" w:rsidRDefault="00BF31CD" w:rsidP="000E57BC">
            <w:pPr>
              <w:pStyle w:val="Para0"/>
              <w:spacing w:beforeLines="60" w:before="144" w:afterLines="60" w:after="144" w:line="240" w:lineRule="auto"/>
              <w:jc w:val="center"/>
              <w:rPr>
                <w:b/>
              </w:rPr>
            </w:pPr>
            <w:r w:rsidRPr="00434C20">
              <w:rPr>
                <w:b/>
              </w:rPr>
              <w:lastRenderedPageBreak/>
              <w:t xml:space="preserve">Demonstration </w:t>
            </w:r>
            <w:r w:rsidR="000E5EF0">
              <w:rPr>
                <w:b/>
              </w:rPr>
              <w:t>c</w:t>
            </w:r>
            <w:r w:rsidRPr="00434C20">
              <w:rPr>
                <w:b/>
              </w:rPr>
              <w:t>ases</w:t>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45" name="Picture 45"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46" name="Picture 46"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AC077A" w:rsidP="000E57BC">
            <w:pPr>
              <w:pStyle w:val="Para0"/>
              <w:spacing w:beforeLines="60" w:before="144" w:afterLines="60" w:after="144" w:line="240" w:lineRule="auto"/>
              <w:jc w:val="center"/>
            </w:pPr>
            <w:r>
              <w:rPr>
                <w:rFonts w:cs="Arial"/>
                <w:b/>
                <w:noProof/>
                <w:color w:val="000000"/>
                <w:szCs w:val="20"/>
                <w:lang w:eastAsia="en-AU"/>
              </w:rPr>
              <w:drawing>
                <wp:inline distT="0" distB="0" distL="0" distR="0">
                  <wp:extent cx="180975" cy="180975"/>
                  <wp:effectExtent l="0" t="0" r="9525" b="9525"/>
                  <wp:docPr id="3" name="Picture 3" descr="Ca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aution"/>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80975" cy="180975"/>
                          </a:xfrm>
                          <a:prstGeom prst="rect">
                            <a:avLst/>
                          </a:prstGeom>
                          <a:noFill/>
                          <a:ln>
                            <a:noFill/>
                          </a:ln>
                        </pic:spPr>
                      </pic:pic>
                    </a:graphicData>
                  </a:graphic>
                </wp:inline>
              </w:drawing>
            </w:r>
          </w:p>
        </w:tc>
        <w:tc>
          <w:tcPr>
            <w:tcW w:w="1780"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48" name="Picture 48"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1781" w:type="dxa"/>
            <w:vAlign w:val="center"/>
          </w:tcPr>
          <w:p w:rsidR="00BF31CD" w:rsidRDefault="00BF31CD" w:rsidP="000E57BC">
            <w:pPr>
              <w:pStyle w:val="Para0"/>
              <w:spacing w:beforeLines="60" w:before="144" w:afterLines="60" w:after="144" w:line="240" w:lineRule="auto"/>
              <w:jc w:val="center"/>
            </w:pPr>
            <w:r>
              <w:rPr>
                <w:rFonts w:cs="Arial"/>
                <w:b/>
                <w:noProof/>
                <w:sz w:val="16"/>
                <w:szCs w:val="16"/>
                <w:lang w:eastAsia="en-AU"/>
              </w:rPr>
              <w:drawing>
                <wp:inline distT="0" distB="0" distL="0" distR="0">
                  <wp:extent cx="182880" cy="182880"/>
                  <wp:effectExtent l="0" t="0" r="7620" b="7620"/>
                  <wp:docPr id="49" name="Picture 49" descr="contr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tract"/>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82880" cy="182880"/>
                          </a:xfrm>
                          <a:prstGeom prst="rect">
                            <a:avLst/>
                          </a:prstGeom>
                          <a:noFill/>
                          <a:ln>
                            <a:noFill/>
                          </a:ln>
                        </pic:spPr>
                      </pic:pic>
                    </a:graphicData>
                  </a:graphic>
                </wp:inline>
              </w:drawing>
            </w:r>
          </w:p>
        </w:tc>
        <w:tc>
          <w:tcPr>
            <w:tcW w:w="3969" w:type="dxa"/>
          </w:tcPr>
          <w:p w:rsidR="00BF31CD" w:rsidRDefault="0026016A" w:rsidP="000E57BC">
            <w:pPr>
              <w:pStyle w:val="Para0"/>
              <w:spacing w:beforeLines="60" w:before="144" w:afterLines="60" w:after="144" w:line="240" w:lineRule="auto"/>
            </w:pPr>
            <w:r>
              <w:t xml:space="preserve">Good examples </w:t>
            </w:r>
            <w:r w:rsidR="00AC077A">
              <w:t xml:space="preserve">are </w:t>
            </w:r>
            <w:r w:rsidR="00A2494F">
              <w:t>summarised</w:t>
            </w:r>
            <w:r>
              <w:t xml:space="preserve">. </w:t>
            </w:r>
            <w:r w:rsidR="00A2494F">
              <w:t xml:space="preserve">No detailed demonstration cases </w:t>
            </w:r>
            <w:r w:rsidR="00AC077A">
              <w:t xml:space="preserve">were </w:t>
            </w:r>
            <w:r w:rsidR="00A2494F">
              <w:t xml:space="preserve">published at </w:t>
            </w:r>
            <w:r w:rsidR="00AC077A">
              <w:t xml:space="preserve">the </w:t>
            </w:r>
            <w:r w:rsidR="00A2494F">
              <w:t xml:space="preserve">time of </w:t>
            </w:r>
            <w:r w:rsidR="00AC077A">
              <w:t xml:space="preserve">the </w:t>
            </w:r>
            <w:r w:rsidR="00A2494F">
              <w:t xml:space="preserve">review. </w:t>
            </w:r>
            <w:r w:rsidR="00AC077A">
              <w:t>The fisheries</w:t>
            </w:r>
            <w:r w:rsidR="00A2494F">
              <w:t xml:space="preserve"> demonstration case appears more relevant to</w:t>
            </w:r>
            <w:r w:rsidR="00AC077A">
              <w:t xml:space="preserve"> the</w:t>
            </w:r>
            <w:r w:rsidR="00A2494F">
              <w:t xml:space="preserve"> Queensland Government Program.</w:t>
            </w:r>
          </w:p>
        </w:tc>
      </w:tr>
    </w:tbl>
    <w:p w:rsidR="00BF31CD" w:rsidRDefault="00BF31CD" w:rsidP="00C3218B">
      <w:pPr>
        <w:pStyle w:val="Para0"/>
        <w:sectPr w:rsidR="00BF31CD" w:rsidSect="00444F74">
          <w:pgSz w:w="16840" w:h="11901" w:orient="landscape" w:code="9"/>
          <w:pgMar w:top="1134" w:right="567" w:bottom="851" w:left="851" w:header="567" w:footer="369" w:gutter="0"/>
          <w:cols w:space="0"/>
          <w:formProt w:val="0"/>
          <w:titlePg/>
          <w:docGrid w:linePitch="360"/>
        </w:sectPr>
      </w:pPr>
    </w:p>
    <w:p w:rsidR="003E3DDE" w:rsidRDefault="005925BF" w:rsidP="003E3DDE">
      <w:pPr>
        <w:pStyle w:val="Heading2"/>
      </w:pPr>
      <w:bookmarkStart w:id="52" w:name="_Toc378857226"/>
      <w:r>
        <w:lastRenderedPageBreak/>
        <w:t>Our</w:t>
      </w:r>
      <w:r w:rsidR="008E331A">
        <w:t xml:space="preserve"> </w:t>
      </w:r>
      <w:r w:rsidR="00010B30">
        <w:t>overarching</w:t>
      </w:r>
      <w:r>
        <w:t xml:space="preserve"> view</w:t>
      </w:r>
      <w:bookmarkEnd w:id="52"/>
    </w:p>
    <w:p w:rsidR="005B2C51" w:rsidRDefault="005B2C51" w:rsidP="005B2C51">
      <w:pPr>
        <w:pStyle w:val="Para0"/>
      </w:pPr>
      <w:r>
        <w:t xml:space="preserve">In </w:t>
      </w:r>
      <w:r w:rsidR="00D84D37">
        <w:t xml:space="preserve">the </w:t>
      </w:r>
      <w:r>
        <w:t xml:space="preserve">2009 Outlook Report </w:t>
      </w:r>
      <w:r w:rsidR="00DC42C5">
        <w:t xml:space="preserve">(GBRMPA 2009) </w:t>
      </w:r>
      <w:r>
        <w:t>the Authority Chair, Dr Russell Reichelt, stated that: “The outlook for the Great Barrier Reef ecosystem is at a crossroad, and it is decisions made in the next few years that are likely to determine its long-term future. Given the strong management of the Great Barrier Reef, it is likely that the ecosystem will survive better under the pressure of accumulating risks than most reef ecosystems around the world.”</w:t>
      </w:r>
    </w:p>
    <w:p w:rsidR="005925BF" w:rsidRDefault="005B2C51" w:rsidP="005B2C51">
      <w:pPr>
        <w:pStyle w:val="Para0"/>
      </w:pPr>
      <w:r>
        <w:t>Since that statement, peer-reviewed studies have shown that the condition of foundational ec</w:t>
      </w:r>
      <w:r w:rsidR="00D84D37">
        <w:t>osystems (e.g. coral reefs, sea</w:t>
      </w:r>
      <w:r>
        <w:t>grass</w:t>
      </w:r>
      <w:r w:rsidR="00D84D37">
        <w:t xml:space="preserve"> habitats</w:t>
      </w:r>
      <w:r>
        <w:t xml:space="preserve">) and species (e.g. dugongs, turtles, sharks) within the </w:t>
      </w:r>
      <w:r w:rsidR="00D84D37">
        <w:t>Great Barrier Reef World Heritage Area</w:t>
      </w:r>
      <w:r>
        <w:t xml:space="preserve"> have declined very significantly</w:t>
      </w:r>
      <w:r w:rsidR="00FD0620">
        <w:t>. This is</w:t>
      </w:r>
      <w:r>
        <w:t xml:space="preserve"> particularly </w:t>
      </w:r>
      <w:r w:rsidR="00FD0620">
        <w:t xml:space="preserve">true </w:t>
      </w:r>
      <w:r>
        <w:t xml:space="preserve">in the southern two thirds of the region where human activities </w:t>
      </w:r>
      <w:r w:rsidR="00FD0620">
        <w:t xml:space="preserve">such as </w:t>
      </w:r>
      <w:r w:rsidR="00D84D37">
        <w:t>agriculture and</w:t>
      </w:r>
      <w:r>
        <w:t xml:space="preserve"> coastal development are </w:t>
      </w:r>
      <w:r w:rsidR="00FD0620">
        <w:t xml:space="preserve">affecting </w:t>
      </w:r>
      <w:r>
        <w:t xml:space="preserve">the quality of </w:t>
      </w:r>
      <w:r w:rsidR="00FD0620">
        <w:t xml:space="preserve">water in </w:t>
      </w:r>
      <w:r>
        <w:t xml:space="preserve">the reef lagoon. </w:t>
      </w:r>
    </w:p>
    <w:p w:rsidR="005B2C51" w:rsidRDefault="005925BF" w:rsidP="005B2C51">
      <w:pPr>
        <w:pStyle w:val="Para0"/>
      </w:pPr>
      <w:r>
        <w:t>Based upon the evidence presented in the Strategic Assessment, it</w:t>
      </w:r>
      <w:r w:rsidR="005B2C51">
        <w:t xml:space="preserve"> would seem reasonable to suggest t</w:t>
      </w:r>
      <w:r>
        <w:t xml:space="preserve">hat </w:t>
      </w:r>
      <w:r w:rsidR="005B2C51">
        <w:t xml:space="preserve">the reef has now travelled through the crossroads and is on course towards even greater decline </w:t>
      </w:r>
      <w:r w:rsidR="009E2CBD">
        <w:t>in the absence of</w:t>
      </w:r>
      <w:r w:rsidR="005B2C51">
        <w:t xml:space="preserve"> significant interventions. Arguably, the GBRMPA Program </w:t>
      </w:r>
      <w:r w:rsidR="00D84D37">
        <w:t>should</w:t>
      </w:r>
      <w:r w:rsidR="005B2C51">
        <w:t xml:space="preserve"> </w:t>
      </w:r>
      <w:r w:rsidR="00AC077A">
        <w:t>include</w:t>
      </w:r>
      <w:r w:rsidR="005B2C51">
        <w:t xml:space="preserve"> restoration ecology actions </w:t>
      </w:r>
      <w:r w:rsidR="00ED7B8C">
        <w:t xml:space="preserve">as well as protective management, and move away from </w:t>
      </w:r>
      <w:r w:rsidR="005B2C51">
        <w:t xml:space="preserve">an assumption that the reef </w:t>
      </w:r>
      <w:r w:rsidR="00D84D37">
        <w:t>will</w:t>
      </w:r>
      <w:r w:rsidR="005B2C51">
        <w:t xml:space="preserve"> be </w:t>
      </w:r>
      <w:r w:rsidR="00ED7B8C">
        <w:t>protected</w:t>
      </w:r>
      <w:r w:rsidR="005B2C51">
        <w:t xml:space="preserve"> with the current approaches to halting and reversing the declines.    </w:t>
      </w:r>
    </w:p>
    <w:p w:rsidR="005B2C51" w:rsidRDefault="005B2C51" w:rsidP="005B2C51">
      <w:pPr>
        <w:pStyle w:val="Para0"/>
      </w:pPr>
      <w:r>
        <w:t xml:space="preserve">Given this, a reasonable expectation of the Queensland and </w:t>
      </w:r>
      <w:r w:rsidR="001025F3">
        <w:t xml:space="preserve">GBRMPA </w:t>
      </w:r>
      <w:r>
        <w:t xml:space="preserve">Program Reports is that they should provide a compelling case for how they will </w:t>
      </w:r>
      <w:r w:rsidR="002714A9">
        <w:t>deliver</w:t>
      </w:r>
      <w:r>
        <w:t xml:space="preserve"> significantly improved</w:t>
      </w:r>
      <w:r w:rsidR="00ED7B8C">
        <w:t>, adequately resourced</w:t>
      </w:r>
      <w:r>
        <w:t xml:space="preserve"> and timely management of </w:t>
      </w:r>
      <w:r w:rsidRPr="00ED7B8C">
        <w:t xml:space="preserve">risk for the </w:t>
      </w:r>
      <w:r w:rsidR="005925BF">
        <w:t xml:space="preserve">Great Barrier Reef </w:t>
      </w:r>
      <w:r w:rsidR="00ED7B8C" w:rsidRPr="00ED7B8C">
        <w:t>W</w:t>
      </w:r>
      <w:r w:rsidR="00D84D37" w:rsidRPr="00ED7B8C">
        <w:t xml:space="preserve">orld </w:t>
      </w:r>
      <w:r w:rsidR="00ED7B8C" w:rsidRPr="00ED7B8C">
        <w:t>H</w:t>
      </w:r>
      <w:r w:rsidR="00D84D37" w:rsidRPr="00ED7B8C">
        <w:t xml:space="preserve">eritage </w:t>
      </w:r>
      <w:r w:rsidR="00ED7B8C" w:rsidRPr="00ED7B8C">
        <w:t>A</w:t>
      </w:r>
      <w:r w:rsidR="00D84D37" w:rsidRPr="00ED7B8C">
        <w:t>rea</w:t>
      </w:r>
      <w:r>
        <w:t xml:space="preserve">. Critical to achieving </w:t>
      </w:r>
      <w:r w:rsidR="00ED7B8C">
        <w:t>a halt to the declining condition of MNES</w:t>
      </w:r>
      <w:r>
        <w:t xml:space="preserve"> across the vast region encompassed within the </w:t>
      </w:r>
      <w:r w:rsidR="00ED7B8C">
        <w:t>World H</w:t>
      </w:r>
      <w:r w:rsidR="00D84D37">
        <w:t xml:space="preserve">eritage </w:t>
      </w:r>
      <w:r w:rsidR="00ED7B8C">
        <w:t>A</w:t>
      </w:r>
      <w:r w:rsidR="00D84D37">
        <w:t>rea</w:t>
      </w:r>
      <w:r>
        <w:t xml:space="preserve"> will be the scale and effectiveness of interventions proposed within the </w:t>
      </w:r>
      <w:r w:rsidR="00D84D37">
        <w:t xml:space="preserve">future </w:t>
      </w:r>
      <w:r>
        <w:t xml:space="preserve">programs. </w:t>
      </w:r>
    </w:p>
    <w:p w:rsidR="005B2C51" w:rsidRDefault="005B2C51" w:rsidP="005B2C51">
      <w:pPr>
        <w:pStyle w:val="Para0"/>
      </w:pPr>
      <w:r>
        <w:t xml:space="preserve">The </w:t>
      </w:r>
      <w:r w:rsidR="001025F3">
        <w:t>GBRMPA</w:t>
      </w:r>
      <w:r>
        <w:t xml:space="preserve"> Program Report sets a 25 year time frame for action. This is appropriate - a long term adaptive management strategy and implementation plan is required, and </w:t>
      </w:r>
      <w:r w:rsidR="007E1785">
        <w:t>the Authority</w:t>
      </w:r>
      <w:r>
        <w:t xml:space="preserve"> has </w:t>
      </w:r>
      <w:r w:rsidR="005925BF">
        <w:t>properly</w:t>
      </w:r>
      <w:r>
        <w:t xml:space="preserve"> proposed milestones/stages in the implementation of the Program. However, the</w:t>
      </w:r>
      <w:r w:rsidR="000A3676">
        <w:t>re is a risk that the</w:t>
      </w:r>
      <w:r>
        <w:t xml:space="preserve"> 25 year</w:t>
      </w:r>
      <w:r w:rsidR="000A3676">
        <w:t xml:space="preserve"> implementation</w:t>
      </w:r>
      <w:r>
        <w:t xml:space="preserve"> time frame </w:t>
      </w:r>
      <w:r w:rsidR="005925BF">
        <w:t>may</w:t>
      </w:r>
      <w:r w:rsidR="002714A9">
        <w:t xml:space="preserve"> </w:t>
      </w:r>
      <w:r w:rsidR="005925BF">
        <w:t>suggest</w:t>
      </w:r>
      <w:r w:rsidR="000A3676">
        <w:t xml:space="preserve"> to </w:t>
      </w:r>
      <w:r>
        <w:t>the Government and GBRMPA</w:t>
      </w:r>
      <w:r w:rsidR="000A3676">
        <w:t xml:space="preserve"> that actions to address the many challenges faced by Great Barrier Reef ecosystems are not urgently required and </w:t>
      </w:r>
      <w:r w:rsidR="007E5ABB">
        <w:t>that additional resources for implementation are unnecessary</w:t>
      </w:r>
      <w:r w:rsidR="000A3676">
        <w:t xml:space="preserve">. </w:t>
      </w:r>
    </w:p>
    <w:p w:rsidR="005B2C51" w:rsidRDefault="005B2C51" w:rsidP="005B2C51">
      <w:pPr>
        <w:pStyle w:val="Para0"/>
      </w:pPr>
      <w:r>
        <w:t xml:space="preserve">Across the </w:t>
      </w:r>
      <w:r w:rsidR="00D84D37">
        <w:t>Assessment</w:t>
      </w:r>
      <w:r>
        <w:t xml:space="preserve"> and Program Reports, there is lit</w:t>
      </w:r>
      <w:r w:rsidR="00D84D37">
        <w:t xml:space="preserve">tle evidence that </w:t>
      </w:r>
      <w:r w:rsidR="007E1785">
        <w:t>GBRMPA</w:t>
      </w:r>
      <w:r>
        <w:t xml:space="preserve"> </w:t>
      </w:r>
      <w:r w:rsidR="00ED7B8C">
        <w:t>plans to meet</w:t>
      </w:r>
      <w:r>
        <w:t xml:space="preserve"> the requirement for immediate additional </w:t>
      </w:r>
      <w:r w:rsidR="009E2CBD">
        <w:t>interventions</w:t>
      </w:r>
      <w:r>
        <w:t xml:space="preserve">. The Program </w:t>
      </w:r>
      <w:r w:rsidR="00D84D37">
        <w:t>Report</w:t>
      </w:r>
      <w:r w:rsidR="002714A9">
        <w:t>,</w:t>
      </w:r>
      <w:r>
        <w:t xml:space="preserve"> for example</w:t>
      </w:r>
      <w:r w:rsidR="002714A9">
        <w:t>,</w:t>
      </w:r>
      <w:r>
        <w:t xml:space="preserve"> introduces a gradual (over the first five years) improvement in strategy, </w:t>
      </w:r>
      <w:r w:rsidR="00D84D37">
        <w:t>process, stakeholder engagement and</w:t>
      </w:r>
      <w:r>
        <w:t xml:space="preserve"> introduction of targets that alone are unlikely to be sufficient to arrest what is in some cases an alarming decline in the condition of core ecosystem components. There are no plans to develop an enhanced and integrated monitoring pr</w:t>
      </w:r>
      <w:r w:rsidR="002714A9">
        <w:t>ogram until the sixth year (2020) of the 25 year</w:t>
      </w:r>
      <w:r>
        <w:t xml:space="preserve"> program. For </w:t>
      </w:r>
      <w:r w:rsidR="002714A9">
        <w:t>expanding or new</w:t>
      </w:r>
      <w:r>
        <w:t xml:space="preserve"> monitoring components, this would </w:t>
      </w:r>
      <w:r w:rsidR="002714A9">
        <w:t xml:space="preserve">result in </w:t>
      </w:r>
      <w:r>
        <w:t xml:space="preserve">inadequate data with which to gauge </w:t>
      </w:r>
      <w:r w:rsidR="009E2CBD">
        <w:t xml:space="preserve">trends in </w:t>
      </w:r>
      <w:r>
        <w:t xml:space="preserve">declines or improvements in condition until 2025-2030. </w:t>
      </w:r>
      <w:r w:rsidR="002714A9">
        <w:t>There is</w:t>
      </w:r>
      <w:r>
        <w:t xml:space="preserve"> considerable evidence from coral reefs in other parts of the world that these systems reach tipping points</w:t>
      </w:r>
      <w:r w:rsidR="002714A9">
        <w:t xml:space="preserve">, </w:t>
      </w:r>
      <w:r w:rsidR="00D84D37">
        <w:t xml:space="preserve">shifting from </w:t>
      </w:r>
      <w:r>
        <w:t>coral reef systems to algal or mixe</w:t>
      </w:r>
      <w:r w:rsidR="007B1503">
        <w:t>d soft bottom/algal communities</w:t>
      </w:r>
      <w:r w:rsidR="002714A9">
        <w:t>. W</w:t>
      </w:r>
      <w:r>
        <w:t xml:space="preserve">ithout a comprehensive and well-integrated monitoring program, </w:t>
      </w:r>
      <w:r w:rsidR="00ED7B8C">
        <w:t xml:space="preserve">it would be difficult to </w:t>
      </w:r>
      <w:r>
        <w:t xml:space="preserve">determine whether management actions were being effective in avoiding movement towards such a tipping point. If this state were ever reached, it would be very difficult to reverse and rebuild ecosystem integrity. </w:t>
      </w:r>
    </w:p>
    <w:p w:rsidR="006E2E17" w:rsidRDefault="00ED7B8C" w:rsidP="005B2C51">
      <w:pPr>
        <w:pStyle w:val="Para0"/>
      </w:pPr>
      <w:r>
        <w:t xml:space="preserve">There are several gaps identified in </w:t>
      </w:r>
      <w:r w:rsidR="000F5F31">
        <w:t>the current management framework</w:t>
      </w:r>
      <w:r w:rsidR="00564217">
        <w:t>, including a lack of understanding of ecological processes that underpin MNES, the distribution and intensity of recreational use of the marine park and knowledge of indigenous and historic heritage</w:t>
      </w:r>
      <w:r w:rsidR="000F5F31">
        <w:t xml:space="preserve">. </w:t>
      </w:r>
      <w:r>
        <w:t>Improved management</w:t>
      </w:r>
      <w:r w:rsidR="005B2C51">
        <w:t xml:space="preserve"> will have immediate r</w:t>
      </w:r>
      <w:r w:rsidR="00D84D37">
        <w:t>esource implications</w:t>
      </w:r>
      <w:r w:rsidR="005B2C51">
        <w:t xml:space="preserve">: </w:t>
      </w:r>
      <w:r w:rsidR="007E1785">
        <w:t>GBRMPA</w:t>
      </w:r>
      <w:r w:rsidR="005B2C51">
        <w:t xml:space="preserve"> </w:t>
      </w:r>
      <w:r w:rsidR="002714A9">
        <w:t xml:space="preserve">active </w:t>
      </w:r>
      <w:r w:rsidR="005B2C51">
        <w:t>across a broad range of policy areas</w:t>
      </w:r>
      <w:r w:rsidR="002714A9">
        <w:t xml:space="preserve">, </w:t>
      </w:r>
      <w:r w:rsidR="005B2C51">
        <w:t>targeted interventions by both the Commonwealth and State Governments</w:t>
      </w:r>
      <w:r w:rsidR="002714A9">
        <w:t>,</w:t>
      </w:r>
      <w:r w:rsidR="005B2C51">
        <w:t xml:space="preserve"> an integrated monitoring program</w:t>
      </w:r>
      <w:r w:rsidR="002714A9">
        <w:t>,</w:t>
      </w:r>
      <w:r w:rsidR="005B2C51">
        <w:t xml:space="preserve"> and </w:t>
      </w:r>
      <w:r w:rsidR="003E3DDE">
        <w:t>addressing</w:t>
      </w:r>
      <w:r w:rsidR="005B2C51">
        <w:t xml:space="preserve"> the gaps in knowledge that currently inhibit </w:t>
      </w:r>
      <w:r>
        <w:t>the</w:t>
      </w:r>
      <w:r w:rsidR="005B2C51">
        <w:t xml:space="preserve"> ability to understand and mitigate future risks. It is important that the </w:t>
      </w:r>
      <w:r w:rsidR="003E3DDE">
        <w:t>Assessment and</w:t>
      </w:r>
      <w:r w:rsidR="005B2C51">
        <w:t xml:space="preserve"> </w:t>
      </w:r>
      <w:r>
        <w:t>Program r</w:t>
      </w:r>
      <w:r w:rsidR="003E3DDE">
        <w:t>eport</w:t>
      </w:r>
      <w:r w:rsidR="007E5ABB">
        <w:t>s</w:t>
      </w:r>
      <w:r w:rsidR="005B2C51">
        <w:t xml:space="preserve"> acknowledge this</w:t>
      </w:r>
      <w:r w:rsidR="002714A9">
        <w:t xml:space="preserve"> need for more resourcing, as well as the</w:t>
      </w:r>
      <w:r w:rsidR="005B2C51">
        <w:t xml:space="preserve"> </w:t>
      </w:r>
      <w:r>
        <w:t>costs and implications of not implementing improved management, through the ongoing decline of MNES</w:t>
      </w:r>
      <w:r w:rsidR="005B2C51">
        <w:t>.</w:t>
      </w:r>
    </w:p>
    <w:p w:rsidR="006E2E17" w:rsidRDefault="0092133A" w:rsidP="0092133A">
      <w:pPr>
        <w:pStyle w:val="Heading2"/>
      </w:pPr>
      <w:bookmarkStart w:id="53" w:name="_Toc378857227"/>
      <w:r>
        <w:lastRenderedPageBreak/>
        <w:t>Recommendations</w:t>
      </w:r>
      <w:bookmarkEnd w:id="53"/>
    </w:p>
    <w:p w:rsidR="0092133A" w:rsidRDefault="0092133A" w:rsidP="0092133A">
      <w:pPr>
        <w:pStyle w:val="Para0"/>
      </w:pPr>
      <w:r>
        <w:t>Detailed recommendations to improve the adequacy, readability, technical standing and comprehensiveness of the Strategic Assessment are provided in Appendix A. These recommendations are summarised into the following key issues:</w:t>
      </w:r>
    </w:p>
    <w:p w:rsidR="00E31DCB" w:rsidRDefault="00576769" w:rsidP="00E21C0E">
      <w:pPr>
        <w:pStyle w:val="Para0bullet"/>
        <w:ind w:left="851"/>
      </w:pPr>
      <w:r>
        <w:t>Reconsider</w:t>
      </w:r>
      <w:r w:rsidR="004729C4">
        <w:t xml:space="preserve"> f</w:t>
      </w:r>
      <w:r w:rsidR="00A310AD">
        <w:t>orward c</w:t>
      </w:r>
      <w:r>
        <w:t>ommitments</w:t>
      </w:r>
      <w:r w:rsidR="00FD4C15">
        <w:t xml:space="preserve"> of the proposed Program</w:t>
      </w:r>
      <w:r>
        <w:t xml:space="preserve">, with a view to comprehensively addressing the management gaps identified in the Assessment Report. This will enhance the effectiveness of future management activities by targeting them towards the </w:t>
      </w:r>
      <w:r w:rsidR="00D16B43">
        <w:t xml:space="preserve">critical </w:t>
      </w:r>
      <w:r>
        <w:t xml:space="preserve">issues </w:t>
      </w:r>
      <w:r w:rsidR="00D16B43">
        <w:t xml:space="preserve">contributing to </w:t>
      </w:r>
      <w:r>
        <w:t>the declining condition of the Great Barrier Reef</w:t>
      </w:r>
      <w:r w:rsidR="000F5F31">
        <w:t>. The scale of direct action also needs to be increased.</w:t>
      </w:r>
    </w:p>
    <w:p w:rsidR="00FD4C15" w:rsidRDefault="00FD4C15" w:rsidP="00E21C0E">
      <w:pPr>
        <w:pStyle w:val="Para0bullet"/>
        <w:ind w:left="851"/>
      </w:pPr>
      <w:r>
        <w:t>Impose a stronger focus on outcomes</w:t>
      </w:r>
      <w:r w:rsidR="004729C4">
        <w:t xml:space="preserve"> in the development of f</w:t>
      </w:r>
      <w:r w:rsidR="00A310AD">
        <w:t>orward c</w:t>
      </w:r>
      <w:r>
        <w:t>ommitments. Re-evaluate whether the processes fundamental to th</w:t>
      </w:r>
      <w:r w:rsidR="00A310AD">
        <w:t>e existing dr</w:t>
      </w:r>
      <w:r w:rsidR="004729C4">
        <w:t>aft f</w:t>
      </w:r>
      <w:r w:rsidR="00A310AD">
        <w:t>orward c</w:t>
      </w:r>
      <w:r>
        <w:t xml:space="preserve">ommitments are likely to </w:t>
      </w:r>
      <w:r w:rsidR="000F5F31">
        <w:t xml:space="preserve">facilitate a </w:t>
      </w:r>
      <w:r>
        <w:t>reversal of the decline of MNES across large parts of the Great Barrier Reef.</w:t>
      </w:r>
    </w:p>
    <w:p w:rsidR="00576769" w:rsidRDefault="00456ECF" w:rsidP="00E21C0E">
      <w:pPr>
        <w:pStyle w:val="Para0bullet"/>
        <w:ind w:left="851"/>
      </w:pPr>
      <w:r>
        <w:t xml:space="preserve">Explicitly outline the additional resources required to implement the five principal activities set out in the proposed new Program. Ensure that the form and governance of </w:t>
      </w:r>
      <w:r w:rsidR="00094414">
        <w:t xml:space="preserve">the </w:t>
      </w:r>
      <w:r w:rsidR="008C3D92">
        <w:t>Reef Trust allows for ongoing resourcing of the Program throughout its life.</w:t>
      </w:r>
    </w:p>
    <w:p w:rsidR="008C3D92" w:rsidRDefault="008C3D92" w:rsidP="00E21C0E">
      <w:pPr>
        <w:pStyle w:val="Para0bullet"/>
        <w:ind w:left="851"/>
      </w:pPr>
      <w:r>
        <w:t>Provide further details on the establishment of an integrated and funded research</w:t>
      </w:r>
      <w:r w:rsidR="00094414">
        <w:t xml:space="preserve">, </w:t>
      </w:r>
      <w:r>
        <w:t xml:space="preserve">development and monitoring program to guide future management activities and evaluate their effectiveness. Current scientific knowledge gaps are </w:t>
      </w:r>
      <w:r w:rsidR="005925BF">
        <w:t>limiting</w:t>
      </w:r>
      <w:r>
        <w:t xml:space="preserve"> the effectiveness of existing management approaches, and a more detailed understanding of the </w:t>
      </w:r>
      <w:r w:rsidR="00094414">
        <w:t>W</w:t>
      </w:r>
      <w:r>
        <w:t xml:space="preserve">orld </w:t>
      </w:r>
      <w:r w:rsidR="00094414">
        <w:t>Heritage A</w:t>
      </w:r>
      <w:r>
        <w:t xml:space="preserve">rea’s function is required. </w:t>
      </w:r>
      <w:r w:rsidR="009D1C3D">
        <w:t xml:space="preserve">Consider a national </w:t>
      </w:r>
      <w:r w:rsidR="00BB32D9">
        <w:t xml:space="preserve">research </w:t>
      </w:r>
      <w:r w:rsidR="009D1C3D">
        <w:t>strategy model</w:t>
      </w:r>
      <w:r w:rsidR="00BB32D9">
        <w:t xml:space="preserve"> for the Great Barrier Reef</w:t>
      </w:r>
      <w:r w:rsidR="009D1C3D">
        <w:t xml:space="preserve">, similar to </w:t>
      </w:r>
      <w:r w:rsidR="00BB32D9">
        <w:t>those</w:t>
      </w:r>
      <w:r w:rsidR="009D1C3D">
        <w:t xml:space="preserve"> in place for water research, climate research and Antarctic research.</w:t>
      </w:r>
    </w:p>
    <w:p w:rsidR="00FD4C15" w:rsidRDefault="00FD4C15" w:rsidP="00E21C0E">
      <w:pPr>
        <w:pStyle w:val="Para0bullet"/>
        <w:ind w:left="851"/>
      </w:pPr>
      <w:r>
        <w:t xml:space="preserve">Evaluate the contributions that </w:t>
      </w:r>
      <w:r w:rsidR="00230B66">
        <w:t>GBRMPA</w:t>
      </w:r>
      <w:r>
        <w:t xml:space="preserve"> can make to managing the Great Barrier Reef for improved resilience in the face of climate change. Prioritise and fund an expansion of actions which will reduce cumulative impacts at key sites and boost ecosystem resilience. Build upon the successful activities of the field management program across a broader area.</w:t>
      </w:r>
    </w:p>
    <w:p w:rsidR="00FD4C15" w:rsidRDefault="00FD4C15" w:rsidP="00E21C0E">
      <w:pPr>
        <w:pStyle w:val="Para0bullet"/>
        <w:ind w:left="851"/>
      </w:pPr>
      <w:r>
        <w:t xml:space="preserve">Work closely with the Queensland Government to </w:t>
      </w:r>
      <w:r w:rsidR="00D16B43">
        <w:t>improve the</w:t>
      </w:r>
      <w:r>
        <w:t xml:space="preserve"> alignment of the Strategic Assessments, reducing uncertainties associated with jurisdictional boundaries and facilitating a seamless, whole-of-Great Barrier Reef approach. Consider the collective weaknesses of both Programs and options to reduce impacts in such areas to MNES including OUV.</w:t>
      </w:r>
    </w:p>
    <w:p w:rsidR="000F5F31" w:rsidRDefault="00BE0960" w:rsidP="00E21C0E">
      <w:pPr>
        <w:pStyle w:val="Para0bullet"/>
        <w:ind w:left="851"/>
      </w:pPr>
      <w:r>
        <w:t xml:space="preserve">Strengthen the technical standing </w:t>
      </w:r>
      <w:r w:rsidR="000F5F31">
        <w:t>of</w:t>
      </w:r>
      <w:r>
        <w:t xml:space="preserve"> the Strategic Assessment by providing a more comprehensive characterisation of gaps in data and alternative hypotheses. </w:t>
      </w:r>
    </w:p>
    <w:p w:rsidR="00BE0960" w:rsidRDefault="00BE0960" w:rsidP="00E21C0E">
      <w:pPr>
        <w:pStyle w:val="Para0bullet"/>
        <w:ind w:left="851"/>
      </w:pPr>
      <w:r>
        <w:t xml:space="preserve">Consider how </w:t>
      </w:r>
      <w:r w:rsidR="00230B66">
        <w:t>GBRMPA</w:t>
      </w:r>
      <w:r>
        <w:t xml:space="preserve"> can </w:t>
      </w:r>
      <w:r w:rsidR="000F5F31">
        <w:t>incorporate</w:t>
      </w:r>
      <w:r>
        <w:t xml:space="preserve"> the science of restoration ecology </w:t>
      </w:r>
      <w:r w:rsidR="000F5F31">
        <w:t>into its management of t</w:t>
      </w:r>
      <w:r>
        <w:t>he southern inshore region, to guide management effectiveness, test current scientific understanding and enhance resilience.</w:t>
      </w:r>
    </w:p>
    <w:p w:rsidR="00D055DA" w:rsidRDefault="00D055DA" w:rsidP="00D055DA">
      <w:pPr>
        <w:pStyle w:val="Heading1"/>
      </w:pPr>
      <w:bookmarkStart w:id="54" w:name="_Toc378857228"/>
      <w:r>
        <w:lastRenderedPageBreak/>
        <w:t>References</w:t>
      </w:r>
      <w:bookmarkEnd w:id="54"/>
    </w:p>
    <w:p w:rsidR="00DC42C5" w:rsidRDefault="00DC42C5" w:rsidP="00DC42C5">
      <w:pPr>
        <w:pStyle w:val="Para0"/>
        <w:ind w:left="284" w:hanging="284"/>
      </w:pPr>
      <w:r>
        <w:t>Andersson</w:t>
      </w:r>
      <w:r w:rsidR="009D5330">
        <w:t>,</w:t>
      </w:r>
      <w:r>
        <w:t xml:space="preserve"> M</w:t>
      </w:r>
      <w:r w:rsidR="00311D84">
        <w:t>.</w:t>
      </w:r>
      <w:r>
        <w:t xml:space="preserve"> (2008). Hinchinbrook Area Boater’s Opinions Of and Compliance With Dugong Conservation Initiatives. Independent Study Project (ISP) Collection. Paper 561.</w:t>
      </w:r>
    </w:p>
    <w:p w:rsidR="00B91E0B" w:rsidRDefault="00B91E0B" w:rsidP="00B91E0B">
      <w:pPr>
        <w:pStyle w:val="Para0"/>
        <w:ind w:left="284" w:hanging="284"/>
      </w:pPr>
      <w:r>
        <w:t xml:space="preserve">Bainbridge, Z.T., Wolanski, E., Álvarez-Romero, J.G., Lewis, S.E. and Brodie, J.E. </w:t>
      </w:r>
      <w:r w:rsidR="009D5330">
        <w:t>(</w:t>
      </w:r>
      <w:r>
        <w:t>2012</w:t>
      </w:r>
      <w:r w:rsidR="009D5330">
        <w:t>).</w:t>
      </w:r>
      <w:r>
        <w:t xml:space="preserve"> Fine sediment and nutrient dynamics related to particle size and floc formation in a Burdekin River flood plume, Australia, Marine pollution bulletin 65(4): 236.</w:t>
      </w:r>
    </w:p>
    <w:p w:rsidR="00B91E0B" w:rsidRDefault="00B91E0B" w:rsidP="00B91E0B">
      <w:pPr>
        <w:pStyle w:val="Para0"/>
        <w:ind w:left="284" w:hanging="284"/>
      </w:pPr>
      <w:r w:rsidRPr="00B91E0B">
        <w:t xml:space="preserve">Brodie, J., Fabricius, K.E., De'ath, G. and Okaji, K. </w:t>
      </w:r>
      <w:r w:rsidR="009D5330">
        <w:t>(</w:t>
      </w:r>
      <w:r w:rsidRPr="00B91E0B">
        <w:t>2005</w:t>
      </w:r>
      <w:r w:rsidR="009D5330">
        <w:t>).</w:t>
      </w:r>
      <w:r w:rsidRPr="00B91E0B">
        <w:t xml:space="preserve"> Are increased nutrient inputs responsible for more outbreaks of crown-of-thorns starfish? An appraisal of the evidence, Marine Pollution Bulletin 51(1-4): 266-278.</w:t>
      </w:r>
    </w:p>
    <w:p w:rsidR="00F50CD6" w:rsidRDefault="00F50CD6" w:rsidP="00B91E0B">
      <w:pPr>
        <w:pStyle w:val="Para0"/>
        <w:ind w:left="284" w:hanging="284"/>
      </w:pPr>
      <w:r>
        <w:t>Browne</w:t>
      </w:r>
      <w:r w:rsidR="009D5330">
        <w:t>, N.K, Smithers S.G, Perry C.</w:t>
      </w:r>
      <w:r w:rsidR="001F468D">
        <w:t>T (2012). Coral reefs of the turbid inner-shelf of the Great Barrier Reef, Australia: An environmental and geomorphic perspective on their occurrence, composition and growth. Earth Science Reviews 115: 1-20.</w:t>
      </w:r>
    </w:p>
    <w:p w:rsidR="00F50CD6" w:rsidRDefault="00F50CD6" w:rsidP="00B91E0B">
      <w:pPr>
        <w:pStyle w:val="Para0"/>
        <w:ind w:left="284" w:hanging="284"/>
      </w:pPr>
      <w:r w:rsidRPr="00F50CD6">
        <w:t xml:space="preserve">De'ath, G., Fabricius, K.E., Sweatman, H. and Puotinen, M. </w:t>
      </w:r>
      <w:r w:rsidR="009D5330">
        <w:t>(</w:t>
      </w:r>
      <w:r w:rsidRPr="00F50CD6">
        <w:t>2012</w:t>
      </w:r>
      <w:r w:rsidR="009D5330">
        <w:t>).</w:t>
      </w:r>
      <w:r w:rsidRPr="00F50CD6">
        <w:t xml:space="preserve"> The 27–year decline of coral cover on the Great Barrier Reef and its causes, Proceedings of the National Academy of Sciences 109(44): 17995-17999.</w:t>
      </w:r>
    </w:p>
    <w:p w:rsidR="00B91E0B" w:rsidRDefault="00B91E0B" w:rsidP="00DC42C5">
      <w:pPr>
        <w:pStyle w:val="Para0"/>
        <w:ind w:left="284" w:hanging="284"/>
      </w:pPr>
      <w:r w:rsidRPr="00B91E0B">
        <w:t>Erfteme</w:t>
      </w:r>
      <w:r w:rsidR="009D5330">
        <w:t>ijer, P.L. and Lewis, R.R. (2006).</w:t>
      </w:r>
      <w:r w:rsidRPr="00B91E0B">
        <w:t xml:space="preserve"> Environmental impacts of dredging on seagrasses: a review, Marine Pollution Bulletin 52(12): 1553-1572.</w:t>
      </w:r>
    </w:p>
    <w:p w:rsidR="00B91E0B" w:rsidRDefault="00B91E0B" w:rsidP="00DC42C5">
      <w:pPr>
        <w:pStyle w:val="Para0"/>
        <w:ind w:left="284" w:hanging="284"/>
      </w:pPr>
      <w:r w:rsidRPr="00B91E0B">
        <w:t xml:space="preserve">Fabricius, K.E., Okaji, K. and De'ath, G. </w:t>
      </w:r>
      <w:r w:rsidR="009D5330">
        <w:t>(</w:t>
      </w:r>
      <w:r w:rsidRPr="00B91E0B">
        <w:t>2010</w:t>
      </w:r>
      <w:r w:rsidR="009D5330">
        <w:t>).</w:t>
      </w:r>
      <w:r w:rsidRPr="00B91E0B">
        <w:t xml:space="preserve">Three lines of evidence to link outbreaks of the crown-of-thorns seastar </w:t>
      </w:r>
      <w:r w:rsidRPr="00311D84">
        <w:rPr>
          <w:i/>
        </w:rPr>
        <w:t>Acanthaster planci</w:t>
      </w:r>
      <w:r w:rsidRPr="00B91E0B">
        <w:t xml:space="preserve"> to the release of larval food limitation, Coral Reefs 29: 593-605.</w:t>
      </w:r>
    </w:p>
    <w:p w:rsidR="00E63443" w:rsidRDefault="00E63443" w:rsidP="00E63443">
      <w:pPr>
        <w:pStyle w:val="Para0"/>
        <w:ind w:left="284" w:hanging="284"/>
      </w:pPr>
      <w:r>
        <w:t>GBRMPA (2009). Great Barrier Reef Outlook Report 2009. Commonwealth of Australia.</w:t>
      </w:r>
    </w:p>
    <w:p w:rsidR="007159AC" w:rsidRDefault="007159AC" w:rsidP="00B5641C">
      <w:pPr>
        <w:pStyle w:val="Para0"/>
        <w:ind w:left="284" w:hanging="284"/>
      </w:pPr>
      <w:r>
        <w:t>GBRMPA (2012). Great Barrier Reef Region Strategic Assessment Terms of Reference. Great Barrier Reef Marine Park Authority, 18 pp.</w:t>
      </w:r>
    </w:p>
    <w:p w:rsidR="007159AC" w:rsidRDefault="007159AC" w:rsidP="00B5641C">
      <w:pPr>
        <w:pStyle w:val="Para0"/>
        <w:ind w:left="284" w:hanging="284"/>
      </w:pPr>
      <w:r>
        <w:t>GBRMPA (2013a). Great Barrier Reef Region Strategic Assessment - Program Report, Draft for Public Comment. Great Barrier Reef Marine Park Authority, 84 pp.</w:t>
      </w:r>
    </w:p>
    <w:p w:rsidR="007159AC" w:rsidRDefault="007159AC" w:rsidP="00B5641C">
      <w:pPr>
        <w:pStyle w:val="Para0"/>
        <w:ind w:left="284" w:hanging="284"/>
      </w:pPr>
      <w:r>
        <w:t>GBRMPA (2013b). Great Barrier Reef Region Strategic Assessment – Strategic Assessment Report, Draft for Public Comment. Great Barrier Reef Marine Park Authority, 636 pp.</w:t>
      </w:r>
    </w:p>
    <w:p w:rsidR="00B91E0B" w:rsidRDefault="00B91E0B" w:rsidP="00B91E0B">
      <w:pPr>
        <w:pStyle w:val="Para0"/>
        <w:ind w:left="284" w:hanging="284"/>
      </w:pPr>
      <w:r>
        <w:t>Gell F</w:t>
      </w:r>
      <w:r w:rsidR="009D5330">
        <w:t>.</w:t>
      </w:r>
      <w:r w:rsidR="001315A1">
        <w:t>R, Rober</w:t>
      </w:r>
      <w:r>
        <w:t>t</w:t>
      </w:r>
      <w:r w:rsidR="001315A1">
        <w:t>s</w:t>
      </w:r>
      <w:r>
        <w:t xml:space="preserve"> C</w:t>
      </w:r>
      <w:r w:rsidR="009D5330">
        <w:t>.</w:t>
      </w:r>
      <w:r>
        <w:t>M (2003). Benefits beyond boundaries: the fishery effects of marine reserves. Trends in Ecology and Evolution 18(9): 448-455.</w:t>
      </w:r>
    </w:p>
    <w:p w:rsidR="00B91E0B" w:rsidRDefault="00B91E0B" w:rsidP="00B91E0B">
      <w:pPr>
        <w:pStyle w:val="Para0"/>
        <w:ind w:left="284" w:hanging="284"/>
      </w:pPr>
      <w:r w:rsidRPr="00B91E0B">
        <w:t>Marsh H.,</w:t>
      </w:r>
      <w:r w:rsidR="009D5330">
        <w:t xml:space="preserve"> De’ath G., Gribble N.</w:t>
      </w:r>
      <w:r>
        <w:t>A and Lane B</w:t>
      </w:r>
      <w:r w:rsidR="009D5330">
        <w:t>.</w:t>
      </w:r>
      <w:r>
        <w:t xml:space="preserve"> (2005). Historical marine population estimates: triggers or targets for conservation? The dugong case study. Ecological Applications 15(2): 481-492.</w:t>
      </w:r>
    </w:p>
    <w:p w:rsidR="00B91E0B" w:rsidRDefault="00B91E0B" w:rsidP="00B91E0B">
      <w:pPr>
        <w:pStyle w:val="Para0"/>
        <w:ind w:left="284" w:hanging="284"/>
      </w:pPr>
      <w:r w:rsidRPr="00B91E0B">
        <w:t xml:space="preserve">McCook, L.J., Ayling, T., Cappo, M., Choat, J.H., Evans, R.D., DeFreitas, D.M., Heupel, M., Hughes, T.P., Jones, G.P., Mapstone, B., Marsh, H., Mills, M., Molloy, F.J., Pitcher, C.R., Pressey, R.L., Russ, G.R., Sutton, S., Sweatman, H., Tobin, R., Wachenfeld, D. and Williamson, D. </w:t>
      </w:r>
      <w:r w:rsidR="009D5330">
        <w:t>(</w:t>
      </w:r>
      <w:r w:rsidRPr="00B91E0B">
        <w:t>2010</w:t>
      </w:r>
      <w:r w:rsidR="009D5330">
        <w:t>).</w:t>
      </w:r>
      <w:r w:rsidRPr="00B91E0B">
        <w:t xml:space="preserve"> Adaptive management of the Great Barrier Reef: A globally significant demonstration of the benefits of networks of marine reserves, Proceedings of the National Academy of Sciences 107(43): 18278-18285.</w:t>
      </w:r>
    </w:p>
    <w:p w:rsidR="00DC42C5" w:rsidRDefault="00DC42C5" w:rsidP="00DC42C5">
      <w:pPr>
        <w:pStyle w:val="Para0"/>
        <w:ind w:left="284" w:hanging="284"/>
      </w:pPr>
      <w:r>
        <w:t>Queensland Government (2013a). Draft Program Report. Great Barrier Reef Coastal Zone Strategic Assessment. Draft published for public comment.</w:t>
      </w:r>
    </w:p>
    <w:p w:rsidR="00DC42C5" w:rsidRDefault="00DC42C5" w:rsidP="00DC42C5">
      <w:pPr>
        <w:pStyle w:val="Para0"/>
        <w:ind w:left="284" w:hanging="284"/>
      </w:pPr>
      <w:r>
        <w:t>Queensland Government (2013b). Draft Strategic Assessment Report. Great Barrier Reef Coastal Zone Strategic Assessment. Draft published for public comment.</w:t>
      </w:r>
    </w:p>
    <w:p w:rsidR="00DC42C5" w:rsidRDefault="00DC42C5" w:rsidP="00DC42C5">
      <w:pPr>
        <w:pStyle w:val="Para0"/>
        <w:ind w:left="284" w:hanging="284"/>
      </w:pPr>
      <w:r>
        <w:lastRenderedPageBreak/>
        <w:t>Queensland Government (2013c). Great Barrier Reef Report Card 2011. Reef Water Quality Protection Plan. Published by the State of Queensland.</w:t>
      </w:r>
    </w:p>
    <w:p w:rsidR="00F50CD6" w:rsidRDefault="00F50CD6" w:rsidP="00DC42C5">
      <w:pPr>
        <w:pStyle w:val="Para0"/>
        <w:ind w:left="284" w:hanging="284"/>
      </w:pPr>
      <w:r w:rsidRPr="00F50CD6">
        <w:t xml:space="preserve">Roff, G., Clark, T.R., Reymond, C.E., Zhao, J., Feng, Y., McCook, L.J., Done, T.J. and Pandolfi, J.M. </w:t>
      </w:r>
      <w:r w:rsidR="009D5330">
        <w:t>(</w:t>
      </w:r>
      <w:r w:rsidRPr="00F50CD6">
        <w:t>201</w:t>
      </w:r>
      <w:r w:rsidR="004D1182">
        <w:t>3</w:t>
      </w:r>
      <w:r w:rsidR="009D5330">
        <w:t>).</w:t>
      </w:r>
      <w:r w:rsidRPr="00F50CD6">
        <w:t xml:space="preserve"> Palaeoecological evidence of a historical collapse of corals at Pelorus Island, inshore Great Barrier Reef, following European settlement, Proceedings of the Royal Society B-Biological Sciences 280(1750): 2012-2100.</w:t>
      </w:r>
    </w:p>
    <w:p w:rsidR="00B91E0B" w:rsidRDefault="00B91E0B" w:rsidP="00DC42C5">
      <w:pPr>
        <w:pStyle w:val="Para0"/>
        <w:ind w:left="284" w:hanging="284"/>
      </w:pPr>
      <w:r>
        <w:t>SKM (2013). Independent Review of the Draft Great Barrier Reef Coastal Zone Strategic Assessment. Report prepared for the Department of the Environment.</w:t>
      </w:r>
    </w:p>
    <w:p w:rsidR="00B91E0B" w:rsidRDefault="00B91E0B" w:rsidP="00DC42C5">
      <w:pPr>
        <w:pStyle w:val="Para0"/>
        <w:ind w:left="284" w:hanging="284"/>
      </w:pPr>
      <w:r>
        <w:t>SKM APASA (2013)</w:t>
      </w:r>
      <w:r w:rsidRPr="00B91E0B">
        <w:t xml:space="preserve"> Improved dredge material management for the Great Barrier Reef Region, Great Barrier Reef Marine Park Authority, Townsville.</w:t>
      </w:r>
    </w:p>
    <w:p w:rsidR="00DC42C5" w:rsidRDefault="00DC42C5" w:rsidP="00DC42C5">
      <w:pPr>
        <w:pStyle w:val="Para0"/>
        <w:ind w:left="284" w:hanging="284"/>
      </w:pPr>
      <w:r>
        <w:t>UNESCO (2012). Mission Report – Reactive Monitoring Mission to the Great Barrier Reef (Australia), 6</w:t>
      </w:r>
      <w:r w:rsidRPr="00B66448">
        <w:rPr>
          <w:vertAlign w:val="superscript"/>
        </w:rPr>
        <w:t>th</w:t>
      </w:r>
      <w:r>
        <w:t xml:space="preserve"> to 14</w:t>
      </w:r>
      <w:r w:rsidRPr="00B66448">
        <w:rPr>
          <w:vertAlign w:val="superscript"/>
        </w:rPr>
        <w:t>th</w:t>
      </w:r>
      <w:r>
        <w:t xml:space="preserve"> March 2012. United Nations Educational, Scientific and Cultural Organisation, 99 pp.</w:t>
      </w:r>
    </w:p>
    <w:p w:rsidR="003C622D" w:rsidRDefault="003C622D" w:rsidP="00DC42C5">
      <w:pPr>
        <w:pStyle w:val="Para0"/>
        <w:ind w:left="284" w:hanging="284"/>
      </w:pPr>
      <w:r>
        <w:t xml:space="preserve">Uniquest (2013). Assessment of Management Effectiveness for the Strategic Assessment of the Great Barrier Reef Region. Hockings M., Leverington A., Gilligan B. UniQuest Pty Ltd. </w:t>
      </w:r>
    </w:p>
    <w:p w:rsidR="007159AC" w:rsidRDefault="007159AC" w:rsidP="00B5641C">
      <w:pPr>
        <w:pStyle w:val="Para0"/>
        <w:ind w:left="284" w:hanging="284"/>
      </w:pPr>
    </w:p>
    <w:p w:rsidR="00B91E0B" w:rsidRDefault="00B91E0B" w:rsidP="00B5641C">
      <w:pPr>
        <w:pStyle w:val="Para0"/>
        <w:ind w:left="284" w:hanging="284"/>
      </w:pPr>
    </w:p>
    <w:p w:rsidR="00E63443" w:rsidRPr="00B91E0B" w:rsidRDefault="00E63443" w:rsidP="00B5641C">
      <w:pPr>
        <w:pStyle w:val="Para0"/>
        <w:ind w:left="284" w:hanging="284"/>
      </w:pPr>
    </w:p>
    <w:p w:rsidR="00E63443" w:rsidRPr="00B91E0B" w:rsidRDefault="00E63443" w:rsidP="00B5641C">
      <w:pPr>
        <w:pStyle w:val="Para0"/>
        <w:ind w:left="284" w:hanging="284"/>
      </w:pPr>
    </w:p>
    <w:p w:rsidR="007159AC" w:rsidRPr="00B91E0B" w:rsidRDefault="007159AC" w:rsidP="00B5641C">
      <w:pPr>
        <w:pStyle w:val="Para0"/>
        <w:ind w:left="284" w:hanging="284"/>
      </w:pPr>
    </w:p>
    <w:p w:rsidR="007159AC" w:rsidRPr="00B91E0B" w:rsidRDefault="007159AC" w:rsidP="00B5641C">
      <w:pPr>
        <w:pStyle w:val="Para0"/>
        <w:ind w:left="284" w:hanging="284"/>
      </w:pPr>
    </w:p>
    <w:p w:rsidR="00B32B57" w:rsidRPr="00B91E0B" w:rsidRDefault="00B32B57" w:rsidP="00B66448">
      <w:pPr>
        <w:pStyle w:val="Para0"/>
        <w:ind w:left="284" w:hanging="284"/>
        <w:sectPr w:rsidR="00B32B57" w:rsidRPr="00B91E0B" w:rsidSect="00444F74">
          <w:pgSz w:w="11901" w:h="16840" w:code="9"/>
          <w:pgMar w:top="567" w:right="851" w:bottom="851" w:left="1134" w:header="567" w:footer="369" w:gutter="0"/>
          <w:cols w:space="0"/>
          <w:formProt w:val="0"/>
          <w:titlePg/>
          <w:docGrid w:linePitch="360"/>
        </w:sectPr>
      </w:pPr>
    </w:p>
    <w:p w:rsidR="00D055DA" w:rsidRPr="00D055DA" w:rsidRDefault="00D773BD" w:rsidP="00D055DA">
      <w:pPr>
        <w:pStyle w:val="Heading9"/>
      </w:pPr>
      <w:bookmarkStart w:id="55" w:name="_Toc369597589"/>
      <w:r>
        <w:lastRenderedPageBreak/>
        <w:t>Recommendations</w:t>
      </w:r>
      <w:bookmarkEnd w:id="55"/>
    </w:p>
    <w:p w:rsidR="00573B81" w:rsidRDefault="00D773BD" w:rsidP="00FE3E28">
      <w:pPr>
        <w:pStyle w:val="Para0"/>
      </w:pPr>
      <w:r>
        <w:t>Recommendations</w:t>
      </w:r>
      <w:r w:rsidR="009416A5">
        <w:t xml:space="preserve"> for impr</w:t>
      </w:r>
      <w:r w:rsidR="0034219A">
        <w:t>o</w:t>
      </w:r>
      <w:r w:rsidR="009416A5">
        <w:t xml:space="preserve">vement of the </w:t>
      </w:r>
      <w:r w:rsidR="00B64194">
        <w:t xml:space="preserve">Program Report and </w:t>
      </w:r>
      <w:r w:rsidR="009416A5">
        <w:t>Assessment</w:t>
      </w:r>
      <w:r w:rsidR="00B64194">
        <w:t xml:space="preserve"> Report</w:t>
      </w:r>
      <w:r w:rsidR="009416A5">
        <w:t xml:space="preserve"> are </w:t>
      </w:r>
      <w:r w:rsidR="00B64194">
        <w:t>outlined in the following table</w:t>
      </w:r>
      <w:r w:rsidR="009416A5">
        <w:t>.</w:t>
      </w:r>
      <w:r w:rsidR="00B64194">
        <w:t xml:space="preserve"> </w:t>
      </w:r>
    </w:p>
    <w:tbl>
      <w:tblPr>
        <w:tblStyle w:val="TableGrid"/>
        <w:tblW w:w="0" w:type="auto"/>
        <w:tblLook w:val="04A0" w:firstRow="1" w:lastRow="0" w:firstColumn="1" w:lastColumn="0" w:noHBand="0" w:noVBand="1"/>
      </w:tblPr>
      <w:tblGrid>
        <w:gridCol w:w="572"/>
        <w:gridCol w:w="1984"/>
        <w:gridCol w:w="6663"/>
        <w:gridCol w:w="6054"/>
      </w:tblGrid>
      <w:tr w:rsidR="00944B58" w:rsidRPr="00065220" w:rsidTr="00233787">
        <w:trPr>
          <w:tblHeader/>
        </w:trPr>
        <w:tc>
          <w:tcPr>
            <w:tcW w:w="572" w:type="dxa"/>
            <w:tcBorders>
              <w:bottom w:val="single" w:sz="4" w:space="0" w:color="auto"/>
            </w:tcBorders>
          </w:tcPr>
          <w:p w:rsidR="00944B58" w:rsidRPr="00065220" w:rsidRDefault="00944B58" w:rsidP="00233787">
            <w:pPr>
              <w:spacing w:before="40" w:after="40"/>
              <w:jc w:val="center"/>
              <w:rPr>
                <w:b/>
                <w:sz w:val="18"/>
                <w:szCs w:val="18"/>
              </w:rPr>
            </w:pPr>
            <w:r w:rsidRPr="00065220">
              <w:rPr>
                <w:b/>
                <w:sz w:val="18"/>
                <w:szCs w:val="18"/>
              </w:rPr>
              <w:t>#</w:t>
            </w:r>
          </w:p>
        </w:tc>
        <w:tc>
          <w:tcPr>
            <w:tcW w:w="1984" w:type="dxa"/>
            <w:tcBorders>
              <w:bottom w:val="single" w:sz="4" w:space="0" w:color="auto"/>
            </w:tcBorders>
          </w:tcPr>
          <w:p w:rsidR="00944B58" w:rsidRPr="00065220" w:rsidRDefault="00944B58" w:rsidP="00233787">
            <w:pPr>
              <w:spacing w:before="40" w:after="40"/>
              <w:jc w:val="center"/>
              <w:rPr>
                <w:b/>
                <w:sz w:val="18"/>
                <w:szCs w:val="18"/>
              </w:rPr>
            </w:pPr>
            <w:r w:rsidRPr="00065220">
              <w:rPr>
                <w:b/>
                <w:sz w:val="18"/>
                <w:szCs w:val="18"/>
              </w:rPr>
              <w:t>Page reference</w:t>
            </w:r>
          </w:p>
        </w:tc>
        <w:tc>
          <w:tcPr>
            <w:tcW w:w="6663" w:type="dxa"/>
            <w:tcBorders>
              <w:bottom w:val="single" w:sz="4" w:space="0" w:color="auto"/>
            </w:tcBorders>
          </w:tcPr>
          <w:p w:rsidR="00944B58" w:rsidRPr="00065220" w:rsidRDefault="00944B58" w:rsidP="00233787">
            <w:pPr>
              <w:spacing w:before="40" w:after="40"/>
              <w:jc w:val="center"/>
              <w:rPr>
                <w:b/>
                <w:sz w:val="18"/>
                <w:szCs w:val="18"/>
              </w:rPr>
            </w:pPr>
            <w:r w:rsidRPr="00065220">
              <w:rPr>
                <w:b/>
                <w:sz w:val="18"/>
                <w:szCs w:val="18"/>
              </w:rPr>
              <w:t>Comment</w:t>
            </w:r>
          </w:p>
        </w:tc>
        <w:tc>
          <w:tcPr>
            <w:tcW w:w="6054" w:type="dxa"/>
            <w:tcBorders>
              <w:bottom w:val="single" w:sz="4" w:space="0" w:color="auto"/>
            </w:tcBorders>
          </w:tcPr>
          <w:p w:rsidR="00944B58" w:rsidRPr="00065220" w:rsidRDefault="00944B58" w:rsidP="00233787">
            <w:pPr>
              <w:spacing w:before="40" w:after="40"/>
              <w:jc w:val="center"/>
              <w:rPr>
                <w:b/>
                <w:sz w:val="18"/>
                <w:szCs w:val="18"/>
              </w:rPr>
            </w:pPr>
            <w:r w:rsidRPr="00065220">
              <w:rPr>
                <w:b/>
                <w:sz w:val="18"/>
                <w:szCs w:val="18"/>
              </w:rPr>
              <w:t>Action</w:t>
            </w:r>
          </w:p>
        </w:tc>
      </w:tr>
      <w:tr w:rsidR="00944B58" w:rsidRPr="00065220" w:rsidTr="00233787">
        <w:tc>
          <w:tcPr>
            <w:tcW w:w="15273" w:type="dxa"/>
            <w:gridSpan w:val="4"/>
            <w:shd w:val="clear" w:color="auto" w:fill="E9E9EA" w:themeFill="background1" w:themeFillTint="33"/>
          </w:tcPr>
          <w:p w:rsidR="00944B58" w:rsidRPr="00065220" w:rsidRDefault="00944B58" w:rsidP="00233787">
            <w:pPr>
              <w:spacing w:before="40" w:after="40"/>
              <w:rPr>
                <w:sz w:val="18"/>
                <w:szCs w:val="18"/>
              </w:rPr>
            </w:pPr>
            <w:r w:rsidRPr="00065220">
              <w:rPr>
                <w:b/>
                <w:sz w:val="18"/>
                <w:szCs w:val="18"/>
              </w:rPr>
              <w:t xml:space="preserve">DRAFT Program Report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General Comment</w:t>
            </w:r>
          </w:p>
        </w:tc>
        <w:tc>
          <w:tcPr>
            <w:tcW w:w="6663" w:type="dxa"/>
          </w:tcPr>
          <w:p w:rsidR="00944B58" w:rsidRPr="00065220" w:rsidRDefault="00944B58" w:rsidP="00233787">
            <w:pPr>
              <w:spacing w:before="40" w:after="40"/>
              <w:rPr>
                <w:sz w:val="16"/>
              </w:rPr>
            </w:pPr>
            <w:r w:rsidRPr="00065220">
              <w:rPr>
                <w:sz w:val="16"/>
              </w:rPr>
              <w:t>The Program Report could achieve greater consistency with the Terms of Reference by having a new section which describes the purpose and clear objectives of the Program.</w:t>
            </w:r>
          </w:p>
        </w:tc>
        <w:tc>
          <w:tcPr>
            <w:tcW w:w="6054" w:type="dxa"/>
          </w:tcPr>
          <w:p w:rsidR="00944B58" w:rsidRPr="00065220" w:rsidRDefault="00944B58" w:rsidP="00233787">
            <w:pPr>
              <w:spacing w:before="40" w:after="40"/>
              <w:rPr>
                <w:sz w:val="16"/>
                <w:szCs w:val="16"/>
              </w:rPr>
            </w:pPr>
            <w:r w:rsidRPr="00065220">
              <w:rPr>
                <w:sz w:val="16"/>
                <w:szCs w:val="16"/>
              </w:rPr>
              <w:t>Insert new section describing Program purpose and objectives.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11</w:t>
            </w:r>
          </w:p>
        </w:tc>
        <w:tc>
          <w:tcPr>
            <w:tcW w:w="6663" w:type="dxa"/>
          </w:tcPr>
          <w:p w:rsidR="00944B58" w:rsidRPr="00065220" w:rsidRDefault="00944B58" w:rsidP="00233787">
            <w:pPr>
              <w:spacing w:before="40" w:after="40"/>
              <w:rPr>
                <w:sz w:val="16"/>
              </w:rPr>
            </w:pPr>
            <w:r w:rsidRPr="00065220">
              <w:rPr>
                <w:sz w:val="16"/>
              </w:rPr>
              <w:t>Second bullet point: The first sentence notes the importance of action at the international level, but the remaining text does not identify engagement at this level. GBRMPA does have a long history of international collaboration and leadership. Continued and strengthened international efforts are needed to protect and restore the OUV of the World Heritage Area. The same comment applies to Section 4.2.</w:t>
            </w:r>
          </w:p>
        </w:tc>
        <w:tc>
          <w:tcPr>
            <w:tcW w:w="6054" w:type="dxa"/>
          </w:tcPr>
          <w:p w:rsidR="00944B58" w:rsidRPr="00065220" w:rsidRDefault="00944B58" w:rsidP="00233787">
            <w:pPr>
              <w:spacing w:before="40" w:after="40"/>
              <w:rPr>
                <w:color w:val="5185C0" w:themeColor="accent6"/>
                <w:sz w:val="16"/>
              </w:rPr>
            </w:pPr>
            <w:r w:rsidRPr="00065220">
              <w:rPr>
                <w:sz w:val="16"/>
                <w:szCs w:val="16"/>
              </w:rPr>
              <w:t>Explicitly identify engagement at an international level.</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13</w:t>
            </w:r>
          </w:p>
        </w:tc>
        <w:tc>
          <w:tcPr>
            <w:tcW w:w="6663" w:type="dxa"/>
          </w:tcPr>
          <w:p w:rsidR="00944B58" w:rsidRPr="00065220" w:rsidRDefault="00944B58" w:rsidP="00233787">
            <w:pPr>
              <w:spacing w:before="40" w:after="40"/>
              <w:rPr>
                <w:sz w:val="16"/>
                <w:szCs w:val="16"/>
              </w:rPr>
            </w:pPr>
            <w:r w:rsidRPr="00065220">
              <w:rPr>
                <w:sz w:val="16"/>
                <w:szCs w:val="16"/>
              </w:rPr>
              <w:t xml:space="preserve">GBRMPA has undertaken a range of activities internationally that are relevant to Sections 4.2 and 4.3. The focus of these may have been more on international assistance rather than management of the Great Barrier Reef, but could include specific international cooperation that addresses threats to the reef. Examples include climate change, and mortality of threatened species, such as turtles, outside Australia’s jurisdiction. Such actions will require a whole-of-government response. </w:t>
            </w:r>
          </w:p>
        </w:tc>
        <w:tc>
          <w:tcPr>
            <w:tcW w:w="6054" w:type="dxa"/>
          </w:tcPr>
          <w:p w:rsidR="00944B58" w:rsidRPr="00065220" w:rsidRDefault="00944B58" w:rsidP="00233787">
            <w:pPr>
              <w:spacing w:before="40" w:after="40"/>
              <w:rPr>
                <w:sz w:val="16"/>
              </w:rPr>
            </w:pPr>
            <w:r w:rsidRPr="00065220">
              <w:rPr>
                <w:sz w:val="16"/>
                <w:szCs w:val="16"/>
              </w:rPr>
              <w:t>Consider the inclusion of international activities in the Program description. Section 3.3 is one appropriate place to stress that effort beyond the reef-wide scale (including the Great Barrier Reef catchment) is needed.</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13</w:t>
            </w:r>
          </w:p>
        </w:tc>
        <w:tc>
          <w:tcPr>
            <w:tcW w:w="6663" w:type="dxa"/>
          </w:tcPr>
          <w:p w:rsidR="00944B58" w:rsidRPr="00065220" w:rsidRDefault="00944B58" w:rsidP="00233787">
            <w:pPr>
              <w:spacing w:before="40" w:after="40"/>
              <w:rPr>
                <w:sz w:val="16"/>
              </w:rPr>
            </w:pPr>
            <w:r w:rsidRPr="00065220">
              <w:rPr>
                <w:sz w:val="16"/>
              </w:rPr>
              <w:t xml:space="preserve">Even though not a GBRMPA instrument specifically, the </w:t>
            </w:r>
            <w:r w:rsidRPr="00065220">
              <w:rPr>
                <w:i/>
                <w:sz w:val="16"/>
              </w:rPr>
              <w:t xml:space="preserve">Interim Guidelines on the Outstanding Universal Value of the Great Barrier Reef World Heritage Area—for Proponents of Actions </w:t>
            </w:r>
            <w:r w:rsidRPr="00065220">
              <w:rPr>
                <w:sz w:val="16"/>
              </w:rPr>
              <w:t>are highly relevant to Section 4.1.9.</w:t>
            </w:r>
          </w:p>
        </w:tc>
        <w:tc>
          <w:tcPr>
            <w:tcW w:w="6054" w:type="dxa"/>
          </w:tcPr>
          <w:p w:rsidR="00944B58" w:rsidRPr="00065220" w:rsidRDefault="00944B58" w:rsidP="00233787">
            <w:pPr>
              <w:spacing w:before="40" w:after="40"/>
              <w:rPr>
                <w:sz w:val="16"/>
              </w:rPr>
            </w:pPr>
            <w:r w:rsidRPr="00065220">
              <w:rPr>
                <w:sz w:val="16"/>
              </w:rPr>
              <w:t>Refer to the Interim Guidelines and integrate in text.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18</w:t>
            </w:r>
          </w:p>
        </w:tc>
        <w:tc>
          <w:tcPr>
            <w:tcW w:w="6663" w:type="dxa"/>
          </w:tcPr>
          <w:p w:rsidR="00944B58" w:rsidRPr="00065220" w:rsidRDefault="00944B58" w:rsidP="00233787">
            <w:pPr>
              <w:spacing w:before="40" w:after="40"/>
              <w:rPr>
                <w:sz w:val="16"/>
              </w:rPr>
            </w:pPr>
            <w:r w:rsidRPr="00065220">
              <w:rPr>
                <w:sz w:val="16"/>
              </w:rPr>
              <w:t>Description of management framework is brief.</w:t>
            </w:r>
          </w:p>
        </w:tc>
        <w:tc>
          <w:tcPr>
            <w:tcW w:w="6054" w:type="dxa"/>
          </w:tcPr>
          <w:p w:rsidR="00944B58" w:rsidRPr="00065220" w:rsidRDefault="00944B58" w:rsidP="00233787">
            <w:pPr>
              <w:spacing w:before="40" w:after="40"/>
              <w:rPr>
                <w:sz w:val="16"/>
              </w:rPr>
            </w:pPr>
            <w:r w:rsidRPr="00065220">
              <w:rPr>
                <w:sz w:val="16"/>
              </w:rPr>
              <w:t>Some further clarification of the purpose, scope, stakeholder involvement and authority of the management framework would be valuable.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24</w:t>
            </w:r>
          </w:p>
        </w:tc>
        <w:tc>
          <w:tcPr>
            <w:tcW w:w="6663" w:type="dxa"/>
          </w:tcPr>
          <w:p w:rsidR="00944B58" w:rsidRPr="00065220" w:rsidRDefault="00944B58" w:rsidP="00233787">
            <w:pPr>
              <w:spacing w:before="40" w:after="40"/>
              <w:rPr>
                <w:sz w:val="16"/>
              </w:rPr>
            </w:pPr>
            <w:r w:rsidRPr="00065220">
              <w:rPr>
                <w:sz w:val="16"/>
              </w:rPr>
              <w:t xml:space="preserve">Targets section: GBRMPA has taken into consideration the effectiveness assessment’s conclusion that arrangements have largely been process- rather than outcome-focussed, and have committed to developing outcome-based targets. It is also appropriate that such targets are specific, measurable, achievable, relevant and time bound. The report is clear that the targets in Table 5 are preliminary, and will be developed further. A key consideration will be detailed understanding of what constitutes “measurable”, in terms of the real uncertainty resulting from natural variability and measurement error in monitoring data, lag times to get a response, and so on. </w:t>
            </w:r>
          </w:p>
        </w:tc>
        <w:tc>
          <w:tcPr>
            <w:tcW w:w="6054" w:type="dxa"/>
          </w:tcPr>
          <w:p w:rsidR="00944B58" w:rsidRPr="00065220" w:rsidRDefault="00944B58" w:rsidP="00233787">
            <w:pPr>
              <w:spacing w:before="40" w:after="40"/>
              <w:rPr>
                <w:sz w:val="16"/>
              </w:rPr>
            </w:pPr>
            <w:r w:rsidRPr="00065220">
              <w:rPr>
                <w:sz w:val="16"/>
              </w:rPr>
              <w:t>Clarify that target setting will be a scientifically robust process that includes careful consideration of the types of data available to measure success and an understanding of system response times.</w:t>
            </w:r>
          </w:p>
        </w:tc>
      </w:tr>
      <w:tr w:rsidR="00944B58" w:rsidRPr="00065220" w:rsidTr="00233787">
        <w:tc>
          <w:tcPr>
            <w:tcW w:w="572" w:type="dxa"/>
            <w:tcBorders>
              <w:bottom w:val="single" w:sz="4" w:space="0" w:color="auto"/>
            </w:tcBorders>
          </w:tcPr>
          <w:p w:rsidR="00944B58" w:rsidRPr="00065220" w:rsidRDefault="00944B58" w:rsidP="00233787">
            <w:pPr>
              <w:numPr>
                <w:ilvl w:val="0"/>
                <w:numId w:val="46"/>
              </w:numPr>
              <w:tabs>
                <w:tab w:val="left" w:pos="851"/>
              </w:tabs>
              <w:spacing w:after="120"/>
            </w:pPr>
          </w:p>
        </w:tc>
        <w:tc>
          <w:tcPr>
            <w:tcW w:w="1984" w:type="dxa"/>
            <w:tcBorders>
              <w:bottom w:val="single" w:sz="4" w:space="0" w:color="auto"/>
            </w:tcBorders>
          </w:tcPr>
          <w:p w:rsidR="00944B58" w:rsidRPr="00065220" w:rsidRDefault="00944B58" w:rsidP="00233787">
            <w:pPr>
              <w:spacing w:before="40" w:after="40"/>
              <w:rPr>
                <w:sz w:val="16"/>
              </w:rPr>
            </w:pPr>
            <w:r w:rsidRPr="00065220">
              <w:rPr>
                <w:sz w:val="16"/>
              </w:rPr>
              <w:t>24</w:t>
            </w:r>
          </w:p>
        </w:tc>
        <w:tc>
          <w:tcPr>
            <w:tcW w:w="6663" w:type="dxa"/>
            <w:tcBorders>
              <w:bottom w:val="single" w:sz="4" w:space="0" w:color="auto"/>
            </w:tcBorders>
          </w:tcPr>
          <w:p w:rsidR="00944B58" w:rsidRPr="00065220" w:rsidRDefault="00944B58" w:rsidP="00233787">
            <w:pPr>
              <w:tabs>
                <w:tab w:val="left" w:pos="788"/>
              </w:tabs>
              <w:spacing w:before="40" w:after="40"/>
              <w:rPr>
                <w:sz w:val="16"/>
              </w:rPr>
            </w:pPr>
            <w:r w:rsidRPr="00065220">
              <w:rPr>
                <w:sz w:val="16"/>
              </w:rPr>
              <w:t xml:space="preserve">The discussion of targets also states that not enough is known regarding heritage values to set outcome-based targets so the targets will be action- rather than outcome-oriented. The same is probably also true for at least some of the biological value targets, and even where outcome-based targets can be set and should be the priority, there should also be targets developed for implementing specific actions to achieve the desired outcomes. </w:t>
            </w:r>
          </w:p>
        </w:tc>
        <w:tc>
          <w:tcPr>
            <w:tcW w:w="6054" w:type="dxa"/>
            <w:tcBorders>
              <w:bottom w:val="single" w:sz="4" w:space="0" w:color="auto"/>
            </w:tcBorders>
          </w:tcPr>
          <w:p w:rsidR="00944B58" w:rsidRPr="00065220" w:rsidRDefault="00944B58" w:rsidP="00233787">
            <w:pPr>
              <w:spacing w:before="40" w:after="40"/>
              <w:rPr>
                <w:sz w:val="16"/>
              </w:rPr>
            </w:pPr>
            <w:r w:rsidRPr="00065220">
              <w:rPr>
                <w:sz w:val="16"/>
              </w:rPr>
              <w:t>This may be inherent in the overall program development and implementation but could be made more explicit in Section 5.2.3.</w:t>
            </w:r>
          </w:p>
        </w:tc>
      </w:tr>
      <w:tr w:rsidR="00944B58" w:rsidRPr="00065220" w:rsidTr="00233787">
        <w:tc>
          <w:tcPr>
            <w:tcW w:w="572" w:type="dxa"/>
            <w:tcBorders>
              <w:bottom w:val="single" w:sz="4" w:space="0" w:color="auto"/>
            </w:tcBorders>
          </w:tcPr>
          <w:p w:rsidR="00944B58" w:rsidRPr="00065220" w:rsidRDefault="00944B58" w:rsidP="00233787">
            <w:pPr>
              <w:numPr>
                <w:ilvl w:val="0"/>
                <w:numId w:val="46"/>
              </w:numPr>
              <w:tabs>
                <w:tab w:val="left" w:pos="851"/>
              </w:tabs>
              <w:spacing w:after="120"/>
            </w:pPr>
          </w:p>
        </w:tc>
        <w:tc>
          <w:tcPr>
            <w:tcW w:w="1984" w:type="dxa"/>
            <w:tcBorders>
              <w:bottom w:val="single" w:sz="4" w:space="0" w:color="auto"/>
            </w:tcBorders>
          </w:tcPr>
          <w:p w:rsidR="00944B58" w:rsidRPr="00065220" w:rsidRDefault="00944B58" w:rsidP="00233787">
            <w:pPr>
              <w:spacing w:before="40" w:after="40"/>
              <w:rPr>
                <w:sz w:val="16"/>
              </w:rPr>
            </w:pPr>
            <w:r w:rsidRPr="00065220">
              <w:rPr>
                <w:sz w:val="16"/>
              </w:rPr>
              <w:t>29</w:t>
            </w:r>
          </w:p>
        </w:tc>
        <w:tc>
          <w:tcPr>
            <w:tcW w:w="6663" w:type="dxa"/>
            <w:tcBorders>
              <w:bottom w:val="single" w:sz="4" w:space="0" w:color="auto"/>
            </w:tcBorders>
          </w:tcPr>
          <w:p w:rsidR="00944B58" w:rsidRPr="00065220" w:rsidRDefault="00944B58" w:rsidP="00233787">
            <w:pPr>
              <w:spacing w:before="40" w:after="40"/>
              <w:rPr>
                <w:sz w:val="16"/>
              </w:rPr>
            </w:pPr>
            <w:r w:rsidRPr="00065220">
              <w:rPr>
                <w:sz w:val="16"/>
              </w:rPr>
              <w:t xml:space="preserve">The statement “by improving transparency and providing certainty about assessment requirements” could be expanded to explain how this will be done. </w:t>
            </w:r>
          </w:p>
        </w:tc>
        <w:tc>
          <w:tcPr>
            <w:tcW w:w="6054" w:type="dxa"/>
            <w:tcBorders>
              <w:bottom w:val="single" w:sz="4" w:space="0" w:color="auto"/>
            </w:tcBorders>
          </w:tcPr>
          <w:p w:rsidR="00944B58" w:rsidRPr="00065220" w:rsidRDefault="00944B58" w:rsidP="00233787">
            <w:pPr>
              <w:spacing w:before="40" w:after="40"/>
              <w:rPr>
                <w:sz w:val="16"/>
              </w:rPr>
            </w:pPr>
            <w:r w:rsidRPr="00065220">
              <w:rPr>
                <w:sz w:val="16"/>
              </w:rPr>
              <w:t>Describe the specific actions that will be used to achieve this (recognising this is a policy that will be developed).</w:t>
            </w:r>
          </w:p>
        </w:tc>
      </w:tr>
      <w:tr w:rsidR="00944B58" w:rsidRPr="00065220" w:rsidTr="00233787">
        <w:tc>
          <w:tcPr>
            <w:tcW w:w="572" w:type="dxa"/>
            <w:tcBorders>
              <w:bottom w:val="single" w:sz="4" w:space="0" w:color="auto"/>
            </w:tcBorders>
          </w:tcPr>
          <w:p w:rsidR="00944B58" w:rsidRPr="00065220" w:rsidRDefault="00944B58" w:rsidP="00233787">
            <w:pPr>
              <w:numPr>
                <w:ilvl w:val="0"/>
                <w:numId w:val="46"/>
              </w:numPr>
              <w:tabs>
                <w:tab w:val="left" w:pos="851"/>
              </w:tabs>
              <w:spacing w:after="120"/>
            </w:pPr>
          </w:p>
        </w:tc>
        <w:tc>
          <w:tcPr>
            <w:tcW w:w="1984" w:type="dxa"/>
            <w:tcBorders>
              <w:bottom w:val="single" w:sz="4" w:space="0" w:color="auto"/>
            </w:tcBorders>
          </w:tcPr>
          <w:p w:rsidR="00944B58" w:rsidRPr="00065220" w:rsidRDefault="00944B58" w:rsidP="00233787">
            <w:pPr>
              <w:spacing w:before="40" w:after="40"/>
              <w:rPr>
                <w:sz w:val="16"/>
              </w:rPr>
            </w:pPr>
            <w:r w:rsidRPr="00065220">
              <w:rPr>
                <w:sz w:val="16"/>
              </w:rPr>
              <w:t>32</w:t>
            </w:r>
          </w:p>
        </w:tc>
        <w:tc>
          <w:tcPr>
            <w:tcW w:w="6663" w:type="dxa"/>
            <w:tcBorders>
              <w:bottom w:val="single" w:sz="4" w:space="0" w:color="auto"/>
            </w:tcBorders>
          </w:tcPr>
          <w:p w:rsidR="00944B58" w:rsidRDefault="00944B58" w:rsidP="00233787">
            <w:pPr>
              <w:spacing w:before="40" w:after="40"/>
              <w:rPr>
                <w:sz w:val="16"/>
              </w:rPr>
            </w:pPr>
            <w:r w:rsidRPr="00065220">
              <w:rPr>
                <w:sz w:val="16"/>
              </w:rPr>
              <w:t>What is the justification for prioritising the areas mentioned for the Reef Recovery program? Many of the locations listed were demonstration cases. Would priorities change had different demonstration cases been chosen? Why Mackay-Whitsunday when this area has achieved the highest reduction in pollutant loads (case study) and water quality is identified as the main threat to reef resilience?</w:t>
            </w:r>
          </w:p>
          <w:p w:rsidR="00944B58" w:rsidRPr="00065220" w:rsidRDefault="00944B58" w:rsidP="00233787">
            <w:pPr>
              <w:spacing w:before="40" w:after="40"/>
              <w:rPr>
                <w:sz w:val="16"/>
              </w:rPr>
            </w:pPr>
            <w:r>
              <w:rPr>
                <w:sz w:val="16"/>
              </w:rPr>
              <w:t>Description of the Reef Recovery Program would benefit from more information on its intended scale and how this will be matched with the scale at which impacts occur.</w:t>
            </w:r>
          </w:p>
        </w:tc>
        <w:tc>
          <w:tcPr>
            <w:tcW w:w="6054" w:type="dxa"/>
            <w:tcBorders>
              <w:bottom w:val="single" w:sz="4" w:space="0" w:color="auto"/>
            </w:tcBorders>
          </w:tcPr>
          <w:p w:rsidR="00944B58" w:rsidRDefault="00944B58" w:rsidP="00233787">
            <w:pPr>
              <w:spacing w:before="40" w:after="40"/>
              <w:rPr>
                <w:sz w:val="16"/>
              </w:rPr>
            </w:pPr>
            <w:r w:rsidRPr="00065220">
              <w:rPr>
                <w:sz w:val="16"/>
              </w:rPr>
              <w:t>Explain reasons for choosing these areas as priorities, and/or consider different demonstration cases.</w:t>
            </w:r>
          </w:p>
          <w:p w:rsidR="00944B58" w:rsidRPr="00065220" w:rsidRDefault="00944B58" w:rsidP="00233787">
            <w:pPr>
              <w:spacing w:before="40" w:after="40"/>
              <w:rPr>
                <w:sz w:val="16"/>
              </w:rPr>
            </w:pPr>
            <w:r>
              <w:rPr>
                <w:sz w:val="16"/>
              </w:rPr>
              <w:t>Provide more information on the intended scale of the Reef Recovery Program and how this aligns with the scale at which impacts occur.</w:t>
            </w:r>
          </w:p>
        </w:tc>
      </w:tr>
      <w:tr w:rsidR="00944B58" w:rsidRPr="00065220" w:rsidTr="00233787">
        <w:tc>
          <w:tcPr>
            <w:tcW w:w="572" w:type="dxa"/>
            <w:tcBorders>
              <w:bottom w:val="single" w:sz="4" w:space="0" w:color="auto"/>
            </w:tcBorders>
          </w:tcPr>
          <w:p w:rsidR="00944B58" w:rsidRPr="00065220" w:rsidRDefault="00944B58" w:rsidP="00233787">
            <w:pPr>
              <w:numPr>
                <w:ilvl w:val="0"/>
                <w:numId w:val="46"/>
              </w:numPr>
              <w:tabs>
                <w:tab w:val="left" w:pos="851"/>
              </w:tabs>
              <w:spacing w:after="120"/>
            </w:pPr>
          </w:p>
        </w:tc>
        <w:tc>
          <w:tcPr>
            <w:tcW w:w="1984" w:type="dxa"/>
            <w:tcBorders>
              <w:bottom w:val="single" w:sz="4" w:space="0" w:color="auto"/>
            </w:tcBorders>
          </w:tcPr>
          <w:p w:rsidR="00944B58" w:rsidRPr="00065220" w:rsidRDefault="00944B58" w:rsidP="00233787">
            <w:pPr>
              <w:spacing w:before="40" w:after="40"/>
              <w:rPr>
                <w:sz w:val="16"/>
              </w:rPr>
            </w:pPr>
            <w:r w:rsidRPr="00065220">
              <w:rPr>
                <w:sz w:val="16"/>
              </w:rPr>
              <w:t>Appendix 4</w:t>
            </w:r>
          </w:p>
        </w:tc>
        <w:tc>
          <w:tcPr>
            <w:tcW w:w="6663" w:type="dxa"/>
            <w:tcBorders>
              <w:bottom w:val="single" w:sz="4" w:space="0" w:color="auto"/>
            </w:tcBorders>
          </w:tcPr>
          <w:p w:rsidR="00944B58" w:rsidRPr="00065220" w:rsidRDefault="00944B58" w:rsidP="00233787">
            <w:pPr>
              <w:spacing w:before="40" w:after="40"/>
              <w:rPr>
                <w:sz w:val="16"/>
              </w:rPr>
            </w:pPr>
            <w:r w:rsidRPr="00065220">
              <w:rPr>
                <w:sz w:val="16"/>
              </w:rPr>
              <w:t>Impacts are not the same as risks</w:t>
            </w:r>
          </w:p>
        </w:tc>
        <w:tc>
          <w:tcPr>
            <w:tcW w:w="6054" w:type="dxa"/>
            <w:tcBorders>
              <w:bottom w:val="single" w:sz="4" w:space="0" w:color="auto"/>
            </w:tcBorders>
          </w:tcPr>
          <w:p w:rsidR="00944B58" w:rsidRPr="00065220" w:rsidRDefault="00944B58" w:rsidP="00233787">
            <w:pPr>
              <w:spacing w:before="40" w:after="40"/>
              <w:rPr>
                <w:sz w:val="16"/>
              </w:rPr>
            </w:pPr>
            <w:r w:rsidRPr="00065220">
              <w:rPr>
                <w:sz w:val="16"/>
              </w:rPr>
              <w:t>Correct wording</w:t>
            </w:r>
          </w:p>
        </w:tc>
      </w:tr>
      <w:tr w:rsidR="00944B58" w:rsidRPr="00065220" w:rsidTr="00233787">
        <w:tc>
          <w:tcPr>
            <w:tcW w:w="572" w:type="dxa"/>
            <w:tcBorders>
              <w:bottom w:val="single" w:sz="4" w:space="0" w:color="auto"/>
            </w:tcBorders>
          </w:tcPr>
          <w:p w:rsidR="00944B58" w:rsidRPr="00065220" w:rsidRDefault="00944B58" w:rsidP="00233787">
            <w:pPr>
              <w:numPr>
                <w:ilvl w:val="0"/>
                <w:numId w:val="46"/>
              </w:numPr>
              <w:tabs>
                <w:tab w:val="left" w:pos="851"/>
              </w:tabs>
              <w:spacing w:after="120"/>
            </w:pPr>
          </w:p>
        </w:tc>
        <w:tc>
          <w:tcPr>
            <w:tcW w:w="1984" w:type="dxa"/>
            <w:tcBorders>
              <w:bottom w:val="single" w:sz="4" w:space="0" w:color="auto"/>
            </w:tcBorders>
          </w:tcPr>
          <w:p w:rsidR="00944B58" w:rsidRPr="00065220" w:rsidRDefault="00944B58" w:rsidP="00233787">
            <w:pPr>
              <w:spacing w:before="40" w:after="40"/>
              <w:rPr>
                <w:sz w:val="16"/>
              </w:rPr>
            </w:pPr>
            <w:r w:rsidRPr="00065220">
              <w:rPr>
                <w:sz w:val="16"/>
              </w:rPr>
              <w:t>Validity of conclusions</w:t>
            </w:r>
          </w:p>
        </w:tc>
        <w:tc>
          <w:tcPr>
            <w:tcW w:w="6663" w:type="dxa"/>
            <w:tcBorders>
              <w:bottom w:val="single" w:sz="4" w:space="0" w:color="auto"/>
            </w:tcBorders>
          </w:tcPr>
          <w:p w:rsidR="00944B58" w:rsidRPr="00065220" w:rsidRDefault="00944B58" w:rsidP="00233787">
            <w:pPr>
              <w:spacing w:before="40" w:after="40"/>
              <w:rPr>
                <w:sz w:val="16"/>
              </w:rPr>
            </w:pPr>
            <w:r w:rsidRPr="00065220">
              <w:rPr>
                <w:sz w:val="16"/>
              </w:rPr>
              <w:t>The Program Report does not identify sustaining and improving fisheries in relation to community benefits and direct uses.</w:t>
            </w:r>
          </w:p>
        </w:tc>
        <w:tc>
          <w:tcPr>
            <w:tcW w:w="6054" w:type="dxa"/>
            <w:tcBorders>
              <w:bottom w:val="single" w:sz="4" w:space="0" w:color="auto"/>
            </w:tcBorders>
          </w:tcPr>
          <w:p w:rsidR="00944B58" w:rsidRPr="00065220" w:rsidRDefault="00944B58" w:rsidP="00233787">
            <w:pPr>
              <w:spacing w:before="40" w:after="40"/>
              <w:rPr>
                <w:sz w:val="16"/>
              </w:rPr>
            </w:pPr>
            <w:r w:rsidRPr="00065220">
              <w:rPr>
                <w:sz w:val="16"/>
              </w:rPr>
              <w:t>Include in the Program Report.</w:t>
            </w:r>
          </w:p>
        </w:tc>
      </w:tr>
      <w:tr w:rsidR="00944B58" w:rsidRPr="00065220" w:rsidTr="00233787">
        <w:tc>
          <w:tcPr>
            <w:tcW w:w="15273" w:type="dxa"/>
            <w:gridSpan w:val="4"/>
            <w:shd w:val="clear" w:color="auto" w:fill="E9E9EA" w:themeFill="background1" w:themeFillTint="33"/>
          </w:tcPr>
          <w:p w:rsidR="00944B58" w:rsidRPr="00065220" w:rsidRDefault="00944B58" w:rsidP="00233787">
            <w:pPr>
              <w:spacing w:before="40" w:after="40"/>
              <w:rPr>
                <w:b/>
                <w:sz w:val="16"/>
              </w:rPr>
            </w:pPr>
            <w:r w:rsidRPr="00065220">
              <w:rPr>
                <w:b/>
                <w:sz w:val="18"/>
                <w:szCs w:val="18"/>
              </w:rPr>
              <w:t>DRAFT Strategic Assessment Report</w:t>
            </w:r>
            <w:r w:rsidRPr="00065220">
              <w:rPr>
                <w:b/>
                <w:sz w:val="16"/>
              </w:rPr>
              <w:t xml:space="preserve">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Pr>
                <w:sz w:val="16"/>
              </w:rPr>
              <w:t>3-5</w:t>
            </w:r>
          </w:p>
        </w:tc>
        <w:tc>
          <w:tcPr>
            <w:tcW w:w="6663" w:type="dxa"/>
          </w:tcPr>
          <w:p w:rsidR="00944B58" w:rsidRPr="00503DE2" w:rsidRDefault="00944B58" w:rsidP="00233787">
            <w:pPr>
              <w:spacing w:before="40" w:after="40"/>
              <w:rPr>
                <w:sz w:val="16"/>
              </w:rPr>
            </w:pPr>
            <w:r>
              <w:rPr>
                <w:sz w:val="16"/>
              </w:rPr>
              <w:t xml:space="preserve">The application of the </w:t>
            </w:r>
            <w:r w:rsidRPr="00503DE2">
              <w:rPr>
                <w:i/>
                <w:sz w:val="16"/>
              </w:rPr>
              <w:t>Great Barrier Reef Marine Park Act 1975</w:t>
            </w:r>
            <w:r>
              <w:rPr>
                <w:sz w:val="16"/>
              </w:rPr>
              <w:t xml:space="preserve"> outside of the boundary of the marine park could be further clarified.</w:t>
            </w:r>
          </w:p>
        </w:tc>
        <w:tc>
          <w:tcPr>
            <w:tcW w:w="6054" w:type="dxa"/>
            <w:shd w:val="clear" w:color="auto" w:fill="auto"/>
          </w:tcPr>
          <w:p w:rsidR="00944B58" w:rsidRDefault="00944B58" w:rsidP="00233787">
            <w:pPr>
              <w:spacing w:before="40" w:after="40"/>
              <w:rPr>
                <w:sz w:val="16"/>
              </w:rPr>
            </w:pPr>
            <w:r>
              <w:rPr>
                <w:sz w:val="16"/>
              </w:rPr>
              <w:t>Provide further details on the powers described in Section 3.3 of the Assessment Report, including examples of their application previously, or reasons why they have not been applied.</w:t>
            </w:r>
          </w:p>
          <w:p w:rsidR="00944B58" w:rsidRPr="00065220" w:rsidRDefault="00944B58" w:rsidP="00233787">
            <w:pPr>
              <w:spacing w:before="40" w:after="40"/>
              <w:rPr>
                <w:sz w:val="16"/>
              </w:rPr>
            </w:pPr>
            <w:r>
              <w:rPr>
                <w:sz w:val="16"/>
              </w:rPr>
              <w:t>Some analysis of the strengths and weaknesses of the existing legislation in addressing activities within the inshore areas or catchment of the Great Barrier Reef would improve the discussion.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3-8</w:t>
            </w:r>
          </w:p>
        </w:tc>
        <w:tc>
          <w:tcPr>
            <w:tcW w:w="6663" w:type="dxa"/>
          </w:tcPr>
          <w:p w:rsidR="00944B58" w:rsidRPr="00065220" w:rsidRDefault="00944B58" w:rsidP="00233787">
            <w:pPr>
              <w:spacing w:before="40" w:after="40"/>
              <w:rPr>
                <w:sz w:val="16"/>
              </w:rPr>
            </w:pPr>
            <w:r w:rsidRPr="00065220">
              <w:rPr>
                <w:sz w:val="16"/>
              </w:rPr>
              <w:t xml:space="preserve">The </w:t>
            </w:r>
            <w:r w:rsidRPr="00065220">
              <w:rPr>
                <w:i/>
                <w:sz w:val="16"/>
              </w:rPr>
              <w:t>Great Barrier Reef Marine Park Aquaculture Regulations 2000</w:t>
            </w:r>
            <w:r w:rsidRPr="00065220">
              <w:rPr>
                <w:sz w:val="16"/>
              </w:rPr>
              <w:t xml:space="preserve"> are described as part of the Program, despite recent GBRMPA publications announcing the intention to repeal them. </w:t>
            </w:r>
          </w:p>
        </w:tc>
        <w:tc>
          <w:tcPr>
            <w:tcW w:w="6054" w:type="dxa"/>
            <w:shd w:val="clear" w:color="auto" w:fill="auto"/>
          </w:tcPr>
          <w:p w:rsidR="00944B58" w:rsidRPr="00065220" w:rsidRDefault="00944B58" w:rsidP="00233787">
            <w:pPr>
              <w:spacing w:before="40" w:after="40"/>
              <w:rPr>
                <w:sz w:val="16"/>
              </w:rPr>
            </w:pPr>
            <w:r w:rsidRPr="00065220">
              <w:rPr>
                <w:sz w:val="16"/>
              </w:rPr>
              <w:t>Their current status and future plans for their implementation could be clarified.</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3-9</w:t>
            </w:r>
          </w:p>
        </w:tc>
        <w:tc>
          <w:tcPr>
            <w:tcW w:w="6663" w:type="dxa"/>
          </w:tcPr>
          <w:p w:rsidR="00944B58" w:rsidRPr="00065220" w:rsidRDefault="00944B58" w:rsidP="00233787">
            <w:pPr>
              <w:spacing w:before="40" w:after="40"/>
              <w:rPr>
                <w:sz w:val="16"/>
              </w:rPr>
            </w:pPr>
            <w:r w:rsidRPr="00065220">
              <w:rPr>
                <w:i/>
                <w:sz w:val="16"/>
              </w:rPr>
              <w:t>Marine Parks Regulation 2006</w:t>
            </w:r>
            <w:r w:rsidRPr="00065220">
              <w:rPr>
                <w:sz w:val="16"/>
              </w:rPr>
              <w:t xml:space="preserve"> is not listed in Queensland legislation.</w:t>
            </w:r>
          </w:p>
        </w:tc>
        <w:tc>
          <w:tcPr>
            <w:tcW w:w="6054" w:type="dxa"/>
            <w:shd w:val="clear" w:color="auto" w:fill="auto"/>
          </w:tcPr>
          <w:p w:rsidR="00944B58" w:rsidRPr="00065220" w:rsidRDefault="00944B58" w:rsidP="00233787">
            <w:pPr>
              <w:spacing w:before="40" w:after="40"/>
              <w:rPr>
                <w:sz w:val="16"/>
              </w:rPr>
            </w:pPr>
            <w:r w:rsidRPr="00065220">
              <w:rPr>
                <w:sz w:val="16"/>
              </w:rPr>
              <w:t xml:space="preserve">Add </w:t>
            </w:r>
            <w:r w:rsidRPr="00065220">
              <w:rPr>
                <w:i/>
                <w:sz w:val="16"/>
              </w:rPr>
              <w:t xml:space="preserve">Marine Parks Regulation </w:t>
            </w:r>
            <w:r w:rsidRPr="00065220">
              <w:rPr>
                <w:sz w:val="16"/>
              </w:rPr>
              <w:t>2006 to the list of Queensland legislation.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3-12, Table 3.1</w:t>
            </w:r>
          </w:p>
        </w:tc>
        <w:tc>
          <w:tcPr>
            <w:tcW w:w="6663" w:type="dxa"/>
          </w:tcPr>
          <w:p w:rsidR="00944B58" w:rsidRPr="00065220" w:rsidRDefault="00944B58" w:rsidP="00233787">
            <w:pPr>
              <w:spacing w:before="40" w:after="40"/>
              <w:rPr>
                <w:sz w:val="16"/>
              </w:rPr>
            </w:pPr>
            <w:r w:rsidRPr="00065220">
              <w:rPr>
                <w:sz w:val="16"/>
              </w:rPr>
              <w:t xml:space="preserve">The table caption does not say the content relates only to GBRMPA tools, though the callout to the table in the text does place focus on GBRMPA. Even so, the table does </w:t>
            </w:r>
            <w:r w:rsidRPr="00065220">
              <w:rPr>
                <w:sz w:val="16"/>
              </w:rPr>
              <w:lastRenderedPageBreak/>
              <w:t>include some other instruments, for example permits issued under Queensland Marine Parks Regulations. Not including Reef Plan under partnerships seems a significant omission as it is a centrepiece of the overall management of the World Heritage Area (Reef Plan is included in Section 4.2.1 of the Program Report). Queensland’s role in fisheries management, and the recently issued Interim Guidelines on the Outstanding Universal Value of the Great Barrier Reef World Heritage Area—for Proponents of Actions, are also important components that should be mentioned in the table.</w:t>
            </w:r>
          </w:p>
        </w:tc>
        <w:tc>
          <w:tcPr>
            <w:tcW w:w="6054" w:type="dxa"/>
          </w:tcPr>
          <w:p w:rsidR="00944B58" w:rsidRPr="00065220" w:rsidRDefault="00944B58" w:rsidP="00233787">
            <w:pPr>
              <w:spacing w:before="40" w:after="40"/>
              <w:rPr>
                <w:color w:val="5185C0" w:themeColor="accent6"/>
                <w:sz w:val="16"/>
              </w:rPr>
            </w:pPr>
            <w:r w:rsidRPr="00065220">
              <w:rPr>
                <w:sz w:val="16"/>
              </w:rPr>
              <w:lastRenderedPageBreak/>
              <w:t>Review table caption and content.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3, Table 3-2</w:t>
            </w:r>
          </w:p>
        </w:tc>
        <w:tc>
          <w:tcPr>
            <w:tcW w:w="6663" w:type="dxa"/>
          </w:tcPr>
          <w:p w:rsidR="00944B58" w:rsidRPr="00065220" w:rsidRDefault="00944B58" w:rsidP="00233787">
            <w:pPr>
              <w:spacing w:before="40" w:after="40"/>
              <w:rPr>
                <w:sz w:val="16"/>
              </w:rPr>
            </w:pPr>
            <w:r w:rsidRPr="00065220">
              <w:rPr>
                <w:sz w:val="16"/>
              </w:rPr>
              <w:t>GBRMPA issues joint permits for some coastal development projects which may extend beyond state waters (for example involving dredging, material placement activities or pontoons).</w:t>
            </w:r>
          </w:p>
        </w:tc>
        <w:tc>
          <w:tcPr>
            <w:tcW w:w="6054" w:type="dxa"/>
          </w:tcPr>
          <w:p w:rsidR="00944B58" w:rsidRPr="00065220" w:rsidRDefault="00944B58" w:rsidP="00233787">
            <w:pPr>
              <w:spacing w:before="40" w:after="40"/>
              <w:rPr>
                <w:sz w:val="16"/>
              </w:rPr>
            </w:pPr>
            <w:r w:rsidRPr="00065220">
              <w:rPr>
                <w:sz w:val="16"/>
              </w:rPr>
              <w:t xml:space="preserve"> Add dot to the Table for permits and coastal development.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3-22</w:t>
            </w:r>
          </w:p>
        </w:tc>
        <w:tc>
          <w:tcPr>
            <w:tcW w:w="6663" w:type="dxa"/>
          </w:tcPr>
          <w:p w:rsidR="00944B58" w:rsidRPr="00065220" w:rsidRDefault="00944B58" w:rsidP="00233787">
            <w:pPr>
              <w:spacing w:before="40" w:after="40"/>
              <w:rPr>
                <w:sz w:val="16"/>
              </w:rPr>
            </w:pPr>
            <w:r w:rsidRPr="00065220">
              <w:rPr>
                <w:sz w:val="16"/>
              </w:rPr>
              <w:t xml:space="preserve">Sharks, dugongs and turtles – this section somewhat overstates the evidence provided by the cited papers for benefits of the 2003 zoning to sharks, dugongs, and turtles. Reference 14 (McCook </w:t>
            </w:r>
            <w:r w:rsidRPr="00065220">
              <w:rPr>
                <w:i/>
                <w:sz w:val="16"/>
              </w:rPr>
              <w:t xml:space="preserve">et al. </w:t>
            </w:r>
            <w:r w:rsidRPr="00065220">
              <w:rPr>
                <w:sz w:val="16"/>
              </w:rPr>
              <w:t xml:space="preserve">2010) states that sharks have benefited, but also that these benefits are less than for more site-attached species. For dugongs, McCook </w:t>
            </w:r>
            <w:r w:rsidRPr="00065220">
              <w:rPr>
                <w:i/>
                <w:sz w:val="16"/>
              </w:rPr>
              <w:t>et al.</w:t>
            </w:r>
            <w:r w:rsidRPr="00065220">
              <w:rPr>
                <w:sz w:val="16"/>
              </w:rPr>
              <w:t xml:space="preserve"> (2010) discuss the increased portion of critical habitat protected by the 2003 rezoning, however they do not provide evidence for beneficial effects; they also note that other protective measures are needed. McCook </w:t>
            </w:r>
            <w:r w:rsidRPr="00065220">
              <w:rPr>
                <w:i/>
                <w:sz w:val="16"/>
              </w:rPr>
              <w:t>et al.</w:t>
            </w:r>
            <w:r w:rsidRPr="00065220">
              <w:rPr>
                <w:sz w:val="16"/>
              </w:rPr>
              <w:t xml:space="preserve"> (2010) treat turtles in a similar manner. Reference 17 (Marsh </w:t>
            </w:r>
            <w:r w:rsidRPr="00065220">
              <w:rPr>
                <w:i/>
                <w:sz w:val="16"/>
              </w:rPr>
              <w:t>et al.</w:t>
            </w:r>
            <w:r w:rsidRPr="00065220">
              <w:rPr>
                <w:sz w:val="16"/>
              </w:rPr>
              <w:t xml:space="preserve"> 2005) does not address possible benefits of the rezoning for dugong, which would have been highly unlikely to occur on the short time scale between rezoning and the publication of this paper. Reference 18 (Gell &amp; Roberts 2003) is a general review and provides no information regarding the effects of rezoning, in fact the paper was published before the rezoning was implemented.</w:t>
            </w:r>
          </w:p>
        </w:tc>
        <w:tc>
          <w:tcPr>
            <w:tcW w:w="6054" w:type="dxa"/>
          </w:tcPr>
          <w:p w:rsidR="00944B58" w:rsidRPr="00065220" w:rsidRDefault="00944B58" w:rsidP="00233787">
            <w:pPr>
              <w:spacing w:before="40" w:after="40"/>
              <w:rPr>
                <w:sz w:val="16"/>
              </w:rPr>
            </w:pPr>
            <w:r w:rsidRPr="00065220">
              <w:rPr>
                <w:sz w:val="16"/>
              </w:rPr>
              <w:t>Reconsider appropriate references for this section.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4-7</w:t>
            </w:r>
          </w:p>
        </w:tc>
        <w:tc>
          <w:tcPr>
            <w:tcW w:w="6663" w:type="dxa"/>
          </w:tcPr>
          <w:p w:rsidR="00944B58" w:rsidRPr="00065220" w:rsidRDefault="00944B58" w:rsidP="00233787">
            <w:pPr>
              <w:spacing w:before="40" w:after="40"/>
              <w:rPr>
                <w:sz w:val="16"/>
              </w:rPr>
            </w:pPr>
            <w:r w:rsidRPr="00065220">
              <w:rPr>
                <w:sz w:val="16"/>
              </w:rPr>
              <w:t>The reference simply to "aesthetic value" ignores the "superlative natural phenomena" component of criterion vii.</w:t>
            </w:r>
          </w:p>
        </w:tc>
        <w:tc>
          <w:tcPr>
            <w:tcW w:w="6054" w:type="dxa"/>
          </w:tcPr>
          <w:p w:rsidR="00944B58" w:rsidRPr="00065220" w:rsidRDefault="00944B58" w:rsidP="00233787">
            <w:pPr>
              <w:spacing w:before="40" w:after="40"/>
              <w:rPr>
                <w:color w:val="5185C0" w:themeColor="accent6"/>
                <w:sz w:val="16"/>
              </w:rPr>
            </w:pPr>
            <w:r w:rsidRPr="00065220">
              <w:rPr>
                <w:sz w:val="16"/>
              </w:rPr>
              <w:t>Include superlative natural phenomena component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4-8</w:t>
            </w:r>
          </w:p>
        </w:tc>
        <w:tc>
          <w:tcPr>
            <w:tcW w:w="6663" w:type="dxa"/>
          </w:tcPr>
          <w:p w:rsidR="00944B58" w:rsidRPr="00065220" w:rsidRDefault="00944B58" w:rsidP="00233787">
            <w:pPr>
              <w:spacing w:before="40" w:after="40"/>
              <w:rPr>
                <w:sz w:val="16"/>
              </w:rPr>
            </w:pPr>
            <w:r w:rsidRPr="00065220">
              <w:rPr>
                <w:sz w:val="16"/>
              </w:rPr>
              <w:t>Criterion ix provides a focus on biological and ecological processes (the only MNES that specifically refers to processes) but this is not sufficiently captured in the description nor in what needs to be protected as part of OUV. Activities that undermine such ecological and biological processes are of significant concern and should be included in discussions about impacts throughout the strategic assessment in addition to specific impacts on species for example. This is also implicit within the notion of "integrity" as used in World Heritage assessment and management.</w:t>
            </w:r>
          </w:p>
        </w:tc>
        <w:tc>
          <w:tcPr>
            <w:tcW w:w="6054" w:type="dxa"/>
          </w:tcPr>
          <w:p w:rsidR="00944B58" w:rsidRPr="00065220" w:rsidRDefault="00944B58" w:rsidP="00233787">
            <w:pPr>
              <w:spacing w:before="40" w:after="40"/>
              <w:rPr>
                <w:sz w:val="16"/>
              </w:rPr>
            </w:pPr>
            <w:r w:rsidRPr="00065220">
              <w:rPr>
                <w:sz w:val="16"/>
              </w:rPr>
              <w:t>While such processes may be implicit in the discussion, there would be value in making them explicit.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4-23</w:t>
            </w:r>
          </w:p>
        </w:tc>
        <w:tc>
          <w:tcPr>
            <w:tcW w:w="6663" w:type="dxa"/>
          </w:tcPr>
          <w:p w:rsidR="00944B58" w:rsidRPr="00065220" w:rsidRDefault="00944B58" w:rsidP="00233787">
            <w:pPr>
              <w:spacing w:before="40" w:after="40"/>
              <w:rPr>
                <w:sz w:val="16"/>
              </w:rPr>
            </w:pPr>
            <w:r w:rsidRPr="00065220">
              <w:rPr>
                <w:sz w:val="16"/>
              </w:rPr>
              <w:t xml:space="preserve">The discussion of community benefits of the environment does not include regulating </w:t>
            </w:r>
            <w:r w:rsidRPr="00065220">
              <w:rPr>
                <w:sz w:val="16"/>
              </w:rPr>
              <w:lastRenderedPageBreak/>
              <w:t>services such as coastal protection, nutrient/carbon sequestration. This may be because the discussion in largely based on public consultation, and the importance of such services is probably not front-of-mind for the general public. However, regulating services do not seem to be considered in the report. In particular, nutrient cycling and the critical role of wetlands are not addressed. Nutrient cycling seems to be considered solely in terms of catchment inputs (e.g. Strategic Assessment page 7-36), but given that a large proportion of saltmarsh, for example, has been channelized are there opportunities to reduce nutrient inputs via salt marsh restoration?</w:t>
            </w:r>
          </w:p>
        </w:tc>
        <w:tc>
          <w:tcPr>
            <w:tcW w:w="6054" w:type="dxa"/>
          </w:tcPr>
          <w:p w:rsidR="00944B58" w:rsidRPr="00065220" w:rsidRDefault="00944B58" w:rsidP="00233787">
            <w:pPr>
              <w:spacing w:before="40" w:after="40"/>
              <w:rPr>
                <w:color w:val="5185C0" w:themeColor="accent6"/>
                <w:sz w:val="16"/>
              </w:rPr>
            </w:pPr>
            <w:r w:rsidRPr="00065220">
              <w:rPr>
                <w:sz w:val="16"/>
              </w:rPr>
              <w:lastRenderedPageBreak/>
              <w:t>Include regulating services in community benefits.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4-32</w:t>
            </w:r>
          </w:p>
        </w:tc>
        <w:tc>
          <w:tcPr>
            <w:tcW w:w="6663" w:type="dxa"/>
          </w:tcPr>
          <w:p w:rsidR="00944B58" w:rsidRPr="00065220" w:rsidRDefault="00944B58" w:rsidP="00233787">
            <w:pPr>
              <w:spacing w:before="40" w:after="40"/>
              <w:rPr>
                <w:sz w:val="16"/>
              </w:rPr>
            </w:pPr>
            <w:r w:rsidRPr="00065220">
              <w:rPr>
                <w:sz w:val="16"/>
              </w:rPr>
              <w:t>1</w:t>
            </w:r>
            <w:r w:rsidRPr="00065220">
              <w:rPr>
                <w:sz w:val="16"/>
                <w:vertAlign w:val="superscript"/>
              </w:rPr>
              <w:t>st</w:t>
            </w:r>
            <w:r w:rsidRPr="00065220">
              <w:rPr>
                <w:sz w:val="16"/>
              </w:rPr>
              <w:t xml:space="preserve"> sentence: Opening statement that these are baleen whales could be taken to imply that species discussed in subsequent paragraphs are not.</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Revise wording</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4-43</w:t>
            </w:r>
          </w:p>
        </w:tc>
        <w:tc>
          <w:tcPr>
            <w:tcW w:w="6663" w:type="dxa"/>
          </w:tcPr>
          <w:p w:rsidR="00944B58" w:rsidRPr="00065220" w:rsidRDefault="00944B58" w:rsidP="00233787">
            <w:pPr>
              <w:spacing w:before="40" w:after="40"/>
              <w:rPr>
                <w:sz w:val="16"/>
              </w:rPr>
            </w:pPr>
            <w:r w:rsidRPr="00065220">
              <w:rPr>
                <w:sz w:val="16"/>
              </w:rPr>
              <w:t xml:space="preserve">Light attenuation is the amount of decrease in light availability per metre, so depth does not necessarily determine light attenuation </w:t>
            </w:r>
            <w:r w:rsidRPr="00065220">
              <w:rPr>
                <w:i/>
                <w:sz w:val="16"/>
              </w:rPr>
              <w:t>per se</w:t>
            </w:r>
            <w:r w:rsidRPr="00065220">
              <w:rPr>
                <w:sz w:val="16"/>
              </w:rPr>
              <w:t xml:space="preserve"> (light availability does depend on depth). Also, light attenuation is determined by concentrations of dissolved substances and plankton as well as sediment.</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 xml:space="preserve">Clarify definition.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4-43</w:t>
            </w:r>
          </w:p>
        </w:tc>
        <w:tc>
          <w:tcPr>
            <w:tcW w:w="6663" w:type="dxa"/>
          </w:tcPr>
          <w:p w:rsidR="00944B58" w:rsidRPr="00065220" w:rsidRDefault="00944B58" w:rsidP="00233787">
            <w:pPr>
              <w:spacing w:before="40" w:after="40"/>
              <w:rPr>
                <w:sz w:val="16"/>
              </w:rPr>
            </w:pPr>
            <w:r w:rsidRPr="00065220">
              <w:rPr>
                <w:sz w:val="16"/>
              </w:rPr>
              <w:t>The statement that open oceans are effectively nutrient deserts refers primarily to central ocean gyres. Upwelling areas can have relatively high nutrient concentrations (though still lower than inshore areas in the context of the Region). Note the reference to the influx of nutrient-rich upwelled water on page 4-16. This is an example of not referring to key cycling processes such as immobilisation by uptake/deposition and denitrification.</w:t>
            </w:r>
          </w:p>
        </w:tc>
        <w:tc>
          <w:tcPr>
            <w:tcW w:w="6054" w:type="dxa"/>
            <w:shd w:val="clear" w:color="auto" w:fill="auto"/>
          </w:tcPr>
          <w:p w:rsidR="00944B58" w:rsidRPr="00065220" w:rsidRDefault="00944B58" w:rsidP="00233787">
            <w:pPr>
              <w:spacing w:before="40" w:after="40"/>
              <w:rPr>
                <w:sz w:val="16"/>
              </w:rPr>
            </w:pPr>
            <w:r w:rsidRPr="00065220">
              <w:rPr>
                <w:sz w:val="16"/>
              </w:rPr>
              <w:t>Clarify statement.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4-43</w:t>
            </w:r>
          </w:p>
        </w:tc>
        <w:tc>
          <w:tcPr>
            <w:tcW w:w="6663" w:type="dxa"/>
          </w:tcPr>
          <w:p w:rsidR="00944B58" w:rsidRPr="00065220" w:rsidRDefault="00944B58" w:rsidP="00233787">
            <w:pPr>
              <w:spacing w:before="40" w:after="40"/>
              <w:rPr>
                <w:sz w:val="16"/>
              </w:rPr>
            </w:pPr>
            <w:r w:rsidRPr="00065220">
              <w:rPr>
                <w:sz w:val="16"/>
              </w:rPr>
              <w:t>Most atmospheric carbon dioxide does not remain as dissolved gas, instead it mostly forms bicarbonate and carbonate ions.</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 xml:space="preserve">Suggest saying “where it stays in dissolved </w:t>
            </w:r>
            <w:r w:rsidRPr="00065220">
              <w:rPr>
                <w:i/>
                <w:sz w:val="16"/>
              </w:rPr>
              <w:t>form</w:t>
            </w:r>
            <w:r w:rsidRPr="00065220">
              <w:rPr>
                <w:sz w:val="16"/>
              </w:rPr>
              <w: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4-45</w:t>
            </w:r>
          </w:p>
        </w:tc>
        <w:tc>
          <w:tcPr>
            <w:tcW w:w="6663" w:type="dxa"/>
          </w:tcPr>
          <w:p w:rsidR="00944B58" w:rsidRPr="00065220" w:rsidRDefault="00944B58" w:rsidP="00233787">
            <w:pPr>
              <w:spacing w:before="40" w:after="40"/>
              <w:rPr>
                <w:sz w:val="16"/>
              </w:rPr>
            </w:pPr>
            <w:r w:rsidRPr="00065220">
              <w:rPr>
                <w:sz w:val="16"/>
              </w:rPr>
              <w:t xml:space="preserve">The statement that water as a medium allows more competition than air (presumably meaning the terrestrial environment) is difficult to support scientifically. </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The statement does not appear to add any value – delete, or provide evidence.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4-46</w:t>
            </w:r>
          </w:p>
        </w:tc>
        <w:tc>
          <w:tcPr>
            <w:tcW w:w="6663" w:type="dxa"/>
          </w:tcPr>
          <w:p w:rsidR="00944B58" w:rsidRPr="00065220" w:rsidRDefault="00944B58" w:rsidP="00233787">
            <w:pPr>
              <w:spacing w:before="40" w:after="40"/>
              <w:rPr>
                <w:sz w:val="16"/>
              </w:rPr>
            </w:pPr>
            <w:r w:rsidRPr="00065220">
              <w:rPr>
                <w:sz w:val="16"/>
              </w:rPr>
              <w:t>Connectivity: The concepts in the reports are critical to the context of the importance of maintaining connectivity (e.g. through the reserve network) and in understanding that impacts on one area can flow onto other areas and hence management needs to be on large spatial scales.</w:t>
            </w:r>
          </w:p>
        </w:tc>
        <w:tc>
          <w:tcPr>
            <w:tcW w:w="6054" w:type="dxa"/>
          </w:tcPr>
          <w:p w:rsidR="00944B58" w:rsidRPr="00065220" w:rsidRDefault="00944B58" w:rsidP="00233787">
            <w:pPr>
              <w:spacing w:before="40" w:after="40"/>
              <w:rPr>
                <w:sz w:val="16"/>
              </w:rPr>
            </w:pPr>
            <w:r w:rsidRPr="00065220">
              <w:rPr>
                <w:sz w:val="16"/>
              </w:rPr>
              <w:t>It would be worth briefly mentioning the flip side: that species or habitats with low natural connectivity are likely to be especially vulnerable. This can apply to species (e.g. inshore dolphins, live bearers, recent evidence that larvae of some reef fishes are not as dispersive as previously assumed) or to habitats that are spatially isolated by distance or current patterns.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Pr>
                <w:sz w:val="16"/>
              </w:rPr>
              <w:t>5-overall</w:t>
            </w:r>
          </w:p>
        </w:tc>
        <w:tc>
          <w:tcPr>
            <w:tcW w:w="6663" w:type="dxa"/>
          </w:tcPr>
          <w:p w:rsidR="00944B58" w:rsidRPr="00065220" w:rsidRDefault="00944B58" w:rsidP="00233787">
            <w:pPr>
              <w:spacing w:before="40" w:after="40"/>
              <w:rPr>
                <w:sz w:val="16"/>
              </w:rPr>
            </w:pPr>
            <w:r>
              <w:rPr>
                <w:sz w:val="16"/>
              </w:rPr>
              <w:t>The Assessment Report focusses on the marine park in various sections, rather than the broader Great Barrier Reef Region. Some important aspects of management, such as port development, connectivity and water quality receive limited attention, without explanation.</w:t>
            </w:r>
          </w:p>
        </w:tc>
        <w:tc>
          <w:tcPr>
            <w:tcW w:w="6054" w:type="dxa"/>
          </w:tcPr>
          <w:p w:rsidR="00944B58" w:rsidRPr="00065220" w:rsidRDefault="00944B58" w:rsidP="00233787">
            <w:pPr>
              <w:spacing w:before="40" w:after="40"/>
              <w:rPr>
                <w:sz w:val="16"/>
              </w:rPr>
            </w:pPr>
            <w:r>
              <w:rPr>
                <w:sz w:val="16"/>
              </w:rPr>
              <w:t xml:space="preserve">Provide further information on management issues at the land and ocean interface, or explain why these are not addressed comprehensively (e.g. they are within the scope of the Queensland Coastal Zone Strategic Assessment). Cross </w:t>
            </w:r>
            <w:r>
              <w:rPr>
                <w:sz w:val="16"/>
              </w:rPr>
              <w:lastRenderedPageBreak/>
              <w:t>referencing between the GBRMPA and Queensland Strategic Assessments would be useful.</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5-4</w:t>
            </w:r>
          </w:p>
        </w:tc>
        <w:tc>
          <w:tcPr>
            <w:tcW w:w="6663" w:type="dxa"/>
          </w:tcPr>
          <w:p w:rsidR="00944B58" w:rsidRPr="00065220" w:rsidRDefault="00944B58" w:rsidP="00233787">
            <w:pPr>
              <w:spacing w:before="40" w:after="40"/>
              <w:rPr>
                <w:sz w:val="16"/>
              </w:rPr>
            </w:pPr>
            <w:r w:rsidRPr="00065220">
              <w:rPr>
                <w:sz w:val="16"/>
              </w:rPr>
              <w:t>There seems to be some confusion in the first paragraph of 5.2.2: Climate Change. "Climate variability from year to year" is an oxymoron. Climate is a term used to describe the continuing condition of a place with regard to the drivers of weather. While weather and seasons change from year to year, climate does not. Climate change occurs over much longer timelines. Hence the confusion around climate change in the popular media. Within a given climate there are often seasonal, yearly and decadal variations of weather.</w:t>
            </w:r>
          </w:p>
        </w:tc>
        <w:tc>
          <w:tcPr>
            <w:tcW w:w="6054" w:type="dxa"/>
          </w:tcPr>
          <w:p w:rsidR="00944B58" w:rsidRPr="00065220" w:rsidRDefault="00944B58" w:rsidP="00233787">
            <w:pPr>
              <w:spacing w:before="40" w:after="40"/>
              <w:rPr>
                <w:color w:val="5185C0" w:themeColor="accent6"/>
                <w:sz w:val="16"/>
              </w:rPr>
            </w:pPr>
            <w:r w:rsidRPr="00065220">
              <w:rPr>
                <w:sz w:val="16"/>
              </w:rPr>
              <w:t>Change wording to reflect definition of climate change.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5-4</w:t>
            </w:r>
          </w:p>
        </w:tc>
        <w:tc>
          <w:tcPr>
            <w:tcW w:w="6663" w:type="dxa"/>
          </w:tcPr>
          <w:p w:rsidR="00944B58" w:rsidRPr="00065220" w:rsidRDefault="00944B58" w:rsidP="00233787">
            <w:pPr>
              <w:spacing w:before="40" w:after="40"/>
              <w:rPr>
                <w:sz w:val="16"/>
              </w:rPr>
            </w:pPr>
            <w:r w:rsidRPr="00065220">
              <w:rPr>
                <w:sz w:val="16"/>
              </w:rPr>
              <w:t xml:space="preserve">The latest IPCC report (released since the assessment reports were prepared) revises some of the predictions in this section, which could be updated in the final report. </w:t>
            </w:r>
          </w:p>
        </w:tc>
        <w:tc>
          <w:tcPr>
            <w:tcW w:w="6054" w:type="dxa"/>
          </w:tcPr>
          <w:p w:rsidR="00944B58" w:rsidRPr="00065220" w:rsidRDefault="00944B58" w:rsidP="00233787">
            <w:pPr>
              <w:spacing w:before="40" w:after="40"/>
              <w:rPr>
                <w:color w:val="5185C0" w:themeColor="accent6"/>
                <w:sz w:val="16"/>
              </w:rPr>
            </w:pPr>
            <w:r w:rsidRPr="00065220">
              <w:rPr>
                <w:sz w:val="16"/>
              </w:rPr>
              <w:t>Update according to latest IPCC report.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5-5</w:t>
            </w:r>
          </w:p>
        </w:tc>
        <w:tc>
          <w:tcPr>
            <w:tcW w:w="6663" w:type="dxa"/>
          </w:tcPr>
          <w:p w:rsidR="00944B58" w:rsidRPr="00065220" w:rsidRDefault="00944B58" w:rsidP="00233787">
            <w:pPr>
              <w:spacing w:before="40" w:after="40"/>
              <w:rPr>
                <w:sz w:val="16"/>
              </w:rPr>
            </w:pPr>
            <w:r w:rsidRPr="00065220">
              <w:rPr>
                <w:sz w:val="16"/>
              </w:rPr>
              <w:t>The Mauna Loa data series actually began in the late 1950s not the 1960s.</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Correct dates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5-7</w:t>
            </w:r>
          </w:p>
        </w:tc>
        <w:tc>
          <w:tcPr>
            <w:tcW w:w="6663" w:type="dxa"/>
          </w:tcPr>
          <w:p w:rsidR="00944B58" w:rsidRPr="00065220" w:rsidRDefault="00944B58" w:rsidP="00233787">
            <w:pPr>
              <w:spacing w:before="40" w:after="40"/>
              <w:rPr>
                <w:sz w:val="16"/>
              </w:rPr>
            </w:pPr>
            <w:r w:rsidRPr="00065220">
              <w:rPr>
                <w:sz w:val="16"/>
              </w:rPr>
              <w:t>There would be value in discussing the prognosis even if atmospheric CO</w:t>
            </w:r>
            <w:r w:rsidRPr="00065220">
              <w:rPr>
                <w:sz w:val="16"/>
                <w:vertAlign w:val="subscript"/>
              </w:rPr>
              <w:t>2</w:t>
            </w:r>
            <w:r w:rsidRPr="00065220">
              <w:rPr>
                <w:sz w:val="16"/>
              </w:rPr>
              <w:t xml:space="preserve"> was to plateau at 400 ppm. What lags would there be before the system stopped deteriorating further? Is there a tipping point beyond which some functions stop and some species vanish? In the scenario of a return to 350 ppm, how long a lag before recovery and what gaps would there be once recovery is reached? </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Further analysis of CO</w:t>
            </w:r>
            <w:r w:rsidRPr="00065220">
              <w:rPr>
                <w:sz w:val="16"/>
                <w:vertAlign w:val="subscript"/>
              </w:rPr>
              <w:t>2</w:t>
            </w:r>
            <w:r w:rsidRPr="00065220">
              <w:rPr>
                <w:sz w:val="16"/>
              </w:rPr>
              <w:t xml:space="preserve"> scenarios and climate change would improve the documents.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5-8</w:t>
            </w:r>
          </w:p>
        </w:tc>
        <w:tc>
          <w:tcPr>
            <w:tcW w:w="6663" w:type="dxa"/>
          </w:tcPr>
          <w:p w:rsidR="00944B58" w:rsidRPr="00065220" w:rsidRDefault="00944B58" w:rsidP="00233787">
            <w:pPr>
              <w:spacing w:before="40" w:after="40"/>
              <w:rPr>
                <w:sz w:val="16"/>
              </w:rPr>
            </w:pPr>
            <w:r w:rsidRPr="00065220">
              <w:rPr>
                <w:sz w:val="16"/>
              </w:rPr>
              <w:t>Treatment of climate change pressures (and indeed many other drivers) seems to suggest that all change will be gradual (e.g. Figure 5.3). This is not necessarily true, particularly when one considers that climate change is not the only driver/pressure and that interactions between climate change and other pressures may be compounding. There is plenty of evidence from coral reef systems in other parts of the world that reefs reach tipping points, from which they rarely rebound.</w:t>
            </w:r>
          </w:p>
        </w:tc>
        <w:tc>
          <w:tcPr>
            <w:tcW w:w="6054" w:type="dxa"/>
            <w:shd w:val="clear" w:color="auto" w:fill="auto"/>
          </w:tcPr>
          <w:p w:rsidR="00944B58" w:rsidRPr="00065220" w:rsidRDefault="00944B58" w:rsidP="00233787">
            <w:pPr>
              <w:spacing w:before="40" w:after="40"/>
              <w:rPr>
                <w:sz w:val="16"/>
              </w:rPr>
            </w:pPr>
            <w:r w:rsidRPr="00065220">
              <w:rPr>
                <w:sz w:val="16"/>
              </w:rPr>
              <w:t>Revise assumption and associated text to consider non-linear and sudden changes.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Pr>
                <w:sz w:val="16"/>
              </w:rPr>
              <w:t>5-9</w:t>
            </w:r>
          </w:p>
        </w:tc>
        <w:tc>
          <w:tcPr>
            <w:tcW w:w="6663" w:type="dxa"/>
          </w:tcPr>
          <w:p w:rsidR="00944B58" w:rsidRPr="00065220" w:rsidRDefault="00944B58" w:rsidP="00233787">
            <w:pPr>
              <w:spacing w:before="40" w:after="40"/>
              <w:rPr>
                <w:sz w:val="16"/>
              </w:rPr>
            </w:pPr>
            <w:r>
              <w:rPr>
                <w:sz w:val="16"/>
              </w:rPr>
              <w:t>There is little information presented on how GBRMPA is managing for resilience in the face of climate change.</w:t>
            </w:r>
          </w:p>
        </w:tc>
        <w:tc>
          <w:tcPr>
            <w:tcW w:w="6054" w:type="dxa"/>
            <w:shd w:val="clear" w:color="auto" w:fill="auto"/>
          </w:tcPr>
          <w:p w:rsidR="00944B58" w:rsidRPr="00065220" w:rsidRDefault="00944B58" w:rsidP="00233787">
            <w:pPr>
              <w:spacing w:before="40" w:after="40"/>
              <w:rPr>
                <w:sz w:val="16"/>
              </w:rPr>
            </w:pPr>
            <w:r>
              <w:rPr>
                <w:sz w:val="16"/>
              </w:rPr>
              <w:t>Explain how management activities are focussed on improving resilience.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5-22</w:t>
            </w:r>
          </w:p>
        </w:tc>
        <w:tc>
          <w:tcPr>
            <w:tcW w:w="6663" w:type="dxa"/>
          </w:tcPr>
          <w:p w:rsidR="00944B58" w:rsidRPr="00065220" w:rsidRDefault="00944B58" w:rsidP="00233787">
            <w:pPr>
              <w:spacing w:before="40" w:after="40"/>
              <w:rPr>
                <w:sz w:val="16"/>
              </w:rPr>
            </w:pPr>
            <w:r w:rsidRPr="00065220">
              <w:rPr>
                <w:sz w:val="16"/>
              </w:rPr>
              <w:t xml:space="preserve">Reference to the repeal of the </w:t>
            </w:r>
            <w:r w:rsidRPr="00065220">
              <w:rPr>
                <w:i/>
                <w:sz w:val="16"/>
              </w:rPr>
              <w:t>Vegetation Management Act 1999</w:t>
            </w:r>
            <w:r w:rsidRPr="00065220">
              <w:rPr>
                <w:sz w:val="16"/>
              </w:rPr>
              <w:t xml:space="preserve"> in Queensland is made but no discussion of risks associated with that.</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Insert discussion of repercussions of the repeal of this legislation.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5-24</w:t>
            </w:r>
          </w:p>
        </w:tc>
        <w:tc>
          <w:tcPr>
            <w:tcW w:w="6663" w:type="dxa"/>
          </w:tcPr>
          <w:p w:rsidR="00944B58" w:rsidRPr="00065220" w:rsidRDefault="00944B58" w:rsidP="00233787">
            <w:pPr>
              <w:spacing w:before="40" w:after="40"/>
              <w:rPr>
                <w:sz w:val="16"/>
              </w:rPr>
            </w:pPr>
            <w:r w:rsidRPr="00065220">
              <w:rPr>
                <w:sz w:val="16"/>
              </w:rPr>
              <w:t>Aquaculture description does not include a description of sustainability issues.</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Would be useful to briefly describe the environmental sustainability issues that previous aquaculture operations have had.</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5-29</w:t>
            </w:r>
          </w:p>
        </w:tc>
        <w:tc>
          <w:tcPr>
            <w:tcW w:w="6663" w:type="dxa"/>
          </w:tcPr>
          <w:p w:rsidR="00944B58" w:rsidRPr="00065220" w:rsidRDefault="00944B58" w:rsidP="00233787">
            <w:pPr>
              <w:spacing w:before="40" w:after="40"/>
              <w:rPr>
                <w:sz w:val="16"/>
              </w:rPr>
            </w:pPr>
            <w:r w:rsidRPr="00065220">
              <w:rPr>
                <w:sz w:val="16"/>
              </w:rPr>
              <w:t>1</w:t>
            </w:r>
            <w:r w:rsidRPr="00065220">
              <w:rPr>
                <w:sz w:val="16"/>
                <w:vertAlign w:val="superscript"/>
              </w:rPr>
              <w:t xml:space="preserve">st </w:t>
            </w:r>
            <w:r w:rsidRPr="00065220">
              <w:rPr>
                <w:sz w:val="16"/>
              </w:rPr>
              <w:t xml:space="preserve">paragraph in Impacts: Use of reference 114 (Erftemeijer &amp; Lewis 2006) as providing evidence for the unqualified statement “Dredging to improve … is affecting habitats and species.” is inappropriate. As the lead sentence of this paragraph, the statement implies </w:t>
            </w:r>
            <w:r w:rsidRPr="00065220">
              <w:rPr>
                <w:sz w:val="16"/>
              </w:rPr>
              <w:lastRenderedPageBreak/>
              <w:t xml:space="preserve">widespread impacts of dredging, on a range of habitats and species (presumably meaning at a significant population level), within the Region. Erftemeijer &amp; Lewis’s review focused entirely on one specific group (seagrasses), reported that some dredging projects reported no significant long-term effects, concluded that the potential sensitivity of seagrasses to dredging-induced sedimentation is highly site-specific, and reported that improved mitigation measures (which have to a significant extent been applied to dredging in the Region) help prevent or minimise dredging impacts. </w:t>
            </w:r>
          </w:p>
        </w:tc>
        <w:tc>
          <w:tcPr>
            <w:tcW w:w="6054" w:type="dxa"/>
            <w:shd w:val="clear" w:color="auto" w:fill="auto"/>
          </w:tcPr>
          <w:p w:rsidR="00944B58" w:rsidRPr="00065220" w:rsidRDefault="00944B58" w:rsidP="00233787">
            <w:pPr>
              <w:spacing w:before="40" w:after="40"/>
              <w:rPr>
                <w:sz w:val="16"/>
              </w:rPr>
            </w:pPr>
            <w:r w:rsidRPr="00065220">
              <w:rPr>
                <w:sz w:val="16"/>
              </w:rPr>
              <w:lastRenderedPageBreak/>
              <w:t xml:space="preserve">The sentence could be deleted without detracting from the message in the rest of the paragraph, and the </w:t>
            </w:r>
            <w:r w:rsidRPr="00065220">
              <w:rPr>
                <w:i/>
                <w:sz w:val="16"/>
              </w:rPr>
              <w:t>potential</w:t>
            </w:r>
            <w:r w:rsidRPr="00065220">
              <w:rPr>
                <w:sz w:val="16"/>
              </w:rPr>
              <w:t xml:space="preserve"> for impact is addressed better in the paragraph </w:t>
            </w:r>
            <w:r w:rsidRPr="00065220">
              <w:rPr>
                <w:sz w:val="16"/>
              </w:rPr>
              <w:lastRenderedPageBreak/>
              <w:t>that follows.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5-29</w:t>
            </w:r>
          </w:p>
        </w:tc>
        <w:tc>
          <w:tcPr>
            <w:tcW w:w="6663" w:type="dxa"/>
          </w:tcPr>
          <w:p w:rsidR="00944B58" w:rsidRPr="00065220" w:rsidRDefault="00944B58" w:rsidP="00233787">
            <w:pPr>
              <w:spacing w:before="40" w:after="40"/>
              <w:rPr>
                <w:sz w:val="16"/>
              </w:rPr>
            </w:pPr>
            <w:r w:rsidRPr="00065220">
              <w:rPr>
                <w:sz w:val="16"/>
              </w:rPr>
              <w:t>2</w:t>
            </w:r>
            <w:r w:rsidRPr="00065220">
              <w:rPr>
                <w:sz w:val="16"/>
                <w:vertAlign w:val="superscript"/>
              </w:rPr>
              <w:t xml:space="preserve">nd </w:t>
            </w:r>
            <w:r w:rsidRPr="00065220">
              <w:rPr>
                <w:sz w:val="16"/>
              </w:rPr>
              <w:t xml:space="preserve">paragraph under impacts: references for recent reviews of Erftemeijer </w:t>
            </w:r>
            <w:r w:rsidRPr="00065220">
              <w:rPr>
                <w:i/>
                <w:sz w:val="16"/>
              </w:rPr>
              <w:t>et al.</w:t>
            </w:r>
            <w:r w:rsidRPr="00065220">
              <w:rPr>
                <w:sz w:val="16"/>
              </w:rPr>
              <w:t xml:space="preserve"> (2012) and Foster </w:t>
            </w:r>
            <w:r w:rsidRPr="00065220">
              <w:rPr>
                <w:i/>
                <w:sz w:val="16"/>
              </w:rPr>
              <w:t>et al</w:t>
            </w:r>
            <w:r w:rsidRPr="00065220">
              <w:rPr>
                <w:sz w:val="16"/>
              </w:rPr>
              <w:t>. (2012; reference 178 in Chapter 6) regarding dredging impacts on corals and reefs could be added.</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Add these references.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5-55</w:t>
            </w:r>
          </w:p>
        </w:tc>
        <w:tc>
          <w:tcPr>
            <w:tcW w:w="6663" w:type="dxa"/>
          </w:tcPr>
          <w:p w:rsidR="00944B58" w:rsidRPr="00065220" w:rsidRDefault="00944B58" w:rsidP="00233787">
            <w:pPr>
              <w:spacing w:before="40" w:after="40"/>
              <w:rPr>
                <w:sz w:val="16"/>
              </w:rPr>
            </w:pPr>
            <w:r w:rsidRPr="00065220">
              <w:rPr>
                <w:sz w:val="16"/>
              </w:rPr>
              <w:t>Defence activities are only briefly summarised.</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Provide reference or other justification for the statement that introduction of marine pests is the highest risk from all defence activities. In addition, should the use of active sonar, other defence-related shipping noise, and possibly fuel dumping from aircraft at least be mentioned with regard to defence, even if only to explain why they are not significant?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5-62</w:t>
            </w:r>
          </w:p>
        </w:tc>
        <w:tc>
          <w:tcPr>
            <w:tcW w:w="6663" w:type="dxa"/>
          </w:tcPr>
          <w:p w:rsidR="00944B58" w:rsidRPr="00065220" w:rsidRDefault="00944B58" w:rsidP="00233787">
            <w:pPr>
              <w:spacing w:before="40" w:after="40"/>
              <w:rPr>
                <w:sz w:val="16"/>
              </w:rPr>
            </w:pPr>
            <w:r w:rsidRPr="00065220">
              <w:rPr>
                <w:sz w:val="16"/>
              </w:rPr>
              <w:t xml:space="preserve">Year for reference 74 (Roff </w:t>
            </w:r>
            <w:r w:rsidRPr="00065220">
              <w:rPr>
                <w:i/>
                <w:sz w:val="16"/>
              </w:rPr>
              <w:t>et al.</w:t>
            </w:r>
            <w:r w:rsidRPr="00065220">
              <w:rPr>
                <w:sz w:val="16"/>
              </w:rPr>
              <w:t>) is cited incorrectly – the paper was formally published in 2013. This also occurs in other chapters.</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Correct citations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6-11</w:t>
            </w:r>
          </w:p>
        </w:tc>
        <w:tc>
          <w:tcPr>
            <w:tcW w:w="6663" w:type="dxa"/>
          </w:tcPr>
          <w:p w:rsidR="00944B58" w:rsidRPr="00065220" w:rsidRDefault="00944B58" w:rsidP="00233787">
            <w:pPr>
              <w:spacing w:before="40" w:after="40"/>
              <w:rPr>
                <w:sz w:val="16"/>
              </w:rPr>
            </w:pPr>
            <w:r w:rsidRPr="00065220">
              <w:rPr>
                <w:sz w:val="16"/>
              </w:rPr>
              <w:t>2</w:t>
            </w:r>
            <w:r w:rsidRPr="00065220">
              <w:rPr>
                <w:sz w:val="16"/>
                <w:vertAlign w:val="superscript"/>
              </w:rPr>
              <w:t>nd</w:t>
            </w:r>
            <w:r w:rsidRPr="00065220">
              <w:rPr>
                <w:sz w:val="16"/>
              </w:rPr>
              <w:t xml:space="preserve"> paragraph, Indirect Legacy Impacts: This is an example of sweeping general statements being supported with very limited explicit supporting data. Reference 21 (Roff </w:t>
            </w:r>
            <w:r w:rsidRPr="00065220">
              <w:rPr>
                <w:i/>
                <w:sz w:val="16"/>
              </w:rPr>
              <w:t>et al.</w:t>
            </w:r>
            <w:r w:rsidRPr="00065220">
              <w:rPr>
                <w:sz w:val="16"/>
              </w:rPr>
              <w:t xml:space="preserve"> 2013) concluded there was a phase shift at one location in North Queensland that is likely to be particularly exposed to increases in terrestrial runoff. The Roff </w:t>
            </w:r>
            <w:r w:rsidRPr="00065220">
              <w:rPr>
                <w:i/>
                <w:sz w:val="16"/>
              </w:rPr>
              <w:t>et al.</w:t>
            </w:r>
            <w:r w:rsidRPr="00065220">
              <w:rPr>
                <w:sz w:val="16"/>
              </w:rPr>
              <w:t xml:space="preserve"> study by itself does not provide support for reduced resilience on a reef-wide scale nor that such loss is “particularly in southern areas.” The scientific consensus statement and supporting reviews provide more valid broad support.</w:t>
            </w:r>
          </w:p>
        </w:tc>
        <w:tc>
          <w:tcPr>
            <w:tcW w:w="6054" w:type="dxa"/>
          </w:tcPr>
          <w:p w:rsidR="00944B58" w:rsidRPr="00065220" w:rsidRDefault="00944B58" w:rsidP="00233787">
            <w:pPr>
              <w:spacing w:before="40" w:after="40"/>
              <w:rPr>
                <w:sz w:val="16"/>
              </w:rPr>
            </w:pPr>
            <w:r w:rsidRPr="00065220">
              <w:rPr>
                <w:sz w:val="16"/>
              </w:rPr>
              <w:t>Cite more references to support general statements.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6-17</w:t>
            </w:r>
          </w:p>
        </w:tc>
        <w:tc>
          <w:tcPr>
            <w:tcW w:w="6663" w:type="dxa"/>
          </w:tcPr>
          <w:p w:rsidR="00944B58" w:rsidRPr="00065220" w:rsidRDefault="00944B58" w:rsidP="00233787">
            <w:pPr>
              <w:spacing w:before="40" w:after="40"/>
              <w:rPr>
                <w:sz w:val="16"/>
              </w:rPr>
            </w:pPr>
            <w:r w:rsidRPr="00065220">
              <w:rPr>
                <w:sz w:val="16"/>
              </w:rPr>
              <w:t>The latest IPCC report (released since the assessment reports were prepared) revises some of the predictions in this section, which could be updated in the final report.</w:t>
            </w:r>
          </w:p>
        </w:tc>
        <w:tc>
          <w:tcPr>
            <w:tcW w:w="6054" w:type="dxa"/>
          </w:tcPr>
          <w:p w:rsidR="00944B58" w:rsidRPr="00065220" w:rsidRDefault="00944B58" w:rsidP="00233787">
            <w:pPr>
              <w:spacing w:before="40" w:after="40"/>
              <w:rPr>
                <w:sz w:val="16"/>
              </w:rPr>
            </w:pPr>
            <w:r w:rsidRPr="00065220">
              <w:rPr>
                <w:sz w:val="16"/>
              </w:rPr>
              <w:t>Update according to latest IPCC report.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6-17</w:t>
            </w:r>
          </w:p>
        </w:tc>
        <w:tc>
          <w:tcPr>
            <w:tcW w:w="6663" w:type="dxa"/>
          </w:tcPr>
          <w:p w:rsidR="00944B58" w:rsidRPr="00065220" w:rsidRDefault="00944B58" w:rsidP="00233787">
            <w:pPr>
              <w:spacing w:before="40" w:after="40"/>
              <w:rPr>
                <w:sz w:val="16"/>
              </w:rPr>
            </w:pPr>
            <w:r w:rsidRPr="00065220">
              <w:rPr>
                <w:sz w:val="16"/>
              </w:rPr>
              <w:t>If the broad prediction that ocean acidification will “ultimately affect most marine life” is important it should be supported with reference citations. Most likely the sentence can be deleted without changing the key message.</w:t>
            </w:r>
          </w:p>
        </w:tc>
        <w:tc>
          <w:tcPr>
            <w:tcW w:w="6054" w:type="dxa"/>
          </w:tcPr>
          <w:p w:rsidR="00944B58" w:rsidRPr="00065220" w:rsidRDefault="00944B58" w:rsidP="00233787">
            <w:pPr>
              <w:spacing w:before="40" w:after="40"/>
              <w:rPr>
                <w:sz w:val="16"/>
              </w:rPr>
            </w:pPr>
            <w:r w:rsidRPr="00065220">
              <w:rPr>
                <w:sz w:val="16"/>
              </w:rPr>
              <w:t>Provide reference citations or delete sentence.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Pr>
                <w:sz w:val="16"/>
              </w:rPr>
              <w:t>6-21</w:t>
            </w:r>
          </w:p>
        </w:tc>
        <w:tc>
          <w:tcPr>
            <w:tcW w:w="6663" w:type="dxa"/>
          </w:tcPr>
          <w:p w:rsidR="00944B58" w:rsidRPr="00065220" w:rsidRDefault="00944B58" w:rsidP="00233787">
            <w:pPr>
              <w:spacing w:before="40" w:after="40"/>
              <w:rPr>
                <w:sz w:val="16"/>
              </w:rPr>
            </w:pPr>
            <w:r>
              <w:rPr>
                <w:sz w:val="16"/>
              </w:rPr>
              <w:t xml:space="preserve">Guidelines for chlorophyll concentrations are explained in this section, but there is no explanation of what management responses are implemented in response to an </w:t>
            </w:r>
            <w:r>
              <w:rPr>
                <w:sz w:val="16"/>
              </w:rPr>
              <w:lastRenderedPageBreak/>
              <w:t>exceedance.</w:t>
            </w:r>
          </w:p>
        </w:tc>
        <w:tc>
          <w:tcPr>
            <w:tcW w:w="6054" w:type="dxa"/>
          </w:tcPr>
          <w:p w:rsidR="00944B58" w:rsidRPr="00065220" w:rsidRDefault="00944B58" w:rsidP="00233787">
            <w:pPr>
              <w:spacing w:before="40" w:after="40"/>
              <w:rPr>
                <w:sz w:val="16"/>
              </w:rPr>
            </w:pPr>
            <w:r>
              <w:rPr>
                <w:sz w:val="16"/>
              </w:rPr>
              <w:lastRenderedPageBreak/>
              <w:t>A description of how GBRMPA responds to exceedances of this type would provide clarification of current management practices.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6-32</w:t>
            </w:r>
          </w:p>
        </w:tc>
        <w:tc>
          <w:tcPr>
            <w:tcW w:w="6663" w:type="dxa"/>
          </w:tcPr>
          <w:p w:rsidR="00944B58" w:rsidRPr="00065220" w:rsidRDefault="00944B58" w:rsidP="00233787">
            <w:pPr>
              <w:spacing w:before="40" w:after="40"/>
              <w:rPr>
                <w:sz w:val="16"/>
              </w:rPr>
            </w:pPr>
            <w:r w:rsidRPr="00065220">
              <w:rPr>
                <w:sz w:val="16"/>
              </w:rPr>
              <w:t>Acid sulphate soils. The seawater initially contains sulphate ion, not sulphides</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Correct text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6-33</w:t>
            </w:r>
          </w:p>
        </w:tc>
        <w:tc>
          <w:tcPr>
            <w:tcW w:w="6663" w:type="dxa"/>
          </w:tcPr>
          <w:p w:rsidR="00944B58" w:rsidRPr="00065220" w:rsidRDefault="00944B58" w:rsidP="00233787">
            <w:pPr>
              <w:spacing w:before="40" w:after="40"/>
              <w:rPr>
                <w:sz w:val="16"/>
              </w:rPr>
            </w:pPr>
            <w:r w:rsidRPr="00065220">
              <w:rPr>
                <w:sz w:val="16"/>
              </w:rPr>
              <w:t>2</w:t>
            </w:r>
            <w:r w:rsidRPr="00065220">
              <w:rPr>
                <w:sz w:val="16"/>
                <w:vertAlign w:val="superscript"/>
              </w:rPr>
              <w:t>nd</w:t>
            </w:r>
            <w:r w:rsidRPr="00065220">
              <w:rPr>
                <w:sz w:val="16"/>
              </w:rPr>
              <w:t xml:space="preserve"> paragraph: Loss of estuarine habitats: It is unclear how brackish water habitats differ from estuaries. More importantly, the statement of loss is potentially misleading and not supported by the cited reference 20 (Informing the Outlook). Informing the Outlook says 9% of estuaries have been lost (pages 31, 78 and 116). Informing the Outlook does indicate (pages 80 and 100) that some 30% of saltmarsh habitat has been modified by bunding – this is not the same thing as habitat loss (i.e., change in spatial extent). There is a statement on page 69 of Informing the Outlook that &gt;30% of saltmarsh has been lost, but this appears to refer to modification rather than actual loss. Informing the Outlook does not appear to provide any basis at all for the upper figure of 60% loss of estuarine habitat, nor the statement that mudflats are one of the major habitat types lost.</w:t>
            </w:r>
          </w:p>
        </w:tc>
        <w:tc>
          <w:tcPr>
            <w:tcW w:w="6054" w:type="dxa"/>
          </w:tcPr>
          <w:p w:rsidR="00944B58" w:rsidRPr="00065220" w:rsidRDefault="00944B58" w:rsidP="00233787">
            <w:pPr>
              <w:spacing w:before="40" w:after="40"/>
              <w:rPr>
                <w:sz w:val="16"/>
              </w:rPr>
            </w:pPr>
            <w:r w:rsidRPr="00065220">
              <w:rPr>
                <w:sz w:val="16"/>
              </w:rPr>
              <w:t>Clarify difference between brackish water habitats and estuaries.</w:t>
            </w:r>
          </w:p>
          <w:p w:rsidR="00944B58" w:rsidRPr="00065220" w:rsidRDefault="00944B58" w:rsidP="00233787">
            <w:pPr>
              <w:spacing w:before="40" w:after="40"/>
              <w:rPr>
                <w:sz w:val="16"/>
              </w:rPr>
            </w:pPr>
            <w:r w:rsidRPr="00065220">
              <w:rPr>
                <w:sz w:val="16"/>
              </w:rPr>
              <w:t>Revise use of cited reference 20.</w:t>
            </w:r>
            <w:r w:rsidRPr="00065220">
              <w:rPr>
                <w:color w:val="5185C0" w:themeColor="accent6"/>
                <w:sz w:val="16"/>
              </w:rPr>
              <w:t xml:space="preserve">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6-33</w:t>
            </w:r>
          </w:p>
        </w:tc>
        <w:tc>
          <w:tcPr>
            <w:tcW w:w="6663" w:type="dxa"/>
          </w:tcPr>
          <w:p w:rsidR="00944B58" w:rsidRPr="00065220" w:rsidRDefault="00944B58" w:rsidP="00233787">
            <w:pPr>
              <w:spacing w:before="40" w:after="40"/>
              <w:rPr>
                <w:sz w:val="16"/>
              </w:rPr>
            </w:pPr>
            <w:r w:rsidRPr="00065220">
              <w:rPr>
                <w:sz w:val="16"/>
              </w:rPr>
              <w:t>3</w:t>
            </w:r>
            <w:r w:rsidRPr="00065220">
              <w:rPr>
                <w:sz w:val="16"/>
                <w:vertAlign w:val="superscript"/>
              </w:rPr>
              <w:t>rd</w:t>
            </w:r>
            <w:r w:rsidRPr="00065220">
              <w:rPr>
                <w:sz w:val="16"/>
              </w:rPr>
              <w:t xml:space="preserve"> paragraph, coastal reclamation: Distinction of land disposal (initially defined as above HAT) and reclamation is inconsistent.</w:t>
            </w:r>
          </w:p>
        </w:tc>
        <w:tc>
          <w:tcPr>
            <w:tcW w:w="6054" w:type="dxa"/>
          </w:tcPr>
          <w:p w:rsidR="00944B58" w:rsidRPr="00065220" w:rsidRDefault="00944B58" w:rsidP="00233787">
            <w:pPr>
              <w:spacing w:before="40" w:after="40"/>
              <w:rPr>
                <w:color w:val="5185C0" w:themeColor="accent6"/>
                <w:sz w:val="16"/>
              </w:rPr>
            </w:pPr>
            <w:r w:rsidRPr="00065220">
              <w:rPr>
                <w:sz w:val="16"/>
              </w:rPr>
              <w:t>Clarify and make consistent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6-35</w:t>
            </w:r>
          </w:p>
        </w:tc>
        <w:tc>
          <w:tcPr>
            <w:tcW w:w="6663" w:type="dxa"/>
          </w:tcPr>
          <w:p w:rsidR="00944B58" w:rsidRPr="00065220" w:rsidRDefault="00944B58" w:rsidP="00233787">
            <w:pPr>
              <w:spacing w:before="40" w:after="40"/>
              <w:rPr>
                <w:sz w:val="16"/>
              </w:rPr>
            </w:pPr>
            <w:r w:rsidRPr="00065220">
              <w:rPr>
                <w:sz w:val="16"/>
              </w:rPr>
              <w:t>Dredging</w:t>
            </w:r>
          </w:p>
        </w:tc>
        <w:tc>
          <w:tcPr>
            <w:tcW w:w="6054" w:type="dxa"/>
          </w:tcPr>
          <w:p w:rsidR="00944B58" w:rsidRPr="00065220" w:rsidRDefault="00944B58" w:rsidP="00233787">
            <w:pPr>
              <w:spacing w:before="40" w:after="40"/>
              <w:rPr>
                <w:color w:val="5185C0" w:themeColor="accent6"/>
                <w:sz w:val="16"/>
              </w:rPr>
            </w:pPr>
            <w:r w:rsidRPr="00065220">
              <w:rPr>
                <w:sz w:val="16"/>
              </w:rPr>
              <w:t xml:space="preserve">Erftemeijer </w:t>
            </w:r>
            <w:r w:rsidRPr="00065220">
              <w:rPr>
                <w:i/>
                <w:sz w:val="16"/>
              </w:rPr>
              <w:t>et al.</w:t>
            </w:r>
            <w:r w:rsidRPr="00065220">
              <w:rPr>
                <w:sz w:val="16"/>
              </w:rPr>
              <w:t xml:space="preserve"> 2012 (effects of dredging on corals) should be added to reference list for dredging impacts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6-35</w:t>
            </w:r>
          </w:p>
        </w:tc>
        <w:tc>
          <w:tcPr>
            <w:tcW w:w="6663" w:type="dxa"/>
          </w:tcPr>
          <w:p w:rsidR="00944B58" w:rsidRPr="00065220" w:rsidRDefault="00944B58" w:rsidP="00233787">
            <w:pPr>
              <w:spacing w:before="40" w:after="40"/>
              <w:rPr>
                <w:sz w:val="16"/>
              </w:rPr>
            </w:pPr>
            <w:r w:rsidRPr="00065220">
              <w:rPr>
                <w:sz w:val="16"/>
              </w:rPr>
              <w:t>Reference is made to "the effects of dredging activities are well documented", but the bulk of our understanding (and particularly the studies referred to) are not particularly relevant to the tropical inshore and reefal communities of the Great Barrier Reef lagoon - e.g.  the North Sea benthic communities and Indian coastal waters. The lack of information regarding the impacts of dredging on the inshore systems of the Great Barrier Reef (and indeed the hydrodynamics of the GBR lagoon) is an impediment to risk assessments. Elsewhere in the Strategic Assessment, GBRMPA sets out the systematic approach they will use to evaluate and minimise risk. The case of dredge impacts is one in which it would be prudent to note the lack of system specific information, which limits the ability to undertake the kind of risk assessment required.</w:t>
            </w:r>
          </w:p>
        </w:tc>
        <w:tc>
          <w:tcPr>
            <w:tcW w:w="6054" w:type="dxa"/>
          </w:tcPr>
          <w:p w:rsidR="00944B58" w:rsidRPr="00065220" w:rsidRDefault="00944B58" w:rsidP="00233787">
            <w:pPr>
              <w:spacing w:before="40" w:after="40"/>
              <w:rPr>
                <w:sz w:val="16"/>
              </w:rPr>
            </w:pPr>
            <w:r w:rsidRPr="00065220">
              <w:rPr>
                <w:sz w:val="16"/>
              </w:rPr>
              <w:t>In the context of this section of the Strategic Assessment, it would be worth noting the requirement for more research into region-specific impacts, and the development of adequate baselines and thorough monitoring of systems that will be affected by the proposed dredging activity in the GBRWHA.</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949A0" w:rsidRDefault="00944B58" w:rsidP="00233787">
            <w:pPr>
              <w:spacing w:before="40" w:after="40"/>
              <w:rPr>
                <w:sz w:val="16"/>
              </w:rPr>
            </w:pPr>
            <w:r w:rsidRPr="000949A0">
              <w:rPr>
                <w:sz w:val="16"/>
              </w:rPr>
              <w:t>6-39</w:t>
            </w:r>
          </w:p>
        </w:tc>
        <w:tc>
          <w:tcPr>
            <w:tcW w:w="6663" w:type="dxa"/>
          </w:tcPr>
          <w:p w:rsidR="00944B58" w:rsidRPr="000949A0" w:rsidRDefault="00944B58" w:rsidP="00233787">
            <w:pPr>
              <w:spacing w:before="40" w:after="40"/>
              <w:rPr>
                <w:sz w:val="16"/>
              </w:rPr>
            </w:pPr>
            <w:r w:rsidRPr="000949A0">
              <w:rPr>
                <w:sz w:val="16"/>
              </w:rPr>
              <w:t>4</w:t>
            </w:r>
            <w:r w:rsidRPr="000949A0">
              <w:rPr>
                <w:sz w:val="16"/>
                <w:vertAlign w:val="superscript"/>
              </w:rPr>
              <w:t>th</w:t>
            </w:r>
            <w:r w:rsidRPr="000949A0">
              <w:rPr>
                <w:sz w:val="16"/>
              </w:rPr>
              <w:t xml:space="preserve"> paragraph: Reference 137 (Bainbridge </w:t>
            </w:r>
            <w:r w:rsidRPr="000949A0">
              <w:rPr>
                <w:i/>
                <w:sz w:val="16"/>
              </w:rPr>
              <w:t>et al.</w:t>
            </w:r>
            <w:r w:rsidRPr="000949A0">
              <w:rPr>
                <w:sz w:val="16"/>
              </w:rPr>
              <w:t xml:space="preserve"> 2012) refers to the dispersion of a fresh water plume – this is probably not representative of the dispersion of fine sediment from sea dumping. Much of the information on transport from river plumes relates to initial transport in suspension, while the buoyant plume is spatially propagating relatively rapidly on the surface. Most of the transport of dredged material after dumping modelled in reference 190 (SKM APASA 2013) was via repeated deposition and resuspension – i.e., </w:t>
            </w:r>
            <w:r w:rsidRPr="000949A0">
              <w:rPr>
                <w:sz w:val="16"/>
              </w:rPr>
              <w:lastRenderedPageBreak/>
              <w:t>these are very different processes and the distinction between measured transport of river plumes and dispersion of dredged material from dump site needs to be clear. Reference 190 (SKM APASA 2013) did not in fact evaluate the duration of time material stays in suspension, much less conclude that fine sediment remain suspended for long periods of time. In fact, the analysis of suspended solids in that study shows very low levels of TSS resulting from sea dumping (as opposed to dredging). The basic message that dredge material potentially travels long distances is valid, but the discussion needs accurate context.</w:t>
            </w:r>
          </w:p>
        </w:tc>
        <w:tc>
          <w:tcPr>
            <w:tcW w:w="6054" w:type="dxa"/>
          </w:tcPr>
          <w:p w:rsidR="00944B58" w:rsidRPr="00065220" w:rsidRDefault="00944B58" w:rsidP="00233787">
            <w:pPr>
              <w:spacing w:before="40" w:after="40"/>
              <w:rPr>
                <w:sz w:val="16"/>
                <w:highlight w:val="yellow"/>
              </w:rPr>
            </w:pPr>
            <w:r w:rsidRPr="000949A0">
              <w:rPr>
                <w:sz w:val="16"/>
              </w:rPr>
              <w:lastRenderedPageBreak/>
              <w:t>Revise use of cited references to provide accurate context.</w:t>
            </w:r>
            <w:r w:rsidRPr="000949A0">
              <w:rPr>
                <w:color w:val="5185C0" w:themeColor="accent6"/>
                <w:sz w:val="16"/>
              </w:rPr>
              <w:t xml:space="preserve">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949A0" w:rsidRDefault="00944B58" w:rsidP="00233787">
            <w:pPr>
              <w:spacing w:before="40" w:after="40"/>
              <w:rPr>
                <w:sz w:val="16"/>
              </w:rPr>
            </w:pPr>
            <w:r w:rsidRPr="000949A0">
              <w:rPr>
                <w:sz w:val="16"/>
              </w:rPr>
              <w:t>6-39</w:t>
            </w:r>
          </w:p>
        </w:tc>
        <w:tc>
          <w:tcPr>
            <w:tcW w:w="6663" w:type="dxa"/>
          </w:tcPr>
          <w:p w:rsidR="00944B58" w:rsidRPr="000949A0" w:rsidRDefault="00944B58" w:rsidP="00233787">
            <w:pPr>
              <w:spacing w:before="40" w:after="40"/>
              <w:rPr>
                <w:sz w:val="16"/>
              </w:rPr>
            </w:pPr>
            <w:r w:rsidRPr="000949A0">
              <w:rPr>
                <w:sz w:val="16"/>
              </w:rPr>
              <w:t>5</w:t>
            </w:r>
            <w:r w:rsidRPr="000949A0">
              <w:rPr>
                <w:sz w:val="16"/>
                <w:vertAlign w:val="superscript"/>
              </w:rPr>
              <w:t>th</w:t>
            </w:r>
            <w:r w:rsidRPr="000949A0">
              <w:rPr>
                <w:sz w:val="16"/>
              </w:rPr>
              <w:t xml:space="preserve"> paragraph: Direct comparison of river plume transport with dredge material transport is not appropriate. River plumes carry sediment at the surface in a freshwater layer, the SKM APASA modelling dealt with transport via continuing resuspension/settlement. </w:t>
            </w:r>
          </w:p>
        </w:tc>
        <w:tc>
          <w:tcPr>
            <w:tcW w:w="6054" w:type="dxa"/>
          </w:tcPr>
          <w:p w:rsidR="00944B58" w:rsidRPr="000949A0" w:rsidRDefault="00944B58" w:rsidP="00233787">
            <w:pPr>
              <w:spacing w:before="40" w:after="40"/>
              <w:rPr>
                <w:sz w:val="16"/>
              </w:rPr>
            </w:pPr>
            <w:r w:rsidRPr="000949A0">
              <w:rPr>
                <w:sz w:val="16"/>
              </w:rPr>
              <w:t>Delete first sentence.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949A0" w:rsidRDefault="00944B58" w:rsidP="00233787">
            <w:pPr>
              <w:spacing w:before="40" w:after="40"/>
              <w:rPr>
                <w:sz w:val="16"/>
              </w:rPr>
            </w:pPr>
            <w:r w:rsidRPr="000949A0">
              <w:rPr>
                <w:sz w:val="16"/>
              </w:rPr>
              <w:t>6-39</w:t>
            </w:r>
          </w:p>
        </w:tc>
        <w:tc>
          <w:tcPr>
            <w:tcW w:w="6663" w:type="dxa"/>
          </w:tcPr>
          <w:p w:rsidR="00944B58" w:rsidRPr="000949A0" w:rsidRDefault="00944B58" w:rsidP="00233787">
            <w:pPr>
              <w:spacing w:before="40" w:after="40"/>
              <w:rPr>
                <w:sz w:val="16"/>
              </w:rPr>
            </w:pPr>
            <w:r w:rsidRPr="000949A0">
              <w:rPr>
                <w:sz w:val="16"/>
              </w:rPr>
              <w:t>The question of what happens to sea-dumped dredged material seems crucial to the major concerns about port development and maintenance dredging. The discussion given to this is currently inadequate.</w:t>
            </w:r>
          </w:p>
        </w:tc>
        <w:tc>
          <w:tcPr>
            <w:tcW w:w="6054" w:type="dxa"/>
          </w:tcPr>
          <w:p w:rsidR="00944B58" w:rsidRPr="000949A0" w:rsidRDefault="00944B58" w:rsidP="00233787">
            <w:pPr>
              <w:spacing w:before="40" w:after="40"/>
              <w:rPr>
                <w:color w:val="5185C0" w:themeColor="accent6"/>
                <w:sz w:val="16"/>
              </w:rPr>
            </w:pPr>
            <w:r w:rsidRPr="000949A0">
              <w:rPr>
                <w:sz w:val="16"/>
              </w:rPr>
              <w:t>A much greater discussion is needed along with presentation of implications for decisions about marine dumping of dredged materials.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6-40, Figure 6-19</w:t>
            </w:r>
          </w:p>
        </w:tc>
        <w:tc>
          <w:tcPr>
            <w:tcW w:w="6663" w:type="dxa"/>
          </w:tcPr>
          <w:p w:rsidR="00944B58" w:rsidRPr="00065220" w:rsidRDefault="00944B58" w:rsidP="00233787">
            <w:pPr>
              <w:spacing w:before="40" w:after="40"/>
              <w:rPr>
                <w:sz w:val="16"/>
              </w:rPr>
            </w:pPr>
            <w:r w:rsidRPr="00065220">
              <w:rPr>
                <w:sz w:val="16"/>
              </w:rPr>
              <w:t>The presentation of Figure 6.19 is potentially misleading. The prediction shown in Figure 6.19a was specifically to address worst conditions for Round Top Island, i.e., northward transport. There were other model outputs (e.g. worst condition for Victor Islet) that clearly predict much more extensive southward transport. Selecting a figure intended to assess impacts on a receptor to the north for comparison with imagery showing southern transport is not a balanced analysis of the information.</w:t>
            </w:r>
          </w:p>
        </w:tc>
        <w:tc>
          <w:tcPr>
            <w:tcW w:w="6054" w:type="dxa"/>
          </w:tcPr>
          <w:p w:rsidR="00944B58" w:rsidRPr="00065220" w:rsidRDefault="00944B58" w:rsidP="00233787">
            <w:pPr>
              <w:spacing w:before="40" w:after="40"/>
              <w:rPr>
                <w:color w:val="5185C0" w:themeColor="accent6"/>
                <w:sz w:val="16"/>
              </w:rPr>
            </w:pPr>
            <w:r w:rsidRPr="00065220">
              <w:rPr>
                <w:sz w:val="16"/>
              </w:rPr>
              <w:t>Present all appropriate figures in the reference or choose a better example. The message that model predictions are not always accurate is still valid.</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6-46</w:t>
            </w:r>
          </w:p>
        </w:tc>
        <w:tc>
          <w:tcPr>
            <w:tcW w:w="6663" w:type="dxa"/>
          </w:tcPr>
          <w:p w:rsidR="00944B58" w:rsidRPr="00065220" w:rsidRDefault="00944B58" w:rsidP="00233787">
            <w:pPr>
              <w:tabs>
                <w:tab w:val="left" w:pos="1698"/>
              </w:tabs>
              <w:spacing w:before="40" w:after="40"/>
              <w:rPr>
                <w:sz w:val="16"/>
              </w:rPr>
            </w:pPr>
            <w:r w:rsidRPr="00065220">
              <w:rPr>
                <w:sz w:val="16"/>
              </w:rPr>
              <w:t xml:space="preserve">The "trophic" approach to examining the impacts of extraction ignores an important element of the ecology and vulnerability of the various species groups that are covered - that of their mobility. </w:t>
            </w:r>
          </w:p>
        </w:tc>
        <w:tc>
          <w:tcPr>
            <w:tcW w:w="6054" w:type="dxa"/>
          </w:tcPr>
          <w:p w:rsidR="00944B58" w:rsidRPr="00065220" w:rsidRDefault="00944B58" w:rsidP="00233787">
            <w:pPr>
              <w:spacing w:before="40" w:after="40"/>
              <w:rPr>
                <w:sz w:val="16"/>
              </w:rPr>
            </w:pPr>
            <w:r w:rsidRPr="00065220">
              <w:rPr>
                <w:sz w:val="16"/>
              </w:rPr>
              <w:t>Suggest that some coverage be given to species/groups/trophic levels that we know are mobile/pelagic versus those we know are sedentary/site attached, as they are more demersal/benthic. We'd expect to see different impacts on these two groups across a suite of pressures.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Pr>
                <w:sz w:val="16"/>
              </w:rPr>
              <w:t>6-55</w:t>
            </w:r>
          </w:p>
        </w:tc>
        <w:tc>
          <w:tcPr>
            <w:tcW w:w="6663" w:type="dxa"/>
          </w:tcPr>
          <w:p w:rsidR="00944B58" w:rsidRPr="00065220" w:rsidRDefault="00944B58" w:rsidP="00233787">
            <w:pPr>
              <w:tabs>
                <w:tab w:val="left" w:pos="1698"/>
              </w:tabs>
              <w:spacing w:before="40" w:after="40"/>
              <w:rPr>
                <w:sz w:val="16"/>
              </w:rPr>
            </w:pPr>
            <w:r>
              <w:rPr>
                <w:sz w:val="16"/>
              </w:rPr>
              <w:t>When discussing the impacts of vessel strike on wildlife, it is stated that “go slow areas and transit lanes have been declared in some areas where there is high vessel traffic and large populations of marine turtles and dugong, such as near Hinchinbrook Island”. This appears to be overstating current management arrangements, as the go slow areas are voluntary and have been reported to be of limited effectiveness in changing the behaviour of vessel operators (Andersson 2008).</w:t>
            </w:r>
          </w:p>
        </w:tc>
        <w:tc>
          <w:tcPr>
            <w:tcW w:w="6054" w:type="dxa"/>
          </w:tcPr>
          <w:p w:rsidR="00944B58" w:rsidRPr="00065220" w:rsidRDefault="00944B58" w:rsidP="00233787">
            <w:pPr>
              <w:spacing w:before="40" w:after="40"/>
              <w:rPr>
                <w:sz w:val="16"/>
              </w:rPr>
            </w:pPr>
            <w:r>
              <w:rPr>
                <w:sz w:val="16"/>
              </w:rPr>
              <w:t>Provide further clarification of the management arrangements in place to reduce boat strike on wildlife.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6-56</w:t>
            </w:r>
          </w:p>
        </w:tc>
        <w:tc>
          <w:tcPr>
            <w:tcW w:w="6663" w:type="dxa"/>
          </w:tcPr>
          <w:p w:rsidR="00944B58" w:rsidRPr="00065220" w:rsidRDefault="00944B58" w:rsidP="00233787">
            <w:pPr>
              <w:spacing w:before="40" w:after="40"/>
              <w:rPr>
                <w:sz w:val="16"/>
              </w:rPr>
            </w:pPr>
            <w:r w:rsidRPr="00065220">
              <w:rPr>
                <w:sz w:val="16"/>
              </w:rPr>
              <w:t xml:space="preserve">In Tables 6.6 and 6.7, the grouping of "no effect" and "unknown" into a single category is inappropriate. </w:t>
            </w:r>
          </w:p>
        </w:tc>
        <w:tc>
          <w:tcPr>
            <w:tcW w:w="6054" w:type="dxa"/>
          </w:tcPr>
          <w:p w:rsidR="00944B58" w:rsidRPr="00065220" w:rsidRDefault="00944B58" w:rsidP="00233787">
            <w:pPr>
              <w:spacing w:before="40" w:after="40"/>
              <w:rPr>
                <w:sz w:val="16"/>
              </w:rPr>
            </w:pPr>
            <w:r w:rsidRPr="00065220">
              <w:rPr>
                <w:sz w:val="16"/>
              </w:rPr>
              <w:t xml:space="preserve">Following the precautionary approach, one would expect either to see the two categories separated, or for those where the effect is unknown to be placed in a </w:t>
            </w:r>
            <w:r w:rsidRPr="00065220">
              <w:rPr>
                <w:sz w:val="16"/>
              </w:rPr>
              <w:lastRenderedPageBreak/>
              <w:t>data deficient category.</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6-67</w:t>
            </w:r>
          </w:p>
        </w:tc>
        <w:tc>
          <w:tcPr>
            <w:tcW w:w="6663" w:type="dxa"/>
          </w:tcPr>
          <w:p w:rsidR="00944B58" w:rsidRPr="00065220" w:rsidRDefault="00944B58" w:rsidP="00233787">
            <w:pPr>
              <w:spacing w:before="40" w:after="40"/>
              <w:rPr>
                <w:sz w:val="16"/>
              </w:rPr>
            </w:pPr>
            <w:r w:rsidRPr="00065220">
              <w:rPr>
                <w:sz w:val="16"/>
              </w:rPr>
              <w:t xml:space="preserve">Following an introduction to the qualitative modelling approach taken to examine the response of a system to impacts, the report notes that "while model links are qualitative ….they, nonetheless, represent a rigorous means to formally assess a system's dynamics and its response to disturbances". The method is only as good (or rigorous) as the data or expert opinion that generates the results. Rigour implies that there is a degree of repeatability, and this is not necessarily the case if data are not robust, or different groups of experts are used to develop a qualitative representation of the system.  </w:t>
            </w:r>
          </w:p>
        </w:tc>
        <w:tc>
          <w:tcPr>
            <w:tcW w:w="6054" w:type="dxa"/>
          </w:tcPr>
          <w:p w:rsidR="00944B58" w:rsidRPr="00065220" w:rsidRDefault="00944B58" w:rsidP="00233787">
            <w:pPr>
              <w:spacing w:before="40" w:after="40"/>
              <w:rPr>
                <w:sz w:val="16"/>
              </w:rPr>
            </w:pPr>
            <w:r w:rsidRPr="00065220">
              <w:rPr>
                <w:sz w:val="16"/>
              </w:rPr>
              <w:t>It would be important either to make this qualifier, or to change the statement of worth from rigorous to useful.</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6-71</w:t>
            </w:r>
          </w:p>
        </w:tc>
        <w:tc>
          <w:tcPr>
            <w:tcW w:w="6663" w:type="dxa"/>
          </w:tcPr>
          <w:p w:rsidR="00944B58" w:rsidRPr="00065220" w:rsidRDefault="00944B58" w:rsidP="00233787">
            <w:pPr>
              <w:spacing w:before="40" w:after="40"/>
              <w:rPr>
                <w:sz w:val="16"/>
              </w:rPr>
            </w:pPr>
            <w:r w:rsidRPr="00065220">
              <w:rPr>
                <w:sz w:val="16"/>
              </w:rPr>
              <w:t>GIS analysis methods are neither described or cited from the literature, leaving the reader with little by which to gauge how robust/useful they are. A cumulative impact map is a key example.</w:t>
            </w:r>
          </w:p>
        </w:tc>
        <w:tc>
          <w:tcPr>
            <w:tcW w:w="6054" w:type="dxa"/>
          </w:tcPr>
          <w:p w:rsidR="00944B58" w:rsidRPr="00065220" w:rsidRDefault="00944B58" w:rsidP="00233787">
            <w:pPr>
              <w:spacing w:before="40" w:after="40"/>
              <w:rPr>
                <w:sz w:val="16"/>
              </w:rPr>
            </w:pPr>
            <w:r w:rsidRPr="00065220">
              <w:rPr>
                <w:sz w:val="16"/>
              </w:rPr>
              <w:t>Describe/cite GIS analysis methods, in particular the derivation of the cumulative impact map.</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6-76, Figures 6.31, 6.32, 6.33, 6.8.3</w:t>
            </w:r>
          </w:p>
        </w:tc>
        <w:tc>
          <w:tcPr>
            <w:tcW w:w="6663" w:type="dxa"/>
          </w:tcPr>
          <w:p w:rsidR="00944B58" w:rsidRPr="00065220" w:rsidRDefault="00944B58" w:rsidP="00233787">
            <w:pPr>
              <w:spacing w:before="40" w:after="40"/>
              <w:rPr>
                <w:sz w:val="16"/>
              </w:rPr>
            </w:pPr>
            <w:r w:rsidRPr="00065220">
              <w:rPr>
                <w:sz w:val="16"/>
              </w:rPr>
              <w:t xml:space="preserve">The analysis is actually of exposures, not impacts. Although the intensity levels used have been correlated to impacts, there is tremendous variation in sensitivity among species and populations within species that are not taken into account in the analysis. Nor does the analysis consider cross-shelf gradients in sensitivity. Spatial predictions of high water quality impacts are likely to be misleading for soft-bottom communities. These analyses are clearly useful tools for risk assessment but it is important to be very clear that they are not impact predictions </w:t>
            </w:r>
            <w:r w:rsidRPr="00065220">
              <w:rPr>
                <w:i/>
                <w:sz w:val="16"/>
              </w:rPr>
              <w:t>per se</w:t>
            </w:r>
            <w:r w:rsidRPr="00065220">
              <w:rPr>
                <w:sz w:val="16"/>
              </w:rPr>
              <w:t>.</w:t>
            </w:r>
          </w:p>
        </w:tc>
        <w:tc>
          <w:tcPr>
            <w:tcW w:w="6054" w:type="dxa"/>
          </w:tcPr>
          <w:p w:rsidR="00944B58" w:rsidRPr="00065220" w:rsidRDefault="00944B58" w:rsidP="00233787">
            <w:pPr>
              <w:spacing w:before="40" w:after="40"/>
              <w:rPr>
                <w:color w:val="5185C0" w:themeColor="accent6"/>
                <w:sz w:val="16"/>
              </w:rPr>
            </w:pPr>
            <w:r w:rsidRPr="00065220">
              <w:rPr>
                <w:sz w:val="16"/>
              </w:rPr>
              <w:t>Clarify that these are not impacts, but exposures.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6-76, Figs. 6.31, 6.32, 6.33, 6.8.3</w:t>
            </w:r>
          </w:p>
        </w:tc>
        <w:tc>
          <w:tcPr>
            <w:tcW w:w="6663" w:type="dxa"/>
          </w:tcPr>
          <w:p w:rsidR="00944B58" w:rsidRPr="00065220" w:rsidRDefault="00944B58" w:rsidP="00233787">
            <w:pPr>
              <w:spacing w:before="40" w:after="40"/>
              <w:rPr>
                <w:sz w:val="16"/>
              </w:rPr>
            </w:pPr>
            <w:r w:rsidRPr="00065220">
              <w:rPr>
                <w:sz w:val="16"/>
              </w:rPr>
              <w:t>The work on cumulative impacts provides a useful initial framework but the need for validation through further monitoring and experimental studies should be made clear and be reflected in the proposed program. It would have been useful to test the spatial predictions of cumulative water quality stress against measured changes in condition, though it is recognised that there are limits on what could be achieved in the assessment. Recognising there are limits, it is somewhat surprising that spatial analysis in figures 6.29 and 6.30 is not linked in some way to the water quality analysis – readers may visually overlay Figure 6.30 and 6.33 and conclude impacts are high everywhere. Further steps using measured changes in condition would be useful to investigate whether it is appropriate to apply equal weighting to the different stressors, which could help in refining management priorities. Presumably these sorts of issues will be part of developing approaches to cumulative impact assessment but it may be useful to provide specific examples of research needs.</w:t>
            </w:r>
          </w:p>
        </w:tc>
        <w:tc>
          <w:tcPr>
            <w:tcW w:w="6054" w:type="dxa"/>
          </w:tcPr>
          <w:p w:rsidR="00944B58" w:rsidRPr="00065220" w:rsidRDefault="00944B58" w:rsidP="00233787">
            <w:pPr>
              <w:spacing w:before="40" w:after="40"/>
              <w:rPr>
                <w:sz w:val="16"/>
              </w:rPr>
            </w:pPr>
            <w:r w:rsidRPr="00065220">
              <w:rPr>
                <w:sz w:val="16"/>
              </w:rPr>
              <w:t xml:space="preserve">Clarify need for validation through further monitoring and experimental studies and include in proposed program. </w:t>
            </w:r>
          </w:p>
          <w:p w:rsidR="00944B58" w:rsidRPr="00065220" w:rsidRDefault="00944B58" w:rsidP="00233787">
            <w:pPr>
              <w:spacing w:before="40" w:after="40"/>
              <w:rPr>
                <w:sz w:val="16"/>
              </w:rPr>
            </w:pPr>
            <w:r w:rsidRPr="00065220">
              <w:rPr>
                <w:sz w:val="16"/>
              </w:rPr>
              <w:t xml:space="preserve">Link spatial analysis in figures to water quality analysis. </w:t>
            </w:r>
          </w:p>
          <w:p w:rsidR="00944B58" w:rsidRPr="00065220" w:rsidRDefault="00944B58" w:rsidP="00233787">
            <w:pPr>
              <w:spacing w:before="40" w:after="40"/>
              <w:rPr>
                <w:sz w:val="16"/>
              </w:rPr>
            </w:pPr>
            <w:r w:rsidRPr="00065220">
              <w:rPr>
                <w:sz w:val="16"/>
              </w:rPr>
              <w:t>Provide specific examples of research needs.</w:t>
            </w:r>
            <w:r w:rsidRPr="00065220">
              <w:rPr>
                <w:color w:val="5185C0" w:themeColor="accent6"/>
                <w:sz w:val="16"/>
              </w:rPr>
              <w:t xml:space="preserve">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6-79</w:t>
            </w:r>
          </w:p>
        </w:tc>
        <w:tc>
          <w:tcPr>
            <w:tcW w:w="6663" w:type="dxa"/>
          </w:tcPr>
          <w:p w:rsidR="00944B58" w:rsidRPr="00065220" w:rsidRDefault="00944B58" w:rsidP="00233787">
            <w:pPr>
              <w:spacing w:before="40" w:after="40"/>
              <w:rPr>
                <w:sz w:val="16"/>
              </w:rPr>
            </w:pPr>
            <w:r w:rsidRPr="00065220">
              <w:rPr>
                <w:sz w:val="16"/>
              </w:rPr>
              <w:t xml:space="preserve">The cumulative impacts section could be improved. The title of this section seems </w:t>
            </w:r>
            <w:r w:rsidRPr="00065220">
              <w:rPr>
                <w:sz w:val="16"/>
              </w:rPr>
              <w:lastRenderedPageBreak/>
              <w:t xml:space="preserve">inappropriate. The text in this section discusses the outcomes of the cumulative impacts, not of the assessments.  </w:t>
            </w:r>
          </w:p>
        </w:tc>
        <w:tc>
          <w:tcPr>
            <w:tcW w:w="6054" w:type="dxa"/>
          </w:tcPr>
          <w:p w:rsidR="00944B58" w:rsidRPr="00065220" w:rsidRDefault="00944B58" w:rsidP="00233787">
            <w:pPr>
              <w:spacing w:before="40" w:after="40"/>
              <w:rPr>
                <w:sz w:val="16"/>
              </w:rPr>
            </w:pPr>
            <w:r w:rsidRPr="00065220">
              <w:rPr>
                <w:sz w:val="16"/>
              </w:rPr>
              <w:lastRenderedPageBreak/>
              <w:t xml:space="preserve">It is recommended to state upfront: a) the immaturity of our understanding of how </w:t>
            </w:r>
            <w:r w:rsidRPr="00065220">
              <w:rPr>
                <w:sz w:val="16"/>
              </w:rPr>
              <w:lastRenderedPageBreak/>
              <w:t>to quantify cumulative impacts, and b) how essential this understanding is if we are to progress from the current method of planning and executing a single intervention for a single impact. Consider the title Assessment of Outcomes arising from cumulative impacts.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6-81</w:t>
            </w:r>
          </w:p>
        </w:tc>
        <w:tc>
          <w:tcPr>
            <w:tcW w:w="6663" w:type="dxa"/>
          </w:tcPr>
          <w:p w:rsidR="00944B58" w:rsidRPr="00065220" w:rsidRDefault="00944B58" w:rsidP="00233787">
            <w:pPr>
              <w:spacing w:before="40" w:after="40"/>
              <w:rPr>
                <w:sz w:val="16"/>
              </w:rPr>
            </w:pPr>
            <w:r w:rsidRPr="00065220">
              <w:rPr>
                <w:sz w:val="16"/>
              </w:rPr>
              <w:t>The summary of impacts of the strategic assessment should directly state the key reductions in habitat: average 50% decline in coral cover along the entire reef (much larger decline in southern and central regions). Coral cover is an accepted proxy for the condition of coral reefs worldwide. The decline has impacts on the last three of the world heritage criteria. Similarly, the water quality reduction over the last decade (regardless of whether there is evidence that the Reef Plan and other actions are acting to stop the decline) has had and continues to have a very significant impact on ecological and biological processes, on the intrinsic natural beauty and on habitats for (inshore reef) biodiversity.</w:t>
            </w:r>
          </w:p>
        </w:tc>
        <w:tc>
          <w:tcPr>
            <w:tcW w:w="6054" w:type="dxa"/>
          </w:tcPr>
          <w:p w:rsidR="00944B58" w:rsidRPr="00065220" w:rsidRDefault="00944B58" w:rsidP="00233787">
            <w:pPr>
              <w:spacing w:before="40" w:after="40"/>
              <w:rPr>
                <w:sz w:val="16"/>
              </w:rPr>
            </w:pPr>
            <w:r w:rsidRPr="00065220">
              <w:rPr>
                <w:sz w:val="16"/>
              </w:rPr>
              <w:t>Include direct statements describing key reductions in habitat in the summary of impacts.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6-83</w:t>
            </w:r>
          </w:p>
        </w:tc>
        <w:tc>
          <w:tcPr>
            <w:tcW w:w="6663" w:type="dxa"/>
          </w:tcPr>
          <w:p w:rsidR="00944B58" w:rsidRPr="00065220" w:rsidRDefault="00944B58" w:rsidP="00233787">
            <w:pPr>
              <w:spacing w:before="40" w:after="40"/>
              <w:rPr>
                <w:sz w:val="16"/>
              </w:rPr>
            </w:pPr>
            <w:r w:rsidRPr="00065220">
              <w:rPr>
                <w:sz w:val="16"/>
              </w:rPr>
              <w:t xml:space="preserve">Useful summary of the required information/knowledge/systems and links to management of the World Heritage Area. However, it is unclear how this long list of required information and the call for a major integrated monitoring program will be resourced. Currently the funding of science for the Great Barrier Reef is spread across a large number of program areas in State and Commonwealth Government (Department of Education/ARC, Department of Industry, Department of Agriculture, Department of Environment, Department of Defence). </w:t>
            </w:r>
          </w:p>
        </w:tc>
        <w:tc>
          <w:tcPr>
            <w:tcW w:w="6054" w:type="dxa"/>
          </w:tcPr>
          <w:p w:rsidR="00944B58" w:rsidRPr="00065220" w:rsidRDefault="00944B58" w:rsidP="00233787">
            <w:pPr>
              <w:spacing w:before="40" w:after="40"/>
              <w:rPr>
                <w:sz w:val="16"/>
              </w:rPr>
            </w:pPr>
            <w:r w:rsidRPr="00065220">
              <w:rPr>
                <w:sz w:val="16"/>
              </w:rPr>
              <w:t>It is recommended to give greater focus and coordination to the major challenge of providing the highest priority/critical information required. This requires more than a list of topics within the Strategic Assessment. An Integrated Research and Development and Monitoring Strategy and Funded Program for the Great Barrier Reef World Heritage Area appears to be required, and should be articulated as a priority within the Strategic Assessment.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6-87</w:t>
            </w:r>
          </w:p>
        </w:tc>
        <w:tc>
          <w:tcPr>
            <w:tcW w:w="6663" w:type="dxa"/>
          </w:tcPr>
          <w:p w:rsidR="00944B58" w:rsidRPr="00065220" w:rsidRDefault="00944B58" w:rsidP="00233787">
            <w:pPr>
              <w:spacing w:before="40" w:after="40"/>
              <w:rPr>
                <w:sz w:val="16"/>
              </w:rPr>
            </w:pPr>
            <w:r w:rsidRPr="00065220">
              <w:rPr>
                <w:sz w:val="16"/>
              </w:rPr>
              <w:t xml:space="preserve">This section is a summary of the chapter’s conclusions rather than dealing with outcomes. The summary does not highlight a sense of urgency. Having learned last year that the Great Barrier Reef had suffered an average of 50% decline in coral cover over the preceding 27 years, with central and southern regions having suffered much higher declines (north of Cooktown the picture is much better), and seen the biodiversity values of the inshore regions continue to decline, the "prognosis" for the Great Barrier Reef World Heritage Area under a business-as-usual scenario is at best poor. Table 6.11 is somewhat flawed in its representation of impacts on values as it continues with the logic used in tables 6.8 and 6.9 where Grading Statements are used to categorise impacts. The grouping of interactions that are "unknown" with those that are known to be insignificant or non-existent essentially is inappropriate. For example, the impact of ocean acidification on the Great Barrier Reef is currently poorly understood; at species, community and whole of ecosystem level. However, we know from direct measurement that calcification rates in corals that have been studied in detail are falling (in some cases dramatically). This may </w:t>
            </w:r>
            <w:r w:rsidRPr="00065220">
              <w:rPr>
                <w:sz w:val="16"/>
              </w:rPr>
              <w:lastRenderedPageBreak/>
              <w:t xml:space="preserve">well be due to thermal or other environmental stressors, but it may also be that the significant drop in pH over the last 50 years is part of that impact. Similarly the impact of ocean acidification on foraminifera calcification has already been demonstrated for pelagic species, and recent work on benthic foraminifera that play a key role in sediment dynamics on coral cays and reefs suggest that they too are vulnerable under near-real time pH levels.  </w:t>
            </w:r>
          </w:p>
        </w:tc>
        <w:tc>
          <w:tcPr>
            <w:tcW w:w="6054" w:type="dxa"/>
          </w:tcPr>
          <w:p w:rsidR="00944B58" w:rsidRPr="00065220" w:rsidRDefault="00944B58" w:rsidP="00233787">
            <w:pPr>
              <w:spacing w:before="40" w:after="40"/>
              <w:rPr>
                <w:sz w:val="16"/>
              </w:rPr>
            </w:pPr>
            <w:r w:rsidRPr="00065220">
              <w:rPr>
                <w:sz w:val="16"/>
              </w:rPr>
              <w:lastRenderedPageBreak/>
              <w:t>Re-title chapter or change content to deal with outcomes. Highlight a sense of urgency in managing the Great Barrier Reef. Separate “unknown” impacts from “insignificant/non-existent” impacts.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7-overall</w:t>
            </w:r>
          </w:p>
        </w:tc>
        <w:tc>
          <w:tcPr>
            <w:tcW w:w="6663" w:type="dxa"/>
          </w:tcPr>
          <w:p w:rsidR="00944B58" w:rsidRPr="00065220" w:rsidRDefault="00944B58" w:rsidP="00233787">
            <w:pPr>
              <w:spacing w:before="40" w:after="40"/>
              <w:rPr>
                <w:sz w:val="16"/>
              </w:rPr>
            </w:pPr>
            <w:r w:rsidRPr="00065220">
              <w:rPr>
                <w:sz w:val="16"/>
              </w:rPr>
              <w:t>The information gaps are presented as a list without prioritisation. The coverage is adequate for the purposes of the assessment, but there is a gap when summarising condition and trend, in that major declines in coral cover, seagrasses and inshore biodiversity are not stated to be currently affecting the broader values of the Region, and if these declines are not arrested are likely to have much more dire impacts. To counter the status and trends in these major habitat/ecosystem foundations, there is reference to the poorly understood/studied elements of the system such as plankton communities, primary productivity. The Assessment has most likely established its view of these communities on expert opinion rather than hard data, this may not be an adequate basis for reporting as it has been in this Chapter.</w:t>
            </w:r>
          </w:p>
        </w:tc>
        <w:tc>
          <w:tcPr>
            <w:tcW w:w="6054" w:type="dxa"/>
          </w:tcPr>
          <w:p w:rsidR="00944B58" w:rsidRPr="00065220" w:rsidRDefault="00944B58" w:rsidP="00233787">
            <w:pPr>
              <w:spacing w:before="40" w:after="40"/>
              <w:rPr>
                <w:color w:val="5185C0" w:themeColor="accent6"/>
                <w:sz w:val="16"/>
              </w:rPr>
            </w:pPr>
            <w:r w:rsidRPr="00065220">
              <w:rPr>
                <w:sz w:val="16"/>
              </w:rPr>
              <w:t>Prioritise information gaps. Highlight declining condition of the reef. Reconsider the use of expert opinion rather than data for the basis of assessment.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Pr>
                <w:sz w:val="16"/>
              </w:rPr>
              <w:t>7-7</w:t>
            </w:r>
          </w:p>
        </w:tc>
        <w:tc>
          <w:tcPr>
            <w:tcW w:w="6663" w:type="dxa"/>
          </w:tcPr>
          <w:p w:rsidR="00944B58" w:rsidRPr="00065220" w:rsidRDefault="00944B58" w:rsidP="00233787">
            <w:pPr>
              <w:spacing w:before="40" w:after="40"/>
              <w:rPr>
                <w:sz w:val="16"/>
              </w:rPr>
            </w:pPr>
            <w:r>
              <w:rPr>
                <w:sz w:val="16"/>
              </w:rPr>
              <w:t>The lagoon floor is assessed to be in good condition. Given the amount of trawling that has taken place in the Great Barrier Reef lagoon, a ‘poor’ and ‘improving’ rank would seem more appropriate, due to the reduction in trawl pressure.</w:t>
            </w:r>
          </w:p>
        </w:tc>
        <w:tc>
          <w:tcPr>
            <w:tcW w:w="6054" w:type="dxa"/>
          </w:tcPr>
          <w:p w:rsidR="00944B58" w:rsidRPr="00065220" w:rsidRDefault="00944B58" w:rsidP="00233787">
            <w:pPr>
              <w:spacing w:before="40" w:after="40"/>
              <w:rPr>
                <w:sz w:val="16"/>
              </w:rPr>
            </w:pPr>
            <w:r>
              <w:rPr>
                <w:sz w:val="16"/>
              </w:rPr>
              <w:t>Reconsider the assessment of lagoon floor.</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7-33</w:t>
            </w:r>
          </w:p>
        </w:tc>
        <w:tc>
          <w:tcPr>
            <w:tcW w:w="6663" w:type="dxa"/>
          </w:tcPr>
          <w:p w:rsidR="00944B58" w:rsidRPr="00065220" w:rsidRDefault="00944B58" w:rsidP="00233787">
            <w:pPr>
              <w:spacing w:before="40" w:after="40"/>
              <w:rPr>
                <w:sz w:val="16"/>
              </w:rPr>
            </w:pPr>
            <w:r w:rsidRPr="00065220">
              <w:rPr>
                <w:sz w:val="16"/>
              </w:rPr>
              <w:t>Understanding and appreciation. This point links to one other World Heritage obligation - that of "giving World Heritage a meaning in the life of the community". There are multiple reasons why this obligation delivers benefits, not least of which is the garnering of community support for programs to better protect and manage the Great Barrier Reef. It is worth highlighting this in the Program as it has had a low profile in the past. Along with better communication about Climate Change and the Great Barrier Reef, the outcome could be very positive.</w:t>
            </w:r>
          </w:p>
        </w:tc>
        <w:tc>
          <w:tcPr>
            <w:tcW w:w="6054" w:type="dxa"/>
          </w:tcPr>
          <w:p w:rsidR="00944B58" w:rsidRPr="00065220" w:rsidRDefault="00944B58" w:rsidP="00233787">
            <w:pPr>
              <w:spacing w:before="40" w:after="40"/>
              <w:rPr>
                <w:color w:val="5185C0" w:themeColor="accent6"/>
                <w:sz w:val="16"/>
              </w:rPr>
            </w:pPr>
            <w:r w:rsidRPr="00065220">
              <w:rPr>
                <w:sz w:val="16"/>
              </w:rPr>
              <w:t>Highlight community aspects of World Heritage listing.</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7-34 to 38</w:t>
            </w:r>
          </w:p>
        </w:tc>
        <w:tc>
          <w:tcPr>
            <w:tcW w:w="6663" w:type="dxa"/>
          </w:tcPr>
          <w:p w:rsidR="00944B58" w:rsidRPr="00065220" w:rsidRDefault="00944B58" w:rsidP="00233787">
            <w:pPr>
              <w:spacing w:before="40" w:after="40"/>
              <w:rPr>
                <w:sz w:val="16"/>
              </w:rPr>
            </w:pPr>
            <w:r w:rsidRPr="00065220">
              <w:rPr>
                <w:sz w:val="16"/>
              </w:rPr>
              <w:t>The section is highly variable in terms of the information content it provides, ranging from well-founded where data are adequate (e.g. freshwater input) to lacking where there is very little understanding or monitoring of the processes either by the Research and Development community or GBRMPA.</w:t>
            </w:r>
          </w:p>
        </w:tc>
        <w:tc>
          <w:tcPr>
            <w:tcW w:w="6054" w:type="dxa"/>
          </w:tcPr>
          <w:p w:rsidR="00944B58" w:rsidRPr="00065220" w:rsidRDefault="00944B58" w:rsidP="00233787">
            <w:pPr>
              <w:spacing w:before="40" w:after="40"/>
              <w:rPr>
                <w:sz w:val="16"/>
              </w:rPr>
            </w:pPr>
            <w:r w:rsidRPr="00065220">
              <w:rPr>
                <w:sz w:val="16"/>
              </w:rPr>
              <w:t>The determinations of trend and status are unlikely to be meaningful for those where data are inadequate, and in those cases the Assessment would be better listing them as data deficient.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7-35</w:t>
            </w:r>
          </w:p>
        </w:tc>
        <w:tc>
          <w:tcPr>
            <w:tcW w:w="6663" w:type="dxa"/>
          </w:tcPr>
          <w:p w:rsidR="00944B58" w:rsidRPr="00065220" w:rsidRDefault="00944B58" w:rsidP="00233787">
            <w:pPr>
              <w:spacing w:before="40" w:after="40"/>
              <w:rPr>
                <w:sz w:val="16"/>
              </w:rPr>
            </w:pPr>
            <w:r w:rsidRPr="00065220">
              <w:rPr>
                <w:sz w:val="16"/>
              </w:rPr>
              <w:t>Sedimentation. The reference to plumes and characterisation of likelihood do not accurately reflect the results of the cited study.</w:t>
            </w:r>
          </w:p>
        </w:tc>
        <w:tc>
          <w:tcPr>
            <w:tcW w:w="6054" w:type="dxa"/>
          </w:tcPr>
          <w:p w:rsidR="00944B58" w:rsidRPr="00065220" w:rsidRDefault="00944B58" w:rsidP="00233787">
            <w:pPr>
              <w:spacing w:before="40" w:after="40"/>
              <w:rPr>
                <w:sz w:val="16"/>
              </w:rPr>
            </w:pPr>
            <w:r w:rsidRPr="00065220">
              <w:rPr>
                <w:sz w:val="16"/>
              </w:rPr>
              <w:t xml:space="preserve">Text “resuspended </w:t>
            </w:r>
            <w:r w:rsidRPr="00065220">
              <w:rPr>
                <w:i/>
                <w:sz w:val="16"/>
              </w:rPr>
              <w:t>plumes likely to travel considerably further</w:t>
            </w:r>
            <w:r w:rsidRPr="00065220">
              <w:rPr>
                <w:sz w:val="16"/>
              </w:rPr>
              <w:t>” should be revised to “resuspended</w:t>
            </w:r>
            <w:r w:rsidRPr="00065220">
              <w:rPr>
                <w:i/>
                <w:sz w:val="16"/>
              </w:rPr>
              <w:t xml:space="preserve"> sediments potentially travelling considerably further</w:t>
            </w:r>
            <w:r w:rsidRPr="00065220">
              <w:rPr>
                <w:sz w:val="16"/>
              </w:rPr>
              <w:t xml:space="preserve">”.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7-41</w:t>
            </w:r>
          </w:p>
        </w:tc>
        <w:tc>
          <w:tcPr>
            <w:tcW w:w="6663" w:type="dxa"/>
          </w:tcPr>
          <w:p w:rsidR="00944B58" w:rsidRPr="00065220" w:rsidRDefault="00944B58" w:rsidP="00233787">
            <w:pPr>
              <w:spacing w:before="40" w:after="40"/>
              <w:rPr>
                <w:sz w:val="16"/>
              </w:rPr>
            </w:pPr>
            <w:r w:rsidRPr="00065220">
              <w:rPr>
                <w:sz w:val="16"/>
              </w:rPr>
              <w:t>“globally important breeding colonies of seabirds and marine turtles”: the comment that there have been declines in some populations appears to fit the grading statement for good, rather than poor. What evidence is there for a declining trend?</w:t>
            </w:r>
          </w:p>
        </w:tc>
        <w:tc>
          <w:tcPr>
            <w:tcW w:w="6054" w:type="dxa"/>
          </w:tcPr>
          <w:p w:rsidR="00944B58" w:rsidRPr="00065220" w:rsidRDefault="00944B58" w:rsidP="00233787">
            <w:pPr>
              <w:spacing w:before="40" w:after="40"/>
              <w:rPr>
                <w:sz w:val="16"/>
              </w:rPr>
            </w:pPr>
            <w:r w:rsidRPr="00065220">
              <w:rPr>
                <w:sz w:val="16"/>
              </w:rPr>
              <w:t>Provide evidence for trend or revise comment.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7-47, 49, 52</w:t>
            </w:r>
          </w:p>
        </w:tc>
        <w:tc>
          <w:tcPr>
            <w:tcW w:w="6663" w:type="dxa"/>
          </w:tcPr>
          <w:p w:rsidR="00944B58" w:rsidRPr="00065220" w:rsidRDefault="00944B58" w:rsidP="00233787">
            <w:pPr>
              <w:spacing w:before="40" w:after="40"/>
              <w:rPr>
                <w:sz w:val="16"/>
              </w:rPr>
            </w:pPr>
            <w:r w:rsidRPr="00065220">
              <w:rPr>
                <w:sz w:val="16"/>
              </w:rPr>
              <w:t>7-52 states that monitoring of nesting seabirds is insufficient to reliably determine condition and trend, yet on p 7-47 and 7-49 the confidence of ratings for poor condition and declining trend are rated as having adequate high-quality evidence and a high degree of consensus.</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Resolve conflicting information.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7-49</w:t>
            </w:r>
          </w:p>
        </w:tc>
        <w:tc>
          <w:tcPr>
            <w:tcW w:w="6663" w:type="dxa"/>
          </w:tcPr>
          <w:p w:rsidR="00944B58" w:rsidRPr="00065220" w:rsidRDefault="00944B58" w:rsidP="00233787">
            <w:pPr>
              <w:spacing w:before="40" w:after="40"/>
              <w:rPr>
                <w:sz w:val="16"/>
              </w:rPr>
            </w:pPr>
            <w:r w:rsidRPr="00065220">
              <w:rPr>
                <w:sz w:val="16"/>
              </w:rPr>
              <w:t>National Heritage - there are five criteria "identified" as being relevant to the Great Barrier Reef. The Great Barrier Reef was not formally evaluated for National Heritage listing and it is likely that other attributes may achieve threshold if formally pursued (and these are just as well protected as World Heritage). Such an assessment could prove valuable in identifying a range of additional heritage attributes not currently acknowledged.</w:t>
            </w:r>
          </w:p>
        </w:tc>
        <w:tc>
          <w:tcPr>
            <w:tcW w:w="6054" w:type="dxa"/>
          </w:tcPr>
          <w:p w:rsidR="00944B58" w:rsidRPr="00065220" w:rsidRDefault="00944B58" w:rsidP="00233787">
            <w:pPr>
              <w:spacing w:before="40" w:after="40"/>
              <w:rPr>
                <w:sz w:val="16"/>
              </w:rPr>
            </w:pPr>
            <w:r w:rsidRPr="00065220">
              <w:rPr>
                <w:sz w:val="16"/>
              </w:rPr>
              <w:t>Consider a formal assessment of National Heritage criteria for the World Heritage Areas.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7-54</w:t>
            </w:r>
          </w:p>
        </w:tc>
        <w:tc>
          <w:tcPr>
            <w:tcW w:w="6663" w:type="dxa"/>
          </w:tcPr>
          <w:p w:rsidR="00944B58" w:rsidRPr="00065220" w:rsidRDefault="00944B58" w:rsidP="00233787">
            <w:pPr>
              <w:spacing w:before="40" w:after="40"/>
              <w:rPr>
                <w:sz w:val="16"/>
              </w:rPr>
            </w:pPr>
            <w:r w:rsidRPr="00065220">
              <w:rPr>
                <w:sz w:val="16"/>
              </w:rPr>
              <w:t>Environmental processes: gaps should be identified with regard to nutrient and carbon cycling.</w:t>
            </w:r>
          </w:p>
        </w:tc>
        <w:tc>
          <w:tcPr>
            <w:tcW w:w="6054" w:type="dxa"/>
          </w:tcPr>
          <w:p w:rsidR="00944B58" w:rsidRPr="00065220" w:rsidRDefault="00944B58" w:rsidP="00233787">
            <w:pPr>
              <w:spacing w:before="40" w:after="40"/>
              <w:rPr>
                <w:color w:val="5185C0" w:themeColor="accent6"/>
                <w:sz w:val="16"/>
              </w:rPr>
            </w:pPr>
            <w:r w:rsidRPr="00065220">
              <w:rPr>
                <w:sz w:val="16"/>
              </w:rPr>
              <w:t>Review and correct if necessary.</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7-54 to 55</w:t>
            </w:r>
          </w:p>
        </w:tc>
        <w:tc>
          <w:tcPr>
            <w:tcW w:w="6663" w:type="dxa"/>
          </w:tcPr>
          <w:p w:rsidR="00944B58" w:rsidRPr="00065220" w:rsidRDefault="00944B58" w:rsidP="00233787">
            <w:pPr>
              <w:spacing w:before="40" w:after="40"/>
              <w:rPr>
                <w:sz w:val="16"/>
              </w:rPr>
            </w:pPr>
            <w:r w:rsidRPr="00065220">
              <w:rPr>
                <w:sz w:val="16"/>
              </w:rPr>
              <w:t xml:space="preserve">As in Chapter 6, the use of the title Outcomes seems inappropriate. These are findings and conclusions, not outcomes of the Assessment. The first stated "outcome" suggests that most habitats and species are in good to very good condition, yet the second outcome statement discusses corals, seagrasses, marine mammals, sharks and some species of fish being in poor to very poor condition. That two of the major habitats on the Great Barrier Reef are in serious decline seems incompatible with the first outcome’s statement. The reality seems more likely that where we know coral and seagrass communities are in decline, we don’t have adequate monitoring of the abundance/status and trends of the communities that depend on the coral and seagrass habitat. </w:t>
            </w:r>
          </w:p>
        </w:tc>
        <w:tc>
          <w:tcPr>
            <w:tcW w:w="6054" w:type="dxa"/>
          </w:tcPr>
          <w:p w:rsidR="00944B58" w:rsidRPr="00065220" w:rsidRDefault="00944B58" w:rsidP="00233787">
            <w:pPr>
              <w:spacing w:before="40" w:after="40"/>
              <w:rPr>
                <w:sz w:val="16"/>
              </w:rPr>
            </w:pPr>
            <w:r w:rsidRPr="00065220">
              <w:rPr>
                <w:sz w:val="16"/>
              </w:rPr>
              <w:t>The first conclusion should be more cautious and focussed on the available information.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8-overall</w:t>
            </w:r>
          </w:p>
        </w:tc>
        <w:tc>
          <w:tcPr>
            <w:tcW w:w="6663" w:type="dxa"/>
          </w:tcPr>
          <w:p w:rsidR="00944B58" w:rsidRPr="00065220" w:rsidRDefault="00944B58" w:rsidP="00233787">
            <w:pPr>
              <w:spacing w:before="40" w:after="40"/>
              <w:rPr>
                <w:sz w:val="16"/>
              </w:rPr>
            </w:pPr>
            <w:r w:rsidRPr="00065220">
              <w:rPr>
                <w:sz w:val="16"/>
              </w:rPr>
              <w:t xml:space="preserve">There is a consistent theme within the management review that for management to be effective there needs to be an integrated and comprehensive monitoring program developed and funded. The Program Review supports this in setting an integrated monitoring program as one of its priority actions. However, the 5 year timeframe for this action does not seem appropriate. Given that what is not measured cannot be managed, a management strategy rethink would start with what the information/monitoring needs are to ensure that targets and actions are set with a measure of confidence, that they are the right targets and form a basis to demonstrate that progress towards the targets is being measured and made. </w:t>
            </w:r>
          </w:p>
        </w:tc>
        <w:tc>
          <w:tcPr>
            <w:tcW w:w="6054" w:type="dxa"/>
          </w:tcPr>
          <w:p w:rsidR="00944B58" w:rsidRPr="00065220" w:rsidRDefault="00944B58" w:rsidP="00233787">
            <w:pPr>
              <w:spacing w:before="40" w:after="40"/>
              <w:rPr>
                <w:sz w:val="16"/>
              </w:rPr>
            </w:pPr>
            <w:r w:rsidRPr="00065220">
              <w:rPr>
                <w:sz w:val="16"/>
              </w:rPr>
              <w:t>Given the concerns about a number of major components of the ecosystem, and the significant impact of any further declines on the social and economic values of the Region, it is recommended that a reprioritisation of the integrated monitoring program is an immediate priority.</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8-overall</w:t>
            </w:r>
          </w:p>
        </w:tc>
        <w:tc>
          <w:tcPr>
            <w:tcW w:w="6663" w:type="dxa"/>
          </w:tcPr>
          <w:p w:rsidR="00944B58" w:rsidRPr="00065220" w:rsidRDefault="00944B58" w:rsidP="00233787">
            <w:pPr>
              <w:spacing w:before="40" w:after="40"/>
              <w:rPr>
                <w:sz w:val="16"/>
              </w:rPr>
            </w:pPr>
            <w:r w:rsidRPr="00065220">
              <w:rPr>
                <w:sz w:val="16"/>
              </w:rPr>
              <w:t>The method for assessing management effectiveness differs considerably from that used by the Queensland Government in the Great Barrier Reef Coastal Zone Strategic Assessment.</w:t>
            </w:r>
          </w:p>
        </w:tc>
        <w:tc>
          <w:tcPr>
            <w:tcW w:w="6054" w:type="dxa"/>
          </w:tcPr>
          <w:p w:rsidR="00944B58" w:rsidRPr="00065220" w:rsidRDefault="00944B58" w:rsidP="00233787">
            <w:pPr>
              <w:spacing w:before="40" w:after="40"/>
              <w:rPr>
                <w:sz w:val="16"/>
              </w:rPr>
            </w:pPr>
            <w:r w:rsidRPr="00065220">
              <w:rPr>
                <w:sz w:val="16"/>
              </w:rPr>
              <w:t>Explain why the methods differ and the implications for presenting a ‘whole of ecosystem’ picture across both Strategic Assessments. Consider opportunities for greater alignment of the Queensland and GBRMPA Strategic Assessments prior to their finalisation.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8-overall</w:t>
            </w:r>
          </w:p>
        </w:tc>
        <w:tc>
          <w:tcPr>
            <w:tcW w:w="6663" w:type="dxa"/>
          </w:tcPr>
          <w:p w:rsidR="00944B58" w:rsidRDefault="00944B58" w:rsidP="00233787">
            <w:pPr>
              <w:spacing w:before="40" w:after="40"/>
              <w:rPr>
                <w:sz w:val="16"/>
              </w:rPr>
            </w:pPr>
            <w:r w:rsidRPr="00065220">
              <w:rPr>
                <w:sz w:val="16"/>
              </w:rPr>
              <w:t>The agricultural sector is a key industry for the Great Barrier Reef, yet there are few suggestions for strengthening management of this industry.</w:t>
            </w:r>
          </w:p>
          <w:p w:rsidR="00944B58" w:rsidRPr="00065220" w:rsidRDefault="00944B58" w:rsidP="00233787">
            <w:pPr>
              <w:spacing w:before="40" w:after="40"/>
              <w:rPr>
                <w:sz w:val="16"/>
              </w:rPr>
            </w:pPr>
            <w:r>
              <w:rPr>
                <w:sz w:val="16"/>
              </w:rPr>
              <w:t>Partnerships and stewardships are highlighted as valuable mechanisms to manage the Great Barrier Reef, but there is no assessment of their effectiveness.</w:t>
            </w:r>
          </w:p>
        </w:tc>
        <w:tc>
          <w:tcPr>
            <w:tcW w:w="6054" w:type="dxa"/>
          </w:tcPr>
          <w:p w:rsidR="00944B58" w:rsidRDefault="00944B58" w:rsidP="00233787">
            <w:pPr>
              <w:spacing w:before="40" w:after="40"/>
              <w:rPr>
                <w:sz w:val="16"/>
              </w:rPr>
            </w:pPr>
            <w:r w:rsidRPr="00065220">
              <w:rPr>
                <w:sz w:val="16"/>
              </w:rPr>
              <w:t xml:space="preserve">More specific discussion of the improved management arrangements relating to the agricultural sector is recommended. </w:t>
            </w:r>
          </w:p>
          <w:p w:rsidR="00944B58" w:rsidRPr="00065220" w:rsidRDefault="00944B58" w:rsidP="00233787">
            <w:pPr>
              <w:spacing w:before="40" w:after="40"/>
              <w:rPr>
                <w:sz w:val="16"/>
              </w:rPr>
            </w:pPr>
            <w:r>
              <w:rPr>
                <w:sz w:val="16"/>
              </w:rPr>
              <w:t>Provide an assessment of the effectiveness of partnerships and stewardships within the existing GBRMPA Program.</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8-29</w:t>
            </w:r>
          </w:p>
        </w:tc>
        <w:tc>
          <w:tcPr>
            <w:tcW w:w="6663" w:type="dxa"/>
          </w:tcPr>
          <w:p w:rsidR="00944B58" w:rsidRPr="00065220" w:rsidRDefault="00944B58" w:rsidP="00233787">
            <w:pPr>
              <w:spacing w:before="40" w:after="40"/>
              <w:rPr>
                <w:sz w:val="16"/>
              </w:rPr>
            </w:pPr>
            <w:r w:rsidRPr="00065220">
              <w:rPr>
                <w:sz w:val="16"/>
              </w:rPr>
              <w:t xml:space="preserve">It is surprising to see the "mostly effective' ratings for all of the outcomes except Biodiversity. This seems to say that GBRMPA has been doing their business effectively but have had relatively little effect on Biodiversity. Three of five biodiversity measures used in the review are declining, one is stable and only one (related to green zone health) is improving.  </w:t>
            </w:r>
          </w:p>
        </w:tc>
        <w:tc>
          <w:tcPr>
            <w:tcW w:w="6054" w:type="dxa"/>
          </w:tcPr>
          <w:p w:rsidR="00944B58" w:rsidRPr="00065220" w:rsidRDefault="00944B58" w:rsidP="00233787">
            <w:pPr>
              <w:spacing w:before="40" w:after="40"/>
              <w:rPr>
                <w:sz w:val="16"/>
              </w:rPr>
            </w:pPr>
            <w:r w:rsidRPr="00065220">
              <w:rPr>
                <w:sz w:val="16"/>
              </w:rPr>
              <w:t xml:space="preserve">Given that Biodiversity Protection is a critical outcome for the protection of MNES, it is recommended that the Program Review provide sufficient new/improved approaches such that there is a high likelihood of achieving the required improvements in outcomes.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8-39</w:t>
            </w:r>
          </w:p>
        </w:tc>
        <w:tc>
          <w:tcPr>
            <w:tcW w:w="6663" w:type="dxa"/>
          </w:tcPr>
          <w:p w:rsidR="00944B58" w:rsidRPr="00065220" w:rsidRDefault="00944B58" w:rsidP="00233787">
            <w:pPr>
              <w:spacing w:before="40" w:after="40"/>
              <w:rPr>
                <w:sz w:val="16"/>
              </w:rPr>
            </w:pPr>
            <w:r w:rsidRPr="00065220">
              <w:rPr>
                <w:sz w:val="16"/>
              </w:rPr>
              <w:t>Given that ten ports are outside GBRMPA's "jurisdiction" there is a general issue about the complications of managing the Great Barrier Reef.</w:t>
            </w:r>
          </w:p>
        </w:tc>
        <w:tc>
          <w:tcPr>
            <w:tcW w:w="6054" w:type="dxa"/>
          </w:tcPr>
          <w:p w:rsidR="00944B58" w:rsidRPr="00065220" w:rsidRDefault="00944B58" w:rsidP="00233787">
            <w:pPr>
              <w:spacing w:before="40" w:after="40"/>
              <w:rPr>
                <w:sz w:val="16"/>
              </w:rPr>
            </w:pPr>
            <w:r w:rsidRPr="00065220">
              <w:rPr>
                <w:sz w:val="16"/>
              </w:rPr>
              <w:t>GBRMPA’s jurisdiction needs further discussion.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8-94</w:t>
            </w:r>
          </w:p>
        </w:tc>
        <w:tc>
          <w:tcPr>
            <w:tcW w:w="6663" w:type="dxa"/>
          </w:tcPr>
          <w:p w:rsidR="00944B58" w:rsidRPr="00065220" w:rsidRDefault="00944B58" w:rsidP="00233787">
            <w:pPr>
              <w:spacing w:before="40" w:after="40"/>
              <w:rPr>
                <w:sz w:val="16"/>
              </w:rPr>
            </w:pPr>
            <w:r w:rsidRPr="00065220">
              <w:rPr>
                <w:sz w:val="16"/>
              </w:rPr>
              <w:t>Concern around the statement made that "Grading for indicators around condition and trend and traditional knowledge were frequently made with limited evidence" support the earlier observations that GBRMPA does not have the required information base (monitoring, quantitative assessments etc.) on which to judge its own performance.</w:t>
            </w:r>
          </w:p>
        </w:tc>
        <w:tc>
          <w:tcPr>
            <w:tcW w:w="6054" w:type="dxa"/>
          </w:tcPr>
          <w:p w:rsidR="00944B58" w:rsidRPr="00065220" w:rsidRDefault="00944B58" w:rsidP="00233787">
            <w:pPr>
              <w:spacing w:before="40" w:after="40"/>
              <w:rPr>
                <w:sz w:val="16"/>
              </w:rPr>
            </w:pPr>
            <w:r w:rsidRPr="00065220">
              <w:rPr>
                <w:sz w:val="16"/>
              </w:rPr>
              <w:t>More appropriate treatment of areas with limited information.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9-overall</w:t>
            </w:r>
          </w:p>
        </w:tc>
        <w:tc>
          <w:tcPr>
            <w:tcW w:w="6663" w:type="dxa"/>
          </w:tcPr>
          <w:p w:rsidR="00944B58" w:rsidRPr="00065220" w:rsidRDefault="00944B58" w:rsidP="00233787">
            <w:pPr>
              <w:spacing w:before="40" w:after="40"/>
              <w:rPr>
                <w:sz w:val="16"/>
              </w:rPr>
            </w:pPr>
            <w:r w:rsidRPr="00065220">
              <w:rPr>
                <w:sz w:val="16"/>
              </w:rPr>
              <w:t xml:space="preserve">Very useful approach to examining and responding to the multiple and varying issues identified in preceding chapters. Section 9.11 sets out the case for being proactive which is supported. Arguably, the greatest threat to a number of these case studies for which direct intervention is possible is in the area of water quality improvement through improved land use practices or just reduction in the extent of harmful practices. The fact that this is not explicitly raised here is an omission.  </w:t>
            </w:r>
          </w:p>
        </w:tc>
        <w:tc>
          <w:tcPr>
            <w:tcW w:w="6054" w:type="dxa"/>
          </w:tcPr>
          <w:p w:rsidR="00944B58" w:rsidRPr="00065220" w:rsidRDefault="00944B58" w:rsidP="00233787">
            <w:pPr>
              <w:spacing w:before="40" w:after="40"/>
              <w:rPr>
                <w:sz w:val="16"/>
              </w:rPr>
            </w:pPr>
            <w:r w:rsidRPr="00065220">
              <w:rPr>
                <w:sz w:val="16"/>
              </w:rPr>
              <w:t>Clarify third bullet point in 9.11. Explicitly include importance of improved land use practices.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9-overall</w:t>
            </w:r>
          </w:p>
        </w:tc>
        <w:tc>
          <w:tcPr>
            <w:tcW w:w="6663" w:type="dxa"/>
          </w:tcPr>
          <w:p w:rsidR="00944B58" w:rsidRPr="00065220" w:rsidRDefault="00944B58" w:rsidP="00233787">
            <w:pPr>
              <w:spacing w:before="40" w:after="40"/>
              <w:rPr>
                <w:sz w:val="16"/>
              </w:rPr>
            </w:pPr>
            <w:r w:rsidRPr="00065220">
              <w:rPr>
                <w:sz w:val="16"/>
              </w:rPr>
              <w:t xml:space="preserve">Strongly agree with the section on Partnerships and the conclusion that these are key. </w:t>
            </w:r>
          </w:p>
        </w:tc>
        <w:tc>
          <w:tcPr>
            <w:tcW w:w="6054" w:type="dxa"/>
          </w:tcPr>
          <w:p w:rsidR="00944B58" w:rsidRPr="00065220" w:rsidRDefault="00944B58" w:rsidP="00233787">
            <w:pPr>
              <w:spacing w:before="40" w:after="40"/>
              <w:rPr>
                <w:sz w:val="16"/>
              </w:rPr>
            </w:pPr>
            <w:r w:rsidRPr="00065220">
              <w:rPr>
                <w:sz w:val="16"/>
              </w:rPr>
              <w:t xml:space="preserve">There would be benefit in adding enhanced effectiveness of partnerships between policy makers, regulators and researchers, to ensure maximum value is extracted for each research and monitoring investment dollar.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944B58">
            <w:pPr>
              <w:spacing w:before="40" w:after="40"/>
              <w:rPr>
                <w:sz w:val="16"/>
              </w:rPr>
            </w:pPr>
            <w:r w:rsidRPr="00065220">
              <w:rPr>
                <w:sz w:val="16"/>
              </w:rPr>
              <w:t>9-</w:t>
            </w:r>
            <w:r>
              <w:rPr>
                <w:sz w:val="16"/>
              </w:rPr>
              <w:t>overall</w:t>
            </w:r>
          </w:p>
        </w:tc>
        <w:tc>
          <w:tcPr>
            <w:tcW w:w="6663" w:type="dxa"/>
          </w:tcPr>
          <w:p w:rsidR="00944B58" w:rsidRPr="00065220" w:rsidRDefault="00944B58" w:rsidP="00233787">
            <w:pPr>
              <w:spacing w:before="40" w:after="40"/>
              <w:rPr>
                <w:sz w:val="16"/>
              </w:rPr>
            </w:pPr>
            <w:r w:rsidRPr="00065220">
              <w:rPr>
                <w:sz w:val="16"/>
              </w:rPr>
              <w:t xml:space="preserve">A good coverage of the issues relating to dugong management leads to a "conclusion” (although it is not labelled as such) that improving adaptive management of dugongs is important. Regular monitoring of seagrass condition, population assessments, cumulative </w:t>
            </w:r>
            <w:r w:rsidRPr="00065220">
              <w:rPr>
                <w:sz w:val="16"/>
              </w:rPr>
              <w:lastRenderedPageBreak/>
              <w:t xml:space="preserve">impacts assessment, feasibility of restoration and rehabilitation of seagrass habitats are all mentioned as elements of an adaptive management approach. Yet despite the urgency of the need to protect southern dugongs, these actions all seem to be left to the later years of the Program Report. This is one example of potential future management actions within what is really a business as usual approach. </w:t>
            </w:r>
          </w:p>
        </w:tc>
        <w:tc>
          <w:tcPr>
            <w:tcW w:w="6054" w:type="dxa"/>
          </w:tcPr>
          <w:p w:rsidR="00944B58" w:rsidRPr="00065220" w:rsidRDefault="00944B58" w:rsidP="00233787">
            <w:pPr>
              <w:spacing w:before="40" w:after="40"/>
              <w:rPr>
                <w:sz w:val="16"/>
              </w:rPr>
            </w:pPr>
            <w:r w:rsidRPr="00065220">
              <w:rPr>
                <w:sz w:val="16"/>
              </w:rPr>
              <w:lastRenderedPageBreak/>
              <w:t>There should be a clearer articulation on the urgency to act on identified gaps in management effectiveness.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9-8, Figure 9.1</w:t>
            </w:r>
          </w:p>
        </w:tc>
        <w:tc>
          <w:tcPr>
            <w:tcW w:w="6663" w:type="dxa"/>
          </w:tcPr>
          <w:p w:rsidR="00944B58" w:rsidRPr="00065220" w:rsidRDefault="00944B58" w:rsidP="00233787">
            <w:pPr>
              <w:spacing w:before="40" w:after="40"/>
              <w:rPr>
                <w:sz w:val="16"/>
              </w:rPr>
            </w:pPr>
            <w:r w:rsidRPr="00065220">
              <w:rPr>
                <w:sz w:val="16"/>
              </w:rPr>
              <w:t xml:space="preserve">The Y axis seems truncated or the data are wrong. The range mentioned in the legend is from zero to 5 (dugongs caught per beach) but the Y axis only goes to 3.0. </w:t>
            </w:r>
          </w:p>
        </w:tc>
        <w:tc>
          <w:tcPr>
            <w:tcW w:w="6054" w:type="dxa"/>
          </w:tcPr>
          <w:p w:rsidR="00944B58" w:rsidRPr="00065220" w:rsidRDefault="00944B58" w:rsidP="00233787">
            <w:pPr>
              <w:spacing w:before="40" w:after="40"/>
              <w:rPr>
                <w:sz w:val="16"/>
              </w:rPr>
            </w:pPr>
            <w:r w:rsidRPr="00065220">
              <w:rPr>
                <w:sz w:val="16"/>
              </w:rPr>
              <w:t>Caption could be corrected.</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9-10 to 13</w:t>
            </w:r>
          </w:p>
        </w:tc>
        <w:tc>
          <w:tcPr>
            <w:tcW w:w="6663" w:type="dxa"/>
          </w:tcPr>
          <w:p w:rsidR="00944B58" w:rsidRPr="00065220" w:rsidRDefault="00944B58" w:rsidP="00233787">
            <w:pPr>
              <w:spacing w:before="40" w:after="40"/>
              <w:rPr>
                <w:sz w:val="16"/>
              </w:rPr>
            </w:pPr>
            <w:r w:rsidRPr="00065220">
              <w:rPr>
                <w:sz w:val="16"/>
              </w:rPr>
              <w:t>In relation to corals, it is suggested that upfront in the "Significance" section, it is made clear that without healthy coral communities, the Great Barrier Reef World Heritage Area  would likely degrade/evolve (as other Coral Reefs throughout the world have done) into ecosystems dominated by algal communities where overall biodiversity, natural beauty, etc. will be significantly diminished. There is a body of literature within the resilience and coral reef ecology domains that suggest coral reefs reach a tipping point at which point they switch from coral dominated systems to algal domination. A description of such phenomena should be mentioned in this chapter, in part to balance some of the comments around the potential of reefs to recover after cyclones. One other issue linked to this point is that scattered throughout the Assessment and Program Reports there is a theme of blaming coral decline, seagrass decline and associated troubles for southern dugongs and turtles on an unusually high frequency of severe cyclones (i.e., natural events that GBRMPA can do nothing about). In other places (climate change risks/impacts for example) there is acknowledgement that climate change projections suggest that cyclone intensity will increase over the next few decades - in effect raising the risk that the recent impact of high intensity cyclones will continue, a trend that would suggest in future there will be a heightened requirement to deal more effectively with a variety of anthropogenic impacts - water quality, COTS, coastal degradation, if we are to avoid reaching a tipping point.</w:t>
            </w:r>
          </w:p>
        </w:tc>
        <w:tc>
          <w:tcPr>
            <w:tcW w:w="6054" w:type="dxa"/>
          </w:tcPr>
          <w:p w:rsidR="00944B58" w:rsidRPr="00065220" w:rsidRDefault="00944B58" w:rsidP="00233787">
            <w:pPr>
              <w:spacing w:before="40" w:after="40"/>
              <w:rPr>
                <w:sz w:val="16"/>
              </w:rPr>
            </w:pPr>
            <w:r w:rsidRPr="00065220">
              <w:rPr>
                <w:sz w:val="16"/>
              </w:rPr>
              <w:t xml:space="preserve">Highlight risk of degradation/evolution from coral reef to algal community, and that this may occur as a tipping point. </w:t>
            </w:r>
          </w:p>
          <w:p w:rsidR="00944B58" w:rsidRPr="00065220" w:rsidRDefault="00944B58" w:rsidP="00233787">
            <w:pPr>
              <w:spacing w:before="40" w:after="40"/>
              <w:rPr>
                <w:sz w:val="16"/>
              </w:rPr>
            </w:pPr>
            <w:r w:rsidRPr="00065220">
              <w:rPr>
                <w:sz w:val="16"/>
              </w:rPr>
              <w:t>Also highlight risk of increased cyclone intensity with climate change, leading to a future need for better management of the anthropogenic impacts to coral.</w:t>
            </w:r>
            <w:r w:rsidRPr="00065220">
              <w:rPr>
                <w:color w:val="5185C0" w:themeColor="accent6"/>
                <w:sz w:val="16"/>
              </w:rPr>
              <w:t xml:space="preserve">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9-12</w:t>
            </w:r>
          </w:p>
        </w:tc>
        <w:tc>
          <w:tcPr>
            <w:tcW w:w="6663" w:type="dxa"/>
          </w:tcPr>
          <w:p w:rsidR="00944B58" w:rsidRPr="00065220" w:rsidRDefault="00944B58" w:rsidP="00233787">
            <w:pPr>
              <w:spacing w:before="40" w:after="40"/>
              <w:rPr>
                <w:sz w:val="16"/>
              </w:rPr>
            </w:pPr>
            <w:r w:rsidRPr="00065220">
              <w:rPr>
                <w:sz w:val="16"/>
              </w:rPr>
              <w:t xml:space="preserve"> “Coral cover has declined throughout the Region.” could be interpreted as contradicting other statements. Coral cover has declined on average over the Region as a whole but that is not the same as a decline everywhere.</w:t>
            </w:r>
          </w:p>
        </w:tc>
        <w:tc>
          <w:tcPr>
            <w:tcW w:w="6054" w:type="dxa"/>
            <w:shd w:val="clear" w:color="auto" w:fill="auto"/>
          </w:tcPr>
          <w:p w:rsidR="00944B58" w:rsidRPr="00065220" w:rsidRDefault="00944B58" w:rsidP="00233787">
            <w:pPr>
              <w:spacing w:before="40" w:after="40"/>
              <w:rPr>
                <w:sz w:val="16"/>
              </w:rPr>
            </w:pPr>
            <w:r w:rsidRPr="00065220">
              <w:rPr>
                <w:sz w:val="16"/>
              </w:rPr>
              <w:t>Clarify</w:t>
            </w:r>
          </w:p>
        </w:tc>
      </w:tr>
      <w:tr w:rsidR="00944B58" w:rsidRPr="00065220" w:rsidTr="00233787">
        <w:tc>
          <w:tcPr>
            <w:tcW w:w="572" w:type="dxa"/>
          </w:tcPr>
          <w:p w:rsidR="00944B58" w:rsidRPr="000949A0" w:rsidRDefault="00944B58" w:rsidP="00233787">
            <w:pPr>
              <w:numPr>
                <w:ilvl w:val="0"/>
                <w:numId w:val="46"/>
              </w:numPr>
              <w:tabs>
                <w:tab w:val="left" w:pos="851"/>
              </w:tabs>
              <w:spacing w:after="120"/>
            </w:pPr>
          </w:p>
        </w:tc>
        <w:tc>
          <w:tcPr>
            <w:tcW w:w="1984" w:type="dxa"/>
          </w:tcPr>
          <w:p w:rsidR="00944B58" w:rsidRPr="000949A0" w:rsidRDefault="00944B58" w:rsidP="00233787">
            <w:pPr>
              <w:spacing w:before="40" w:after="40"/>
              <w:rPr>
                <w:sz w:val="16"/>
              </w:rPr>
            </w:pPr>
            <w:r w:rsidRPr="000949A0">
              <w:rPr>
                <w:sz w:val="16"/>
              </w:rPr>
              <w:t>9-13</w:t>
            </w:r>
          </w:p>
        </w:tc>
        <w:tc>
          <w:tcPr>
            <w:tcW w:w="6663" w:type="dxa"/>
          </w:tcPr>
          <w:p w:rsidR="00944B58" w:rsidRPr="000949A0" w:rsidRDefault="00944B58" w:rsidP="00233787">
            <w:pPr>
              <w:spacing w:before="40" w:after="40"/>
              <w:rPr>
                <w:sz w:val="16"/>
              </w:rPr>
            </w:pPr>
            <w:r w:rsidRPr="000949A0">
              <w:rPr>
                <w:sz w:val="16"/>
              </w:rPr>
              <w:t xml:space="preserve">This section gets to the heart of the challenge facing the managers of the World Heritage Area - our coral reefs are in decline and we need to take action to increase their resilience. However, statements such as those in this section - that declines will continue "over the coming decades" - do not reflect recent analyses of trends. Projections within the De’ath </w:t>
            </w:r>
            <w:r w:rsidRPr="000949A0">
              <w:rPr>
                <w:i/>
                <w:sz w:val="16"/>
              </w:rPr>
              <w:t xml:space="preserve">et </w:t>
            </w:r>
            <w:r w:rsidRPr="000949A0">
              <w:rPr>
                <w:i/>
                <w:sz w:val="16"/>
              </w:rPr>
              <w:lastRenderedPageBreak/>
              <w:t>al.</w:t>
            </w:r>
            <w:r w:rsidRPr="000949A0">
              <w:rPr>
                <w:sz w:val="16"/>
              </w:rPr>
              <w:t xml:space="preserve"> (2012) coral decline paper suggest that declines of coral cover in the southern region will be faster than implied by "in coming decades”. There is a lack of emphasis on the possibility that once coral cover gets below 5% we may well see these ecosystems tipping away from coral-dominated habitats.</w:t>
            </w:r>
          </w:p>
        </w:tc>
        <w:tc>
          <w:tcPr>
            <w:tcW w:w="6054" w:type="dxa"/>
          </w:tcPr>
          <w:p w:rsidR="00944B58" w:rsidRPr="000949A0" w:rsidRDefault="00944B58" w:rsidP="00233787">
            <w:pPr>
              <w:spacing w:before="40" w:after="40"/>
              <w:rPr>
                <w:sz w:val="16"/>
              </w:rPr>
            </w:pPr>
            <w:r w:rsidRPr="000949A0">
              <w:rPr>
                <w:sz w:val="16"/>
              </w:rPr>
              <w:lastRenderedPageBreak/>
              <w:t>Revise “in coming decades” comments in light of recent analyses of trends, and emphasise the risk of tipping points.</w:t>
            </w:r>
            <w:r w:rsidRPr="000949A0">
              <w:rPr>
                <w:color w:val="5185C0" w:themeColor="accent6"/>
                <w:sz w:val="16"/>
              </w:rPr>
              <w:t xml:space="preserve"> </w:t>
            </w:r>
          </w:p>
        </w:tc>
      </w:tr>
      <w:tr w:rsidR="00944B58" w:rsidRPr="00065220" w:rsidTr="00233787">
        <w:tc>
          <w:tcPr>
            <w:tcW w:w="572" w:type="dxa"/>
          </w:tcPr>
          <w:p w:rsidR="00944B58" w:rsidRPr="000949A0" w:rsidRDefault="00944B58" w:rsidP="00233787">
            <w:pPr>
              <w:numPr>
                <w:ilvl w:val="0"/>
                <w:numId w:val="46"/>
              </w:numPr>
              <w:tabs>
                <w:tab w:val="left" w:pos="851"/>
              </w:tabs>
              <w:spacing w:after="120"/>
            </w:pPr>
          </w:p>
        </w:tc>
        <w:tc>
          <w:tcPr>
            <w:tcW w:w="1984" w:type="dxa"/>
          </w:tcPr>
          <w:p w:rsidR="00944B58" w:rsidRPr="000949A0" w:rsidRDefault="00944B58" w:rsidP="00233787">
            <w:pPr>
              <w:spacing w:before="40" w:after="40"/>
              <w:rPr>
                <w:sz w:val="16"/>
              </w:rPr>
            </w:pPr>
            <w:r w:rsidRPr="000949A0">
              <w:rPr>
                <w:sz w:val="16"/>
              </w:rPr>
              <w:t>9-13</w:t>
            </w:r>
          </w:p>
        </w:tc>
        <w:tc>
          <w:tcPr>
            <w:tcW w:w="6663" w:type="dxa"/>
          </w:tcPr>
          <w:p w:rsidR="00944B58" w:rsidRPr="000949A0" w:rsidRDefault="00944B58" w:rsidP="00233787">
            <w:pPr>
              <w:spacing w:before="40" w:after="40"/>
              <w:rPr>
                <w:sz w:val="16"/>
              </w:rPr>
            </w:pPr>
            <w:r w:rsidRPr="000949A0">
              <w:rPr>
                <w:sz w:val="16"/>
              </w:rPr>
              <w:t>Section 9.4.4. The message that overarching climate change needs to be addressed through a whole-of-government response is critical and needs to be more prominent in the Program Report.</w:t>
            </w:r>
          </w:p>
        </w:tc>
        <w:tc>
          <w:tcPr>
            <w:tcW w:w="6054" w:type="dxa"/>
            <w:shd w:val="clear" w:color="auto" w:fill="auto"/>
          </w:tcPr>
          <w:p w:rsidR="00944B58" w:rsidRPr="000949A0" w:rsidRDefault="00944B58" w:rsidP="00233787">
            <w:pPr>
              <w:spacing w:before="40" w:after="40"/>
              <w:rPr>
                <w:color w:val="5185C0" w:themeColor="accent6"/>
                <w:sz w:val="16"/>
              </w:rPr>
            </w:pPr>
            <w:r w:rsidRPr="000949A0">
              <w:rPr>
                <w:sz w:val="16"/>
              </w:rPr>
              <w:t>Give message more prominence.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9-16</w:t>
            </w:r>
          </w:p>
        </w:tc>
        <w:tc>
          <w:tcPr>
            <w:tcW w:w="6663" w:type="dxa"/>
          </w:tcPr>
          <w:p w:rsidR="00944B58" w:rsidRPr="00065220" w:rsidRDefault="00944B58" w:rsidP="00233787">
            <w:pPr>
              <w:spacing w:before="40" w:after="40"/>
              <w:rPr>
                <w:sz w:val="16"/>
              </w:rPr>
            </w:pPr>
            <w:r w:rsidRPr="00065220">
              <w:rPr>
                <w:sz w:val="16"/>
              </w:rPr>
              <w:t>The comment about many islands having serious legacy impacts and the extent of impacts on the islands should be read in the context that World Heritage obligations include rehabilitation and this has been of very limited effectiveness.</w:t>
            </w:r>
          </w:p>
        </w:tc>
        <w:tc>
          <w:tcPr>
            <w:tcW w:w="6054" w:type="dxa"/>
            <w:shd w:val="clear" w:color="auto" w:fill="auto"/>
          </w:tcPr>
          <w:p w:rsidR="00944B58" w:rsidRPr="00065220" w:rsidRDefault="00944B58" w:rsidP="00233787">
            <w:pPr>
              <w:spacing w:before="40" w:after="40"/>
              <w:rPr>
                <w:sz w:val="16"/>
              </w:rPr>
            </w:pPr>
            <w:r w:rsidRPr="00065220">
              <w:rPr>
                <w:sz w:val="16"/>
              </w:rPr>
              <w:t>Clarify rehabilitation intentions and effectiveness.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9-34</w:t>
            </w:r>
          </w:p>
        </w:tc>
        <w:tc>
          <w:tcPr>
            <w:tcW w:w="6663" w:type="dxa"/>
          </w:tcPr>
          <w:p w:rsidR="00944B58" w:rsidRPr="00065220" w:rsidRDefault="00944B58" w:rsidP="00233787">
            <w:pPr>
              <w:spacing w:before="40" w:after="40"/>
              <w:rPr>
                <w:sz w:val="16"/>
              </w:rPr>
            </w:pPr>
            <w:r w:rsidRPr="00065220">
              <w:rPr>
                <w:sz w:val="16"/>
              </w:rPr>
              <w:t>Enhancing protection and restoration. This section provides no specific information about what further actions are needed and why. What aspects of wetland function have been compromised? This is another example that there does not appear to be a clear, targeted strategy to restoration ecology.</w:t>
            </w:r>
          </w:p>
        </w:tc>
        <w:tc>
          <w:tcPr>
            <w:tcW w:w="6054" w:type="dxa"/>
          </w:tcPr>
          <w:p w:rsidR="00944B58" w:rsidRPr="00065220" w:rsidRDefault="00944B58" w:rsidP="00233787">
            <w:pPr>
              <w:spacing w:before="40" w:after="40"/>
              <w:rPr>
                <w:color w:val="5185C0" w:themeColor="accent6"/>
                <w:sz w:val="16"/>
              </w:rPr>
            </w:pPr>
            <w:r w:rsidRPr="00065220">
              <w:rPr>
                <w:sz w:val="16"/>
              </w:rPr>
              <w:t>Actions are required, including a clear, targeted strategy for restoration ecology.</w:t>
            </w:r>
            <w:r w:rsidRPr="00065220">
              <w:rPr>
                <w:color w:val="5185C0" w:themeColor="accent6"/>
                <w:sz w:val="16"/>
              </w:rPr>
              <w:t xml:space="preserve">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10-6 to 7</w:t>
            </w:r>
          </w:p>
        </w:tc>
        <w:tc>
          <w:tcPr>
            <w:tcW w:w="6663" w:type="dxa"/>
          </w:tcPr>
          <w:p w:rsidR="00944B58" w:rsidRPr="00065220" w:rsidRDefault="00944B58" w:rsidP="00233787">
            <w:pPr>
              <w:spacing w:before="40" w:after="40"/>
              <w:rPr>
                <w:sz w:val="16"/>
              </w:rPr>
            </w:pPr>
            <w:r w:rsidRPr="00065220">
              <w:rPr>
                <w:sz w:val="16"/>
              </w:rPr>
              <w:t>In this section we see the first attempt to examine the overall health of the reef and its "resilience", and this is well done. However, as noted frequently in the commentary for previous chapters, the conclusions regarding the state of the Great Barrier Reef are not adequately reflected in the presentation of risks, trends and case studies.</w:t>
            </w:r>
          </w:p>
        </w:tc>
        <w:tc>
          <w:tcPr>
            <w:tcW w:w="6054" w:type="dxa"/>
          </w:tcPr>
          <w:p w:rsidR="00944B58" w:rsidRPr="00065220" w:rsidRDefault="00944B58" w:rsidP="00233787">
            <w:pPr>
              <w:spacing w:before="40" w:after="40"/>
              <w:rPr>
                <w:color w:val="5185C0" w:themeColor="accent6"/>
                <w:sz w:val="16"/>
              </w:rPr>
            </w:pPr>
            <w:r w:rsidRPr="00065220">
              <w:rPr>
                <w:sz w:val="16"/>
              </w:rPr>
              <w:t>More recognition on the poor state of the Great Barrier Reef in the conclusions.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10-overall</w:t>
            </w:r>
          </w:p>
        </w:tc>
        <w:tc>
          <w:tcPr>
            <w:tcW w:w="6663" w:type="dxa"/>
          </w:tcPr>
          <w:p w:rsidR="00944B58" w:rsidRPr="00065220" w:rsidRDefault="00944B58" w:rsidP="00233787">
            <w:pPr>
              <w:spacing w:before="40" w:after="40"/>
              <w:rPr>
                <w:sz w:val="16"/>
              </w:rPr>
            </w:pPr>
            <w:r w:rsidRPr="00065220">
              <w:rPr>
                <w:sz w:val="16"/>
              </w:rPr>
              <w:t>"Maintaining the resilience of the Great Barrier Reef ecosystem will require major increases in effort to reduce local impacts and global climate change" is the most direct statement of the requirement for increased action by the Authority, Queensland and Commonwealth Governments. This statement is not linked to the possible consequences of not acting.</w:t>
            </w:r>
          </w:p>
        </w:tc>
        <w:tc>
          <w:tcPr>
            <w:tcW w:w="6054" w:type="dxa"/>
          </w:tcPr>
          <w:p w:rsidR="00944B58" w:rsidRPr="00065220" w:rsidRDefault="00944B58" w:rsidP="00233787">
            <w:pPr>
              <w:spacing w:before="40" w:after="40"/>
              <w:rPr>
                <w:color w:val="5185C0" w:themeColor="accent6"/>
                <w:sz w:val="16"/>
              </w:rPr>
            </w:pPr>
            <w:r w:rsidRPr="00065220">
              <w:rPr>
                <w:sz w:val="16"/>
              </w:rPr>
              <w:t>Link statement to consequences of inaction to provide a balanced analysis of the options.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11-overall</w:t>
            </w:r>
          </w:p>
        </w:tc>
        <w:tc>
          <w:tcPr>
            <w:tcW w:w="6663" w:type="dxa"/>
          </w:tcPr>
          <w:p w:rsidR="00944B58" w:rsidRPr="00065220" w:rsidRDefault="00944B58" w:rsidP="00233787">
            <w:pPr>
              <w:spacing w:before="40" w:after="40"/>
              <w:rPr>
                <w:sz w:val="16"/>
              </w:rPr>
            </w:pPr>
            <w:r w:rsidRPr="00065220">
              <w:rPr>
                <w:sz w:val="16"/>
              </w:rPr>
              <w:t xml:space="preserve">This Chapter is based largely on expert opinion-based modelling (qualitative and Bayesian belief networks) and while this methodology has great appeal as an approach for tackling complex problems/complex systems where data are not adequate to allow thorough analysis of trends in or interactions between system components, the extension of the model output into a table of future condition (and hence risk) of the Great Barrier Reef is questionable. More explanation of the method and uncertainties/possible biases (e.g. a relatively small group of "experts" was involved many of whom share a common history of working on the Great Barrier Reef). </w:t>
            </w:r>
          </w:p>
        </w:tc>
        <w:tc>
          <w:tcPr>
            <w:tcW w:w="6054" w:type="dxa"/>
          </w:tcPr>
          <w:p w:rsidR="00944B58" w:rsidRPr="00065220" w:rsidRDefault="00944B58" w:rsidP="00233787">
            <w:pPr>
              <w:spacing w:before="40" w:after="40"/>
              <w:rPr>
                <w:color w:val="5185C0" w:themeColor="accent6"/>
                <w:sz w:val="16"/>
              </w:rPr>
            </w:pPr>
            <w:r w:rsidRPr="00065220">
              <w:rPr>
                <w:sz w:val="16"/>
              </w:rPr>
              <w:t>Provide further details on the modelling method and explain or reconsider its validity for predicting future condition.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11-overall</w:t>
            </w:r>
          </w:p>
        </w:tc>
        <w:tc>
          <w:tcPr>
            <w:tcW w:w="6663" w:type="dxa"/>
          </w:tcPr>
          <w:p w:rsidR="00944B58" w:rsidRPr="00065220" w:rsidRDefault="00944B58" w:rsidP="00233787">
            <w:pPr>
              <w:spacing w:before="40" w:after="40"/>
              <w:rPr>
                <w:sz w:val="16"/>
              </w:rPr>
            </w:pPr>
            <w:r w:rsidRPr="00065220">
              <w:rPr>
                <w:sz w:val="16"/>
              </w:rPr>
              <w:t>Similarly, the projected conditions of many of the other attributes (shoals, plankton etc.) are based on a very poor knowledge of current condition. To suggest that future condition can be predicted based on poor current knowledge is an inappropriate method/approach and contrary to the precautionary principle. The heterogeneity in projected states (as there was in the current condition and risks) seems to reflect how well the abundance and condition of the stated variable has been examined. Coral reefs, seagrass beds, dugong populations, turtle populations, and seabird populations have all been studied, and all (with the exception of those north of Cooktown) are in poor or very poor condition, and have poor projections. Where there is quantitative assessments of fish populations, a similar pattern is apparent (with the exception of coral trout). However, in many other variables where there is little or no population data, it is suggested that their condition and projected condition (albeit with limited confidence) is good.</w:t>
            </w:r>
          </w:p>
        </w:tc>
        <w:tc>
          <w:tcPr>
            <w:tcW w:w="6054" w:type="dxa"/>
          </w:tcPr>
          <w:p w:rsidR="00944B58" w:rsidRPr="00065220" w:rsidRDefault="00944B58" w:rsidP="00233787">
            <w:pPr>
              <w:spacing w:before="40" w:after="40"/>
              <w:rPr>
                <w:color w:val="5185C0" w:themeColor="accent6"/>
                <w:sz w:val="16"/>
              </w:rPr>
            </w:pPr>
            <w:r w:rsidRPr="00065220">
              <w:rPr>
                <w:sz w:val="16"/>
              </w:rPr>
              <w:t>More appropriate expression of condition is recommended for attributes with limited data.</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11-13 to 15</w:t>
            </w:r>
          </w:p>
        </w:tc>
        <w:tc>
          <w:tcPr>
            <w:tcW w:w="6663" w:type="dxa"/>
          </w:tcPr>
          <w:p w:rsidR="00944B58" w:rsidRPr="00065220" w:rsidRDefault="00944B58" w:rsidP="00233787">
            <w:pPr>
              <w:spacing w:before="40" w:after="40"/>
              <w:rPr>
                <w:sz w:val="16"/>
              </w:rPr>
            </w:pPr>
            <w:r w:rsidRPr="00065220">
              <w:rPr>
                <w:sz w:val="16"/>
              </w:rPr>
              <w:t>Perhaps as an example of the shortcomings of the qualitative/expert opinion based approach, the Chapter's analysis of projected condition includes some interesting anomalies. For example, while the experts agree that there are likely to be very poor outlooks for coral reefs (the critical habitat for the majority of bony fish species in the Great Barrier Reef World Heritage Area ), sea grasses (habitat for adults and juveniles of a large number of bony fishes) and sharks (an important group of apex predators both on and off reefs), the outlook for bony fish is good. At best a major reduction of coral and seagrass habitat would see a major species shift along the Great Barrier Reef.</w:t>
            </w:r>
          </w:p>
        </w:tc>
        <w:tc>
          <w:tcPr>
            <w:tcW w:w="6054" w:type="dxa"/>
          </w:tcPr>
          <w:p w:rsidR="00944B58" w:rsidRPr="00065220" w:rsidRDefault="00944B58" w:rsidP="00233787">
            <w:pPr>
              <w:spacing w:before="40" w:after="40"/>
              <w:rPr>
                <w:color w:val="5185C0" w:themeColor="accent6"/>
                <w:sz w:val="16"/>
              </w:rPr>
            </w:pPr>
            <w:r w:rsidRPr="00065220">
              <w:rPr>
                <w:sz w:val="16"/>
              </w:rPr>
              <w:t xml:space="preserve">Reconsider analysis approach and specifically, the conclusions in relation to bony fish.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12-overall</w:t>
            </w:r>
          </w:p>
        </w:tc>
        <w:tc>
          <w:tcPr>
            <w:tcW w:w="6663" w:type="dxa"/>
          </w:tcPr>
          <w:p w:rsidR="00944B58" w:rsidRPr="00065220" w:rsidRDefault="00944B58" w:rsidP="00233787">
            <w:pPr>
              <w:spacing w:before="40" w:after="40"/>
              <w:rPr>
                <w:sz w:val="16"/>
              </w:rPr>
            </w:pPr>
            <w:r w:rsidRPr="00065220">
              <w:rPr>
                <w:sz w:val="16"/>
              </w:rPr>
              <w:t>The lack of a statement around the timeframes that are being applied is of concern. Throughout the document there are various inferences/references to timeframes in the order of "next few decades", "next 25 years". However, the available data on declines in coral cover, seagrass, inshore biodiversity, dugongs, turtles and seabirds all suggest that unless the trends can be halted and reversed in the relatively near future (5-10 years), the risks of tipping into an irreversible state shift is high, particularly with the growing risks associated with climate change (noting that little of the declines recorded to date can be directly attributed to climate change).</w:t>
            </w:r>
          </w:p>
        </w:tc>
        <w:tc>
          <w:tcPr>
            <w:tcW w:w="6054" w:type="dxa"/>
          </w:tcPr>
          <w:p w:rsidR="00944B58" w:rsidRPr="00065220" w:rsidRDefault="00944B58" w:rsidP="00233787">
            <w:pPr>
              <w:spacing w:before="40" w:after="40"/>
              <w:rPr>
                <w:color w:val="5185C0" w:themeColor="accent6"/>
                <w:sz w:val="16"/>
              </w:rPr>
            </w:pPr>
            <w:r w:rsidRPr="00065220">
              <w:rPr>
                <w:sz w:val="16"/>
              </w:rPr>
              <w:t>Timeframes need to be more clearly defined and prioritised into the next 5-10 years for actions addressing key risks.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12-overall</w:t>
            </w:r>
          </w:p>
        </w:tc>
        <w:tc>
          <w:tcPr>
            <w:tcW w:w="6663" w:type="dxa"/>
          </w:tcPr>
          <w:p w:rsidR="00944B58" w:rsidRPr="00065220" w:rsidRDefault="00944B58" w:rsidP="00233787">
            <w:pPr>
              <w:tabs>
                <w:tab w:val="left" w:pos="851"/>
              </w:tabs>
              <w:spacing w:before="40" w:after="40"/>
              <w:rPr>
                <w:sz w:val="16"/>
              </w:rPr>
            </w:pPr>
            <w:r w:rsidRPr="00065220">
              <w:rPr>
                <w:sz w:val="16"/>
              </w:rPr>
              <w:t xml:space="preserve">The assessment recommends providing a management framework that sets out outcomes and targets for the Region’s values and progressively incorporates ecosystem thresholds as understanding improves. This recommendation could be interpreted as meaning that there will be no setting of outcomes and targets until our knowledge of the system is "improved or adequate". </w:t>
            </w:r>
          </w:p>
        </w:tc>
        <w:tc>
          <w:tcPr>
            <w:tcW w:w="6054" w:type="dxa"/>
          </w:tcPr>
          <w:p w:rsidR="00944B58" w:rsidRPr="00065220" w:rsidRDefault="00944B58" w:rsidP="00233787">
            <w:pPr>
              <w:spacing w:before="40" w:after="40"/>
              <w:rPr>
                <w:sz w:val="16"/>
              </w:rPr>
            </w:pPr>
            <w:r w:rsidRPr="00065220">
              <w:rPr>
                <w:sz w:val="16"/>
              </w:rPr>
              <w:t>If this is the meaning intended, it is contrary to the precautionary principle, and there should be an explicit statement to the effect that targets will be set based on the precautionary principle and refined as more knowledge becomes available.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12-overall</w:t>
            </w:r>
          </w:p>
        </w:tc>
        <w:tc>
          <w:tcPr>
            <w:tcW w:w="6663" w:type="dxa"/>
          </w:tcPr>
          <w:p w:rsidR="00944B58" w:rsidRPr="00065220" w:rsidRDefault="00944B58" w:rsidP="00233787">
            <w:pPr>
              <w:spacing w:before="40" w:after="40"/>
              <w:rPr>
                <w:sz w:val="16"/>
              </w:rPr>
            </w:pPr>
            <w:r w:rsidRPr="00065220">
              <w:rPr>
                <w:sz w:val="16"/>
              </w:rPr>
              <w:t xml:space="preserve">This section deals with the recommended improvements to local, state and national Government Programs and is a useful articulation of how GBRMPA and various levels of government interact. The suggestion that "the key roles of the Authority is collaborating with and influencing its management partners to improve environmental outcomes in the Region", raises the question of why the Commonwealth as a whole doesn't sign on to the enhanced processes suggested. The "where we could do better” paragraphs in this section include the following statement: "Consistent with the terms of reference, the following is a description of potential avenues for improvements in related local, state and national government programs. It is noted that any such recommended improvements are the view of the Authority and not necessarily those of the other relevant agencies." </w:t>
            </w:r>
          </w:p>
        </w:tc>
        <w:tc>
          <w:tcPr>
            <w:tcW w:w="6054" w:type="dxa"/>
          </w:tcPr>
          <w:p w:rsidR="00944B58" w:rsidRPr="00065220" w:rsidRDefault="00944B58" w:rsidP="00233787">
            <w:pPr>
              <w:spacing w:before="40" w:after="40"/>
              <w:rPr>
                <w:sz w:val="16"/>
              </w:rPr>
            </w:pPr>
            <w:r w:rsidRPr="00065220">
              <w:rPr>
                <w:sz w:val="16"/>
              </w:rPr>
              <w:t>There is a requirement for common acceptance of these actions/directions across these many layers of government if the shared goals are to be achieved.</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12-5</w:t>
            </w:r>
          </w:p>
        </w:tc>
        <w:tc>
          <w:tcPr>
            <w:tcW w:w="6663" w:type="dxa"/>
          </w:tcPr>
          <w:p w:rsidR="00944B58" w:rsidRPr="00065220" w:rsidRDefault="00944B58" w:rsidP="00233787">
            <w:pPr>
              <w:spacing w:before="40" w:after="40"/>
              <w:rPr>
                <w:sz w:val="16"/>
              </w:rPr>
            </w:pPr>
            <w:r w:rsidRPr="00065220">
              <w:rPr>
                <w:sz w:val="16"/>
              </w:rPr>
              <w:t>The assertion that the assessment’s focus on the Marine Park means that values relevant to other MNES are implicitly considered could be further justified or explained. It is clear that there are gaps. The recommendation will assist in addressing those gaps.</w:t>
            </w:r>
          </w:p>
        </w:tc>
        <w:tc>
          <w:tcPr>
            <w:tcW w:w="6054" w:type="dxa"/>
          </w:tcPr>
          <w:p w:rsidR="00944B58" w:rsidRPr="00065220" w:rsidRDefault="00944B58" w:rsidP="00233787">
            <w:pPr>
              <w:spacing w:before="40" w:after="40"/>
              <w:rPr>
                <w:sz w:val="16"/>
              </w:rPr>
            </w:pPr>
            <w:r w:rsidRPr="00065220">
              <w:rPr>
                <w:sz w:val="16"/>
              </w:rPr>
              <w:t>Reconsider or further justify the assertion.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12-7</w:t>
            </w:r>
          </w:p>
        </w:tc>
        <w:tc>
          <w:tcPr>
            <w:tcW w:w="6663" w:type="dxa"/>
          </w:tcPr>
          <w:p w:rsidR="00944B58" w:rsidRPr="00065220" w:rsidRDefault="00944B58" w:rsidP="00233787">
            <w:pPr>
              <w:spacing w:before="40" w:after="40"/>
              <w:rPr>
                <w:sz w:val="16"/>
              </w:rPr>
            </w:pPr>
            <w:r w:rsidRPr="00065220">
              <w:rPr>
                <w:sz w:val="16"/>
              </w:rPr>
              <w:t xml:space="preserve">REC13 involves a review and update of the Great Barrier Reef Marine Park Heritage Strategy. </w:t>
            </w:r>
          </w:p>
        </w:tc>
        <w:tc>
          <w:tcPr>
            <w:tcW w:w="6054" w:type="dxa"/>
          </w:tcPr>
          <w:p w:rsidR="00944B58" w:rsidRPr="00065220" w:rsidRDefault="00944B58" w:rsidP="00233787">
            <w:pPr>
              <w:spacing w:before="40" w:after="40"/>
              <w:rPr>
                <w:sz w:val="16"/>
              </w:rPr>
            </w:pPr>
            <w:r w:rsidRPr="00065220">
              <w:rPr>
                <w:sz w:val="16"/>
              </w:rPr>
              <w:t>Consideration could also be given to formal assessment of the  Great Barrier Reef  National Heritage by the Australian Heritage Council.</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12-9</w:t>
            </w:r>
          </w:p>
        </w:tc>
        <w:tc>
          <w:tcPr>
            <w:tcW w:w="6663" w:type="dxa"/>
          </w:tcPr>
          <w:p w:rsidR="00944B58" w:rsidRPr="00065220" w:rsidRDefault="00944B58" w:rsidP="00233787">
            <w:pPr>
              <w:spacing w:before="40" w:after="40"/>
              <w:rPr>
                <w:sz w:val="16"/>
              </w:rPr>
            </w:pPr>
            <w:r w:rsidRPr="00065220">
              <w:rPr>
                <w:sz w:val="16"/>
              </w:rPr>
              <w:t>There seems to be a lack of action to be triggered by monitoring and evaluation. No indication is given of how such monitoring will be effective in protecting/managing the Great Barrier Reef .</w:t>
            </w:r>
          </w:p>
        </w:tc>
        <w:tc>
          <w:tcPr>
            <w:tcW w:w="6054" w:type="dxa"/>
          </w:tcPr>
          <w:p w:rsidR="00944B58" w:rsidRPr="00065220" w:rsidRDefault="00944B58" w:rsidP="00233787">
            <w:pPr>
              <w:spacing w:before="40" w:after="40"/>
              <w:rPr>
                <w:color w:val="5185C0" w:themeColor="accent6"/>
                <w:sz w:val="16"/>
              </w:rPr>
            </w:pPr>
            <w:r w:rsidRPr="00065220">
              <w:rPr>
                <w:sz w:val="16"/>
              </w:rPr>
              <w:t>Expand on monitoring triggers and consequences.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Throughout</w:t>
            </w:r>
          </w:p>
        </w:tc>
        <w:tc>
          <w:tcPr>
            <w:tcW w:w="6663" w:type="dxa"/>
          </w:tcPr>
          <w:p w:rsidR="00944B58" w:rsidRPr="00065220" w:rsidRDefault="00944B58" w:rsidP="00233787">
            <w:pPr>
              <w:spacing w:before="40" w:after="40"/>
              <w:rPr>
                <w:sz w:val="16"/>
              </w:rPr>
            </w:pPr>
            <w:r w:rsidRPr="00065220">
              <w:rPr>
                <w:sz w:val="16"/>
              </w:rPr>
              <w:t xml:space="preserve">With regard to World Heritage, the Report suffers from inconsistency in discussing the meaning of World Heritage in the context of OUV. There is an apparent mixture of the terms "values", "attributes" and "elements" likely to cause confusion in the reader. The technical expression OUV is predicated on a number of attributes that contribute to the World Heritage site meeting specific criteria. These attributes underpin the OUV. Because of the inclusion of the word "value" in Outstanding Universal Value (always singular), associated use of the term "values" when discussing attributes has caused much confusion with many examples of OUV being used in the plural and therefore confusing its meaning (not in this report). The World Heritage Committee uses "attributes" as a preferred description of the set of qualities that underpin OUV rather than "values" (see Operational Guidelines). In the Report a good example of appropriate language is in Table 10.7 on page 10-22 (the first box). Elsewhere, beginning page 4-7, there is less clarity. Indeed on page 4-7 the term "values" seems to be seen as identical to "attributes" but later this is not applied consistently. The report would be improved with a box in the section 4.2.1 that </w:t>
            </w:r>
            <w:r w:rsidRPr="00065220">
              <w:rPr>
                <w:sz w:val="16"/>
              </w:rPr>
              <w:lastRenderedPageBreak/>
              <w:t>provided a clear statement about OUV, attributes, values and the logic behind the use of these terms in the report in the context of World Heritage.</w:t>
            </w:r>
          </w:p>
        </w:tc>
        <w:tc>
          <w:tcPr>
            <w:tcW w:w="6054" w:type="dxa"/>
          </w:tcPr>
          <w:p w:rsidR="00944B58" w:rsidRPr="00065220" w:rsidRDefault="00944B58" w:rsidP="00233787">
            <w:pPr>
              <w:spacing w:before="40" w:after="40"/>
              <w:rPr>
                <w:color w:val="5185C0" w:themeColor="accent6"/>
                <w:sz w:val="16"/>
              </w:rPr>
            </w:pPr>
            <w:r w:rsidRPr="00065220">
              <w:rPr>
                <w:sz w:val="16"/>
              </w:rPr>
              <w:lastRenderedPageBreak/>
              <w:t>Clarify language around OUV through definitions and review of application of key terms.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Pr>
                <w:sz w:val="16"/>
              </w:rPr>
              <w:t>Throughout</w:t>
            </w:r>
          </w:p>
        </w:tc>
        <w:tc>
          <w:tcPr>
            <w:tcW w:w="6663" w:type="dxa"/>
          </w:tcPr>
          <w:p w:rsidR="00944B58" w:rsidRPr="00065220" w:rsidRDefault="00944B58" w:rsidP="00233787">
            <w:pPr>
              <w:spacing w:before="40" w:after="40"/>
              <w:rPr>
                <w:sz w:val="16"/>
              </w:rPr>
            </w:pPr>
            <w:r>
              <w:rPr>
                <w:sz w:val="16"/>
              </w:rPr>
              <w:t>The chapter summaries don’t always present findings about the declining condition of the Great Barrier Reef explicitly.</w:t>
            </w:r>
          </w:p>
        </w:tc>
        <w:tc>
          <w:tcPr>
            <w:tcW w:w="6054" w:type="dxa"/>
          </w:tcPr>
          <w:p w:rsidR="00944B58" w:rsidRPr="00065220" w:rsidRDefault="00944B58" w:rsidP="00233787">
            <w:pPr>
              <w:spacing w:before="40" w:after="40"/>
              <w:rPr>
                <w:sz w:val="16"/>
              </w:rPr>
            </w:pPr>
            <w:r>
              <w:rPr>
                <w:sz w:val="16"/>
              </w:rPr>
              <w:t>Reconsider the presentation of key findings in the chapter summaries.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Consistency with TOR</w:t>
            </w:r>
          </w:p>
        </w:tc>
        <w:tc>
          <w:tcPr>
            <w:tcW w:w="6663" w:type="dxa"/>
          </w:tcPr>
          <w:p w:rsidR="00944B58" w:rsidRPr="00065220" w:rsidRDefault="00944B58" w:rsidP="00233787">
            <w:pPr>
              <w:spacing w:before="40" w:after="40"/>
              <w:rPr>
                <w:sz w:val="16"/>
              </w:rPr>
            </w:pPr>
            <w:r w:rsidRPr="00065220">
              <w:rPr>
                <w:sz w:val="16"/>
              </w:rPr>
              <w:t xml:space="preserve">The area to be covered includes the Region plus areas outside that may affect the Region. </w:t>
            </w:r>
          </w:p>
        </w:tc>
        <w:tc>
          <w:tcPr>
            <w:tcW w:w="6054" w:type="dxa"/>
          </w:tcPr>
          <w:p w:rsidR="00944B58" w:rsidRPr="00065220" w:rsidRDefault="00944B58" w:rsidP="00233787">
            <w:pPr>
              <w:spacing w:before="40" w:after="40"/>
              <w:rPr>
                <w:sz w:val="16"/>
              </w:rPr>
            </w:pPr>
            <w:r w:rsidRPr="00065220">
              <w:rPr>
                <w:sz w:val="16"/>
              </w:rPr>
              <w:t>It is recommended that there be some additional assessment of the changes proposed to land use in the terrestrial catchments of the Great Barrier Reef and potential consequences of policy changes with regard to Queensland Government initiatives (especially reducing environmental assessment requirements and vegetation protections). Also, some additional analysis of the Cape York Regional Plan and consequences for the Great Barrier Reef World Heritage Area  is advised. The far northern section of the Great Barrier Reef may be subject to increases in pressure following the proposed changes outlined in the new Cape York Plan. At the very least this needs to be flagged as a matter of concern in the next 25 years.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Consistency with TOR</w:t>
            </w:r>
          </w:p>
        </w:tc>
        <w:tc>
          <w:tcPr>
            <w:tcW w:w="6663" w:type="dxa"/>
          </w:tcPr>
          <w:p w:rsidR="00944B58" w:rsidRPr="00065220" w:rsidRDefault="00944B58" w:rsidP="00233787">
            <w:pPr>
              <w:tabs>
                <w:tab w:val="left" w:pos="666"/>
              </w:tabs>
              <w:spacing w:before="40" w:after="40"/>
              <w:rPr>
                <w:sz w:val="16"/>
              </w:rPr>
            </w:pPr>
            <w:r w:rsidRPr="00065220">
              <w:rPr>
                <w:sz w:val="16"/>
              </w:rPr>
              <w:t>The Strategic Assessment considers MNES in a thorough and comprehensive manner. The discussions about World Heritage and OUV are comprehensive and mainly clear with a few minor communication improvements needed. Occasionally boundary blurring might lead to confusion for the reader (reference to the Great Barrier Reef Marine Park in isolation from the area under assessment for example). The Assessment considers almost all elements of World Heritage Area but occasionally misses opportunities for wider connections (limited recognition of the international cooperation context of World Heritage) and some World Heritage obligations could be more explicitly linked to the Assessment (for example giving World Heritage a function in the life of the community). There is very substantial overlap between the different MNES. The gap of a formal assessment of the Great Barrier Reef for National Heritage provides an opportunity for an initiative in the Program Report.</w:t>
            </w:r>
          </w:p>
        </w:tc>
        <w:tc>
          <w:tcPr>
            <w:tcW w:w="6054" w:type="dxa"/>
          </w:tcPr>
          <w:p w:rsidR="00944B58" w:rsidRPr="00065220" w:rsidRDefault="00944B58" w:rsidP="00233787">
            <w:pPr>
              <w:spacing w:before="40" w:after="40"/>
              <w:rPr>
                <w:color w:val="5185C0" w:themeColor="accent6"/>
                <w:sz w:val="16"/>
              </w:rPr>
            </w:pPr>
            <w:r w:rsidRPr="00065220">
              <w:rPr>
                <w:sz w:val="16"/>
              </w:rPr>
              <w:t>Minor communication improvements are suggested to assist in making wider connections.</w:t>
            </w:r>
            <w:r w:rsidRPr="00065220">
              <w:rPr>
                <w:color w:val="5185C0" w:themeColor="accent6"/>
                <w:sz w:val="16"/>
              </w:rPr>
              <w:t xml:space="preserve">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Consistency with TOR</w:t>
            </w:r>
          </w:p>
        </w:tc>
        <w:tc>
          <w:tcPr>
            <w:tcW w:w="6663" w:type="dxa"/>
          </w:tcPr>
          <w:p w:rsidR="00944B58" w:rsidRPr="00065220" w:rsidRDefault="00944B58" w:rsidP="00233787">
            <w:pPr>
              <w:spacing w:before="40" w:after="40"/>
              <w:rPr>
                <w:sz w:val="16"/>
              </w:rPr>
            </w:pPr>
            <w:r w:rsidRPr="00065220">
              <w:rPr>
                <w:sz w:val="16"/>
              </w:rPr>
              <w:t>Given the reliance on the (Draft) North-Eastern Shipping Management Plan to ensure no significant shipping impacts on the Great Barrier Reef occur, more information about this draft plan should be provided so that readers can assess whether this reliance is sufficient.</w:t>
            </w:r>
          </w:p>
        </w:tc>
        <w:tc>
          <w:tcPr>
            <w:tcW w:w="6054" w:type="dxa"/>
          </w:tcPr>
          <w:p w:rsidR="00944B58" w:rsidRPr="00065220" w:rsidRDefault="00944B58" w:rsidP="00233787">
            <w:pPr>
              <w:spacing w:before="40" w:after="40"/>
              <w:rPr>
                <w:sz w:val="16"/>
              </w:rPr>
            </w:pPr>
            <w:r w:rsidRPr="00065220">
              <w:rPr>
                <w:sz w:val="16"/>
              </w:rPr>
              <w:t>Provide more information about the (Draft) North-Eastern Shipping Management Plan.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Consistency with TOR</w:t>
            </w:r>
          </w:p>
        </w:tc>
        <w:tc>
          <w:tcPr>
            <w:tcW w:w="6663" w:type="dxa"/>
          </w:tcPr>
          <w:p w:rsidR="00944B58" w:rsidRPr="00065220" w:rsidRDefault="00944B58" w:rsidP="00233787">
            <w:pPr>
              <w:spacing w:before="40" w:after="40"/>
              <w:rPr>
                <w:sz w:val="16"/>
              </w:rPr>
            </w:pPr>
            <w:r w:rsidRPr="00065220">
              <w:rPr>
                <w:sz w:val="16"/>
              </w:rPr>
              <w:t>There is limited discussion of how the Strategic Assessment has met the endorsement criteria in the Terms of Reference.</w:t>
            </w:r>
          </w:p>
        </w:tc>
        <w:tc>
          <w:tcPr>
            <w:tcW w:w="6054" w:type="dxa"/>
          </w:tcPr>
          <w:p w:rsidR="00944B58" w:rsidRPr="00065220" w:rsidRDefault="00944B58" w:rsidP="00233787">
            <w:pPr>
              <w:spacing w:before="40" w:after="40"/>
              <w:rPr>
                <w:sz w:val="16"/>
              </w:rPr>
            </w:pPr>
            <w:r w:rsidRPr="00065220">
              <w:rPr>
                <w:sz w:val="16"/>
              </w:rPr>
              <w:t>A table summarising how each endorsement criterion has been met would provide clarity to the assessment process and more clearly demonstrate consistency with the Terms of Reference.</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Consistency with TOR</w:t>
            </w:r>
          </w:p>
        </w:tc>
        <w:tc>
          <w:tcPr>
            <w:tcW w:w="6663" w:type="dxa"/>
          </w:tcPr>
          <w:p w:rsidR="00944B58" w:rsidRPr="00065220" w:rsidRDefault="00944B58" w:rsidP="00233787">
            <w:pPr>
              <w:spacing w:before="40" w:after="40"/>
              <w:rPr>
                <w:sz w:val="16"/>
              </w:rPr>
            </w:pPr>
            <w:r w:rsidRPr="00065220">
              <w:rPr>
                <w:sz w:val="16"/>
              </w:rPr>
              <w:t>Demonstration case studies were not published at the time of the review.</w:t>
            </w:r>
          </w:p>
        </w:tc>
        <w:tc>
          <w:tcPr>
            <w:tcW w:w="6054" w:type="dxa"/>
          </w:tcPr>
          <w:p w:rsidR="00944B58" w:rsidRPr="00065220" w:rsidRDefault="00944B58" w:rsidP="00233787">
            <w:pPr>
              <w:spacing w:before="40" w:after="40"/>
              <w:rPr>
                <w:sz w:val="16"/>
              </w:rPr>
            </w:pPr>
            <w:r w:rsidRPr="00065220">
              <w:rPr>
                <w:sz w:val="16"/>
              </w:rPr>
              <w:t>Publish demonstration case study reports with other Strategic Assessment documentation.</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Breadth and Depth of Assessment</w:t>
            </w:r>
          </w:p>
        </w:tc>
        <w:tc>
          <w:tcPr>
            <w:tcW w:w="6663" w:type="dxa"/>
          </w:tcPr>
          <w:p w:rsidR="00944B58" w:rsidRPr="00065220" w:rsidRDefault="00944B58" w:rsidP="00233787">
            <w:pPr>
              <w:spacing w:before="40" w:after="40"/>
              <w:rPr>
                <w:sz w:val="16"/>
                <w:szCs w:val="16"/>
              </w:rPr>
            </w:pPr>
            <w:r w:rsidRPr="00065220">
              <w:rPr>
                <w:sz w:val="16"/>
                <w:szCs w:val="16"/>
              </w:rPr>
              <w:t>Nowhere is there a description of a trigger for action in any of the areas identified in the Program. For example (Program page 45) under Environmental Regulation, a five year target is "Regionally-based standards for ecosystem health". Existing guidelines are breached consistently for water quality for example (as described in the Report) but there are no regulatory consequences apparent. It is not made clear in the Program Report how the proposed improvements will provide better protection.</w:t>
            </w:r>
          </w:p>
        </w:tc>
        <w:tc>
          <w:tcPr>
            <w:tcW w:w="6054" w:type="dxa"/>
          </w:tcPr>
          <w:p w:rsidR="00944B58" w:rsidRPr="00065220" w:rsidRDefault="00944B58" w:rsidP="00233787">
            <w:pPr>
              <w:spacing w:before="40" w:after="40"/>
              <w:rPr>
                <w:sz w:val="16"/>
              </w:rPr>
            </w:pPr>
            <w:r w:rsidRPr="00065220">
              <w:rPr>
                <w:sz w:val="16"/>
                <w:szCs w:val="16"/>
              </w:rPr>
              <w:t>Clarify processes and outcomes for action triggers.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Breadth and Depth of Assessment</w:t>
            </w:r>
          </w:p>
        </w:tc>
        <w:tc>
          <w:tcPr>
            <w:tcW w:w="6663" w:type="dxa"/>
          </w:tcPr>
          <w:p w:rsidR="00944B58" w:rsidRPr="00065220" w:rsidRDefault="00944B58" w:rsidP="00233787">
            <w:pPr>
              <w:spacing w:before="40" w:after="40"/>
              <w:rPr>
                <w:sz w:val="16"/>
              </w:rPr>
            </w:pPr>
            <w:r w:rsidRPr="00065220">
              <w:rPr>
                <w:sz w:val="16"/>
              </w:rPr>
              <w:t xml:space="preserve">In the case of improving compliance, there is no reference to how this will be achieved that is more than the attempts to improve compliance in the past. It is unlikely that such an outcome will occur in the absence of additional resources but there is no discussion about resourcing the Program (e.g. the five principal activities set out in the proposed Program). This gap potentially undermines confidence in the future of the Program and its capacity to deliver improved outcomes for OUV and other MNES. </w:t>
            </w:r>
          </w:p>
        </w:tc>
        <w:tc>
          <w:tcPr>
            <w:tcW w:w="6054" w:type="dxa"/>
          </w:tcPr>
          <w:p w:rsidR="00944B58" w:rsidRPr="00065220" w:rsidRDefault="00944B58" w:rsidP="00233787">
            <w:pPr>
              <w:spacing w:before="40" w:after="40"/>
              <w:rPr>
                <w:sz w:val="16"/>
              </w:rPr>
            </w:pPr>
            <w:r w:rsidRPr="00065220">
              <w:rPr>
                <w:sz w:val="16"/>
              </w:rPr>
              <w:t>Define Program resourcing.</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Breadth and Depth of Assessment</w:t>
            </w:r>
          </w:p>
        </w:tc>
        <w:tc>
          <w:tcPr>
            <w:tcW w:w="6663" w:type="dxa"/>
          </w:tcPr>
          <w:p w:rsidR="00944B58" w:rsidRPr="00065220" w:rsidRDefault="00944B58" w:rsidP="00233787">
            <w:pPr>
              <w:spacing w:before="40" w:after="40"/>
              <w:rPr>
                <w:sz w:val="16"/>
              </w:rPr>
            </w:pPr>
            <w:r w:rsidRPr="00065220">
              <w:rPr>
                <w:sz w:val="16"/>
              </w:rPr>
              <w:t>There is a missed opportunity to explore some specific actions that Australia might take on the international stage, under the guidelines of World Heritage. This would represent possibilities for the Convention to work as intended (international cooperation). How could GBRMPA (and Australia) influence the international threats to the GBRWHA OUV? International issues relevant to the Great Barrier Reef include climate change, pollution, shipping and the management of migratory species, marine turtles, whales, dugongs, shorebirds and seabirds. There is an opportunity to explore options around each of these at the international level (bilateral or under various treaties).</w:t>
            </w:r>
          </w:p>
        </w:tc>
        <w:tc>
          <w:tcPr>
            <w:tcW w:w="6054" w:type="dxa"/>
          </w:tcPr>
          <w:p w:rsidR="00944B58" w:rsidRPr="00065220" w:rsidRDefault="00944B58" w:rsidP="00233787">
            <w:pPr>
              <w:spacing w:before="40" w:after="40"/>
              <w:rPr>
                <w:sz w:val="16"/>
              </w:rPr>
            </w:pPr>
            <w:r w:rsidRPr="00065220">
              <w:rPr>
                <w:sz w:val="16"/>
              </w:rPr>
              <w:t>Explore some specific actions that Australia might take on the international stage, consistent with the World Heritage framework.</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Technical accuracy</w:t>
            </w:r>
          </w:p>
        </w:tc>
        <w:tc>
          <w:tcPr>
            <w:tcW w:w="6663" w:type="dxa"/>
          </w:tcPr>
          <w:p w:rsidR="00944B58" w:rsidRPr="00065220" w:rsidRDefault="00944B58" w:rsidP="004D1182">
            <w:pPr>
              <w:spacing w:before="40" w:after="40"/>
              <w:rPr>
                <w:sz w:val="16"/>
              </w:rPr>
            </w:pPr>
            <w:r w:rsidRPr="00065220">
              <w:rPr>
                <w:sz w:val="16"/>
              </w:rPr>
              <w:t xml:space="preserve">It is insufficiently clear the extent to which key conclusions are based more on scientific consensus rather than high-quality data, for the issue of inshore reefs on the southern reef being particularly degraded. Two publications are repeatedly cited to support this conclusion: De’ath </w:t>
            </w:r>
            <w:r w:rsidRPr="00065220">
              <w:rPr>
                <w:i/>
                <w:sz w:val="16"/>
              </w:rPr>
              <w:t>et al.</w:t>
            </w:r>
            <w:r w:rsidRPr="00065220">
              <w:rPr>
                <w:sz w:val="16"/>
              </w:rPr>
              <w:t xml:space="preserve"> (2012) and Roff </w:t>
            </w:r>
            <w:r w:rsidRPr="00065220">
              <w:rPr>
                <w:i/>
                <w:sz w:val="16"/>
              </w:rPr>
              <w:t>et al.</w:t>
            </w:r>
            <w:r w:rsidRPr="00065220">
              <w:rPr>
                <w:sz w:val="16"/>
              </w:rPr>
              <w:t xml:space="preserve"> (2013). The decline reported by De’ath </w:t>
            </w:r>
            <w:r w:rsidRPr="00065220">
              <w:rPr>
                <w:i/>
                <w:sz w:val="16"/>
              </w:rPr>
              <w:t>et al.</w:t>
            </w:r>
            <w:r w:rsidRPr="00065220">
              <w:rPr>
                <w:sz w:val="16"/>
              </w:rPr>
              <w:t xml:space="preserve"> (2012) was largely driven by a dramatic decrease in coral cover in the southern third of the reef, where the data used do not include any inshore reefs, and in the middle third of the reef (still the southern section in terms of the Strategic Assessment) trends for inshore vs. offshore reefs are not reported. The apparent phase change in an inshore reef reported by Roff </w:t>
            </w:r>
            <w:r w:rsidRPr="00065220">
              <w:rPr>
                <w:i/>
                <w:sz w:val="16"/>
              </w:rPr>
              <w:t>et al.</w:t>
            </w:r>
            <w:r w:rsidRPr="00065220">
              <w:rPr>
                <w:sz w:val="16"/>
              </w:rPr>
              <w:t xml:space="preserve"> (201</w:t>
            </w:r>
            <w:r w:rsidR="004D1182">
              <w:rPr>
                <w:sz w:val="16"/>
              </w:rPr>
              <w:t>3</w:t>
            </w:r>
            <w:r w:rsidRPr="00065220">
              <w:rPr>
                <w:sz w:val="16"/>
              </w:rPr>
              <w:t xml:space="preserve">) was reported from a single inshore site (Pelorus Island) relatively far to the north that is directly off the mouth of the Herbert River. Thus, whilst these papers are </w:t>
            </w:r>
            <w:r w:rsidRPr="00065220">
              <w:rPr>
                <w:sz w:val="16"/>
              </w:rPr>
              <w:lastRenderedPageBreak/>
              <w:t xml:space="preserve">consistent with the conclusion that inshore southern reefs are particularly degraded, they do not provide conclusive evidence on a regional scale. Regarding the palaeoecological phase shift reported for Pelorus Island, the conflicting view of Browne </w:t>
            </w:r>
            <w:r w:rsidRPr="00065220">
              <w:rPr>
                <w:i/>
                <w:sz w:val="16"/>
              </w:rPr>
              <w:t>et al.</w:t>
            </w:r>
            <w:r w:rsidRPr="00065220">
              <w:rPr>
                <w:sz w:val="16"/>
              </w:rPr>
              <w:t xml:space="preserve"> (2012) that inshore turbid reefs have been stable on palaeoecological time scales is not acknowledged anywhere in the reports. It is still the best available science and this comment does not dispute the decline or the need for urgent action; it does, however show the urgent need for better data regarding trends in inshore reef condition. Chapter 7 of the Strategic Assessment does acknowledge that inshore reefs are relatively poorly studied, but this does not come through strongly overall.</w:t>
            </w:r>
          </w:p>
        </w:tc>
        <w:tc>
          <w:tcPr>
            <w:tcW w:w="6054" w:type="dxa"/>
          </w:tcPr>
          <w:p w:rsidR="00944B58" w:rsidRPr="00065220" w:rsidRDefault="00944B58" w:rsidP="00233787">
            <w:pPr>
              <w:spacing w:before="40" w:after="40"/>
              <w:rPr>
                <w:sz w:val="16"/>
              </w:rPr>
            </w:pPr>
            <w:r w:rsidRPr="00065220">
              <w:rPr>
                <w:sz w:val="16"/>
              </w:rPr>
              <w:lastRenderedPageBreak/>
              <w:t>There should be more discussion of the more recently established inshore reef monitoring program, and it should be clearer that the decline in inshore southern reefs reflects consensus rather than high-quality data on appropriate spatial and time scales.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Technical accuracy</w:t>
            </w:r>
          </w:p>
        </w:tc>
        <w:tc>
          <w:tcPr>
            <w:tcW w:w="6663" w:type="dxa"/>
          </w:tcPr>
          <w:p w:rsidR="00944B58" w:rsidRPr="00065220" w:rsidRDefault="00944B58" w:rsidP="00233787">
            <w:pPr>
              <w:spacing w:before="40" w:after="40"/>
              <w:rPr>
                <w:sz w:val="16"/>
              </w:rPr>
            </w:pPr>
            <w:r w:rsidRPr="00065220">
              <w:rPr>
                <w:sz w:val="16"/>
              </w:rPr>
              <w:t xml:space="preserve">The link between nutrients and COTS outbreaks is the best available science but it is essentially based on two papers (Brodie </w:t>
            </w:r>
            <w:r w:rsidRPr="00065220">
              <w:rPr>
                <w:i/>
                <w:sz w:val="16"/>
              </w:rPr>
              <w:t>et al.</w:t>
            </w:r>
            <w:r w:rsidRPr="00065220">
              <w:rPr>
                <w:sz w:val="16"/>
              </w:rPr>
              <w:t xml:space="preserve"> 2005; Fabricius </w:t>
            </w:r>
            <w:r w:rsidRPr="00065220">
              <w:rPr>
                <w:i/>
                <w:sz w:val="16"/>
              </w:rPr>
              <w:t>et al.</w:t>
            </w:r>
            <w:r w:rsidRPr="00065220">
              <w:rPr>
                <w:sz w:val="16"/>
              </w:rPr>
              <w:t xml:space="preserve"> 2010) by the same research team. The reports are a bit inconsistent in characterising the strength of the evidence (e.g. “emerging evidence” vs “strong evidence” in various places) but more importantly the assessment appears to accept the link between water quality and COTS without question. The finding that COTS are less abundant in green zones is mentioned in places but not emphasised. This does not detract in any way from the importance of improved water quality, but the assessment appears to a considerable extent to assume that improved water quality will solve the COTS problem. The assessment does refer to the potential direct control of COTS outbreaks, but the assessment would benefit from a more systematic consideration of a “Plan B” if it turns out that water quality improvement is not enough. Given the importance of COTS, it is surprising that the assessment does not identify any knowledge gaps/research needs for COTS – does GBRMPA consider that current scientific understanding is adequate for management?</w:t>
            </w:r>
          </w:p>
        </w:tc>
        <w:tc>
          <w:tcPr>
            <w:tcW w:w="6054" w:type="dxa"/>
          </w:tcPr>
          <w:p w:rsidR="00944B58" w:rsidRPr="00065220" w:rsidRDefault="00944B58" w:rsidP="00233787">
            <w:pPr>
              <w:spacing w:before="40" w:after="40"/>
              <w:rPr>
                <w:color w:val="5185C0" w:themeColor="accent6"/>
                <w:sz w:val="16"/>
              </w:rPr>
            </w:pPr>
            <w:r w:rsidRPr="00065220">
              <w:rPr>
                <w:sz w:val="16"/>
              </w:rPr>
              <w:t>Describe the limitations in current understanding of COTS outbreaks in more detail, including alternative hypotheses. Evaluate alternative management options water quality improvements are not enough to control COTS. Identify knowledge gaps/research needs for COTS.</w:t>
            </w:r>
            <w:r w:rsidRPr="00065220">
              <w:rPr>
                <w:color w:val="5185C0" w:themeColor="accent6"/>
                <w:sz w:val="16"/>
              </w:rPr>
              <w:t xml:space="preserve"> </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Validity of conclusions</w:t>
            </w:r>
          </w:p>
        </w:tc>
        <w:tc>
          <w:tcPr>
            <w:tcW w:w="6663" w:type="dxa"/>
          </w:tcPr>
          <w:p w:rsidR="00944B58" w:rsidRPr="00065220" w:rsidRDefault="00944B58" w:rsidP="00233787">
            <w:pPr>
              <w:spacing w:before="40" w:after="40"/>
              <w:rPr>
                <w:sz w:val="16"/>
              </w:rPr>
            </w:pPr>
            <w:r w:rsidRPr="00065220">
              <w:rPr>
                <w:sz w:val="16"/>
              </w:rPr>
              <w:t>The Conclusions of the Strategic Assessment follow logically from the evidence presented and are consistent with present understanding of the Great Barrier Reef . The Program Report seems particularly weak in identifying outcomes explicitly linked to reversing the deterioration in the Great Barrier Reef condition. All the proposed actions under the Program Report are appropriate and contribute to the prospect of better management but it is not clear that this will suffice to overturn the concerns identified in the Strategic Assessment. There seems to be a great deal of implicit expectations within the forward commitments.</w:t>
            </w:r>
          </w:p>
        </w:tc>
        <w:tc>
          <w:tcPr>
            <w:tcW w:w="6054" w:type="dxa"/>
          </w:tcPr>
          <w:p w:rsidR="00944B58" w:rsidRPr="00065220" w:rsidRDefault="00944B58" w:rsidP="00233787">
            <w:pPr>
              <w:spacing w:before="40" w:after="40"/>
              <w:rPr>
                <w:color w:val="5185C0" w:themeColor="accent6"/>
                <w:sz w:val="16"/>
              </w:rPr>
            </w:pPr>
            <w:r w:rsidRPr="00065220">
              <w:rPr>
                <w:sz w:val="16"/>
              </w:rPr>
              <w:t>Include stronger additional management actions as forward commitments.</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Validity of Conclusions</w:t>
            </w:r>
          </w:p>
        </w:tc>
        <w:tc>
          <w:tcPr>
            <w:tcW w:w="6663" w:type="dxa"/>
          </w:tcPr>
          <w:p w:rsidR="00944B58" w:rsidRPr="00065220" w:rsidRDefault="00944B58" w:rsidP="00233787">
            <w:pPr>
              <w:spacing w:before="40" w:after="40"/>
              <w:rPr>
                <w:sz w:val="16"/>
              </w:rPr>
            </w:pPr>
            <w:r w:rsidRPr="00065220">
              <w:rPr>
                <w:sz w:val="16"/>
              </w:rPr>
              <w:t xml:space="preserve">Overall: Given the decline in coral cover on the reef, there would seem to be an urgent need for more “restoration ecology” research – for example intensive monitoring of sites for </w:t>
            </w:r>
            <w:r w:rsidRPr="00065220">
              <w:rPr>
                <w:sz w:val="16"/>
              </w:rPr>
              <w:lastRenderedPageBreak/>
              <w:t xml:space="preserve">recovery after COTS outbreaks or cyclone damage, testing the efficacy of COTS control, trialling restoration methods, and assessing priority areas to enhance resilience and more confident identification of approach to tipping points. De’ath </w:t>
            </w:r>
            <w:r w:rsidRPr="00065220">
              <w:rPr>
                <w:i/>
                <w:sz w:val="16"/>
              </w:rPr>
              <w:t>et al.</w:t>
            </w:r>
            <w:r w:rsidRPr="00065220">
              <w:rPr>
                <w:sz w:val="16"/>
              </w:rPr>
              <w:t xml:space="preserve"> (2012) suggest that COTS control alone would be sufficient to allow coral recovery at a reef scale, which is a testable hypothesis. The urgency of targeted research to apply to reef restoration does not come through sufficiently in the program report.</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lastRenderedPageBreak/>
              <w:t>Highlight the need for restoration ecology research.</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Validity of Conclusions</w:t>
            </w:r>
          </w:p>
        </w:tc>
        <w:tc>
          <w:tcPr>
            <w:tcW w:w="6663" w:type="dxa"/>
          </w:tcPr>
          <w:p w:rsidR="00944B58" w:rsidRPr="00065220" w:rsidRDefault="00944B58" w:rsidP="00233787">
            <w:pPr>
              <w:spacing w:before="40" w:after="40"/>
              <w:rPr>
                <w:sz w:val="16"/>
              </w:rPr>
            </w:pPr>
            <w:r w:rsidRPr="00065220">
              <w:rPr>
                <w:sz w:val="16"/>
              </w:rPr>
              <w:t xml:space="preserve">The decline of southern inshore reefs is rated as having high-quality evidence and high degree of consensus on page 7-11. Consensus is clear, but high-quality evidence more problematic. On page 7-51, the status and trends of inshore fringing reefs are identified as a key information gap. </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Lack of data should not become a basis for inaction but the importance of actions to obtain better information for application to understanding resilience, recovery and restoration does not necessarily come through consistently. Consider revising text.</w:t>
            </w:r>
          </w:p>
        </w:tc>
      </w:tr>
      <w:tr w:rsidR="00944B58" w:rsidRPr="00065220" w:rsidTr="00233787">
        <w:tc>
          <w:tcPr>
            <w:tcW w:w="572" w:type="dxa"/>
          </w:tcPr>
          <w:p w:rsidR="00944B58" w:rsidRPr="00065220" w:rsidRDefault="00944B58" w:rsidP="00233787">
            <w:pPr>
              <w:numPr>
                <w:ilvl w:val="0"/>
                <w:numId w:val="46"/>
              </w:numPr>
              <w:tabs>
                <w:tab w:val="left" w:pos="851"/>
              </w:tabs>
              <w:spacing w:after="120"/>
            </w:pPr>
          </w:p>
        </w:tc>
        <w:tc>
          <w:tcPr>
            <w:tcW w:w="1984" w:type="dxa"/>
          </w:tcPr>
          <w:p w:rsidR="00944B58" w:rsidRPr="00065220" w:rsidRDefault="00944B58" w:rsidP="00233787">
            <w:pPr>
              <w:spacing w:before="40" w:after="40"/>
              <w:rPr>
                <w:sz w:val="16"/>
              </w:rPr>
            </w:pPr>
            <w:r w:rsidRPr="00065220">
              <w:rPr>
                <w:sz w:val="16"/>
              </w:rPr>
              <w:t>Validity of Conclusions</w:t>
            </w:r>
          </w:p>
        </w:tc>
        <w:tc>
          <w:tcPr>
            <w:tcW w:w="6663" w:type="dxa"/>
          </w:tcPr>
          <w:p w:rsidR="00944B58" w:rsidRPr="00065220" w:rsidRDefault="00944B58" w:rsidP="00233787">
            <w:pPr>
              <w:spacing w:before="40" w:after="40"/>
              <w:rPr>
                <w:sz w:val="16"/>
              </w:rPr>
            </w:pPr>
            <w:r w:rsidRPr="00065220">
              <w:rPr>
                <w:sz w:val="16"/>
              </w:rPr>
              <w:t>There are a number of references to marine pests in the assessment, including identifying information on them as a key gap (page 6-84) and the assessment that marine pest management is a weakness (page 8-31). The only response in the Program Report, however, is to improve the capability to respond to incursions if they occur. The risk of marine pest incursions is likely to increase with reduced reef resilience, and the development of preventative measures seems to be a gap in the Program Report response. There are international guidelines (International Maritime Organisation) and national guidelines on biofouling management, for example, that could be the basis of GBRMPA policy.</w:t>
            </w:r>
          </w:p>
        </w:tc>
        <w:tc>
          <w:tcPr>
            <w:tcW w:w="6054" w:type="dxa"/>
            <w:shd w:val="clear" w:color="auto" w:fill="auto"/>
          </w:tcPr>
          <w:p w:rsidR="00944B58" w:rsidRPr="00065220" w:rsidRDefault="00944B58" w:rsidP="00233787">
            <w:pPr>
              <w:spacing w:before="40" w:after="40"/>
              <w:rPr>
                <w:color w:val="5185C0" w:themeColor="accent6"/>
                <w:sz w:val="16"/>
              </w:rPr>
            </w:pPr>
            <w:r w:rsidRPr="00065220">
              <w:rPr>
                <w:sz w:val="16"/>
              </w:rPr>
              <w:t>Include further discussion and response for marine pests.</w:t>
            </w:r>
          </w:p>
        </w:tc>
      </w:tr>
    </w:tbl>
    <w:p w:rsidR="009416A5" w:rsidRDefault="009416A5" w:rsidP="00FE3E28">
      <w:pPr>
        <w:pStyle w:val="Para0"/>
      </w:pPr>
    </w:p>
    <w:sectPr w:rsidR="009416A5" w:rsidSect="00CA00F0">
      <w:pgSz w:w="16840" w:h="11901" w:orient="landscape" w:code="9"/>
      <w:pgMar w:top="1134" w:right="567" w:bottom="851" w:left="851" w:header="567" w:footer="369" w:gutter="0"/>
      <w:cols w:space="0"/>
      <w:formProt w:val="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1582" w:rsidRDefault="00201582" w:rsidP="00EA3E55">
      <w:pPr>
        <w:spacing w:after="0" w:line="240" w:lineRule="auto"/>
      </w:pPr>
      <w:r>
        <w:separator/>
      </w:r>
    </w:p>
  </w:endnote>
  <w:endnote w:type="continuationSeparator" w:id="0">
    <w:p w:rsidR="00201582" w:rsidRDefault="00201582" w:rsidP="00EA3E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02FF" w:usb1="4000ACFF" w:usb2="00000001" w:usb3="00000000" w:csb0="0000019F" w:csb1="00000000"/>
  </w:font>
  <w:font w:name="Arial Black">
    <w:panose1 w:val="020B0A04020102020204"/>
    <w:charset w:val="00"/>
    <w:family w:val="swiss"/>
    <w:pitch w:val="variable"/>
    <w:sig w:usb0="00000287" w:usb1="00000000" w:usb2="00000000" w:usb3="00000000" w:csb0="0000009F" w:csb1="00000000"/>
  </w:font>
  <w:font w:name="Lucida Grande">
    <w:altName w:val="Arial"/>
    <w:charset w:val="00"/>
    <w:family w:val="auto"/>
    <w:pitch w:val="variable"/>
    <w:sig w:usb0="00000000"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utiger 45 Light">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787" w:rsidRPr="00395E6D" w:rsidRDefault="00233787" w:rsidP="00C41B5E">
    <w:pPr>
      <w:pStyle w:val="Footer"/>
    </w:pPr>
    <w:r w:rsidRPr="001B5766">
      <w:t>www.globalskm.com</w:t>
    </w:r>
    <w:r>
      <w:tab/>
    </w:r>
    <w:r>
      <w:tab/>
    </w:r>
    <w:r>
      <w:tab/>
    </w:r>
    <w:r w:rsidRPr="003672A2">
      <w:t xml:space="preserve">PAGE </w:t>
    </w:r>
    <w:r w:rsidR="00201582">
      <w:fldChar w:fldCharType="begin"/>
    </w:r>
    <w:r w:rsidR="00201582">
      <w:instrText xml:space="preserve"> PAGE   \* MERGEFORMAT </w:instrText>
    </w:r>
    <w:r w:rsidR="00201582">
      <w:fldChar w:fldCharType="separate"/>
    </w:r>
    <w:r>
      <w:rPr>
        <w:noProof/>
      </w:rPr>
      <w:t>1</w:t>
    </w:r>
    <w:r w:rsidR="00201582">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787" w:rsidRDefault="00233787" w:rsidP="00A84F46">
    <w:pPr>
      <w:pStyle w:val="Footer"/>
      <w:pBdr>
        <w:top w:val="none" w:sz="0" w:space="0" w:color="auto"/>
      </w:pBd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787" w:rsidRPr="00BA5BE3" w:rsidRDefault="00233787" w:rsidP="00BA5BE3">
    <w:pPr>
      <w:pStyle w:val="Footer"/>
    </w:pPr>
    <w:r>
      <w:tab/>
    </w:r>
    <w:r w:rsidRPr="003672A2">
      <w:t xml:space="preserve">PAGE </w:t>
    </w:r>
    <w:r w:rsidR="00201582">
      <w:fldChar w:fldCharType="begin"/>
    </w:r>
    <w:r w:rsidR="00201582">
      <w:instrText xml:space="preserve"> PAGE  \* roman  \* MERGEFORMAT </w:instrText>
    </w:r>
    <w:r w:rsidR="00201582">
      <w:fldChar w:fldCharType="separate"/>
    </w:r>
    <w:r w:rsidR="000E57BC">
      <w:rPr>
        <w:noProof/>
      </w:rPr>
      <w:t>iii</w:t>
    </w:r>
    <w:r w:rsidR="00201582">
      <w:rPr>
        <w:noProof/>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787" w:rsidRPr="00395E6D" w:rsidRDefault="00233787" w:rsidP="00324783">
    <w:pPr>
      <w:pStyle w:val="Footer"/>
    </w:pPr>
    <w:r>
      <w:tab/>
    </w:r>
    <w:r w:rsidRPr="003672A2">
      <w:t xml:space="preserve">PAGE </w:t>
    </w:r>
    <w:r w:rsidR="00201582">
      <w:fldChar w:fldCharType="begin"/>
    </w:r>
    <w:r w:rsidR="00201582">
      <w:instrText xml:space="preserve"> PAGE   \* MERGEFORMAT </w:instrText>
    </w:r>
    <w:r w:rsidR="00201582">
      <w:fldChar w:fldCharType="separate"/>
    </w:r>
    <w:r w:rsidR="000E57BC">
      <w:rPr>
        <w:noProof/>
      </w:rPr>
      <w:t>1</w:t>
    </w:r>
    <w:r w:rsidR="00201582">
      <w:rPr>
        <w:noProof/>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787" w:rsidRPr="00395E6D" w:rsidRDefault="00233787" w:rsidP="00515948">
    <w:pPr>
      <w:pStyle w:val="Footer"/>
    </w:pPr>
    <w:r>
      <w:tab/>
    </w:r>
    <w:r w:rsidRPr="003672A2">
      <w:t xml:space="preserve">PAGE </w:t>
    </w:r>
    <w:r w:rsidR="00201582">
      <w:fldChar w:fldCharType="begin"/>
    </w:r>
    <w:r w:rsidR="00201582">
      <w:instrText xml:space="preserve"> PAGE   \* MERGEFORMAT </w:instrText>
    </w:r>
    <w:r w:rsidR="00201582">
      <w:fldChar w:fldCharType="separate"/>
    </w:r>
    <w:r w:rsidR="000E57BC">
      <w:rPr>
        <w:noProof/>
      </w:rPr>
      <w:t>60</w:t>
    </w:r>
    <w:r w:rsidR="00201582">
      <w:rPr>
        <w:noProof/>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787" w:rsidRPr="00CA00F0" w:rsidRDefault="00233787" w:rsidP="001047F2">
    <w:pPr>
      <w:pStyle w:val="Footer"/>
      <w:tabs>
        <w:tab w:val="clear" w:pos="9923"/>
        <w:tab w:val="clear" w:pos="14742"/>
        <w:tab w:val="clear" w:pos="21830"/>
        <w:tab w:val="left" w:pos="6435"/>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1582" w:rsidRDefault="00201582" w:rsidP="00EA3E55">
      <w:pPr>
        <w:spacing w:after="0" w:line="240" w:lineRule="auto"/>
      </w:pPr>
      <w:r>
        <w:separator/>
      </w:r>
    </w:p>
  </w:footnote>
  <w:footnote w:type="continuationSeparator" w:id="0">
    <w:p w:rsidR="00201582" w:rsidRDefault="00201582" w:rsidP="00EA3E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7617"/>
      <w:gridCol w:w="3150"/>
    </w:tblGrid>
    <w:tr w:rsidR="00233787" w:rsidTr="00C41B5E">
      <w:trPr>
        <w:trHeight w:hRule="exact" w:val="1134"/>
      </w:trPr>
      <w:tc>
        <w:tcPr>
          <w:tcW w:w="4285" w:type="pct"/>
          <w:shd w:val="clear" w:color="auto" w:fill="E6E5E3"/>
          <w:vAlign w:val="center"/>
        </w:tcPr>
        <w:p w:rsidR="00233787" w:rsidRPr="003F69DC" w:rsidRDefault="00201582" w:rsidP="00A80A11">
          <w:pPr>
            <w:pStyle w:val="Header"/>
          </w:pPr>
          <w:r>
            <w:fldChar w:fldCharType="begin"/>
          </w:r>
          <w:r>
            <w:instrText xml:space="preserve"> STYLEREF  "Document Title"  \* MERGEFORMAT </w:instrText>
          </w:r>
          <w:r>
            <w:fldChar w:fldCharType="separate"/>
          </w:r>
          <w:r w:rsidR="00233787">
            <w:rPr>
              <w:noProof/>
            </w:rPr>
            <w:t>Independent Review Report – Great Barrier Reef Region Strategic Assessment</w:t>
          </w:r>
          <w:r>
            <w:rPr>
              <w:noProof/>
            </w:rPr>
            <w:fldChar w:fldCharType="end"/>
          </w:r>
        </w:p>
      </w:tc>
      <w:tc>
        <w:tcPr>
          <w:tcW w:w="715" w:type="pct"/>
        </w:tcPr>
        <w:p w:rsidR="00233787" w:rsidRDefault="00233787" w:rsidP="00062407">
          <w:pPr>
            <w:spacing w:line="240" w:lineRule="auto"/>
          </w:pPr>
          <w:r>
            <w:rPr>
              <w:noProof/>
              <w:lang w:eastAsia="en-AU"/>
            </w:rPr>
            <w:drawing>
              <wp:inline distT="0" distB="0" distL="0" distR="0">
                <wp:extent cx="1981200" cy="719328"/>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M_CMYK_Rev.jpg"/>
                        <pic:cNvPicPr/>
                      </pic:nvPicPr>
                      <pic:blipFill>
                        <a:blip r:embed="rId1"/>
                        <a:stretch>
                          <a:fillRect/>
                        </a:stretch>
                      </pic:blipFill>
                      <pic:spPr>
                        <a:xfrm>
                          <a:off x="0" y="0"/>
                          <a:ext cx="1981200" cy="719328"/>
                        </a:xfrm>
                        <a:prstGeom prst="rect">
                          <a:avLst/>
                        </a:prstGeom>
                      </pic:spPr>
                    </pic:pic>
                  </a:graphicData>
                </a:graphic>
              </wp:inline>
            </w:drawing>
          </w:r>
        </w:p>
      </w:tc>
    </w:tr>
  </w:tbl>
  <w:p w:rsidR="00233787" w:rsidRDefault="00233787"/>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6763"/>
      <w:gridCol w:w="3153"/>
    </w:tblGrid>
    <w:tr w:rsidR="00233787" w:rsidRPr="00037461" w:rsidTr="00171500">
      <w:trPr>
        <w:cantSplit/>
        <w:trHeight w:hRule="exact" w:val="1134"/>
      </w:trPr>
      <w:tc>
        <w:tcPr>
          <w:tcW w:w="3410" w:type="pct"/>
          <w:shd w:val="clear" w:color="auto" w:fill="E6E5E3"/>
          <w:vAlign w:val="center"/>
        </w:tcPr>
        <w:p w:rsidR="00233787" w:rsidRPr="00037461" w:rsidRDefault="00233787" w:rsidP="000B3A99">
          <w:pPr>
            <w:pStyle w:val="Header"/>
          </w:pPr>
          <w:r w:rsidRPr="00171500">
            <w:rPr>
              <w:noProof/>
              <w:lang w:eastAsia="en-AU"/>
            </w:rPr>
            <w:drawing>
              <wp:anchor distT="0" distB="0" distL="114300" distR="114300" simplePos="0" relativeHeight="251659264" behindDoc="0" locked="1" layoutInCell="0" allowOverlap="0">
                <wp:simplePos x="0" y="0"/>
                <wp:positionH relativeFrom="page">
                  <wp:posOffset>5040630</wp:posOffset>
                </wp:positionH>
                <wp:positionV relativeFrom="page">
                  <wp:posOffset>360045</wp:posOffset>
                </wp:positionV>
                <wp:extent cx="1981200" cy="718820"/>
                <wp:effectExtent l="19050" t="0" r="0" b="0"/>
                <wp:wrapNone/>
                <wp:docPr id="51" name="skm portrai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M_CMYK_Rev.jpg"/>
                        <pic:cNvPicPr preferRelativeResize="0"/>
                      </pic:nvPicPr>
                      <pic:blipFill>
                        <a:blip r:embed="rId1"/>
                        <a:stretch>
                          <a:fillRect/>
                        </a:stretch>
                      </pic:blipFill>
                      <pic:spPr>
                        <a:xfrm>
                          <a:off x="0" y="0"/>
                          <a:ext cx="1981200" cy="718820"/>
                        </a:xfrm>
                        <a:prstGeom prst="rect">
                          <a:avLst/>
                        </a:prstGeom>
                        <a:solidFill>
                          <a:srgbClr val="E6E5E3"/>
                        </a:solidFill>
                      </pic:spPr>
                    </pic:pic>
                  </a:graphicData>
                </a:graphic>
              </wp:anchor>
            </w:drawing>
          </w:r>
          <w:r>
            <w:t>Independent Review Report – Great Barrier Reef Region Strategic Assessment</w:t>
          </w:r>
        </w:p>
      </w:tc>
      <w:tc>
        <w:tcPr>
          <w:tcW w:w="3150" w:type="dxa"/>
          <w:shd w:val="clear" w:color="auto" w:fill="E6E5E3"/>
          <w:vAlign w:val="center"/>
        </w:tcPr>
        <w:p w:rsidR="00233787" w:rsidRPr="00037461" w:rsidRDefault="00233787" w:rsidP="00FD10FB">
          <w:pPr>
            <w:spacing w:line="240" w:lineRule="auto"/>
          </w:pPr>
        </w:p>
      </w:tc>
    </w:tr>
  </w:tbl>
  <w:p w:rsidR="00233787" w:rsidRPr="00A80A11" w:rsidRDefault="00233787" w:rsidP="005749F6">
    <w:pPr>
      <w:pStyle w:val="Para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6763"/>
      <w:gridCol w:w="3153"/>
    </w:tblGrid>
    <w:tr w:rsidR="00233787" w:rsidRPr="00037461" w:rsidTr="00171500">
      <w:trPr>
        <w:cantSplit/>
        <w:trHeight w:hRule="exact" w:val="1134"/>
      </w:trPr>
      <w:tc>
        <w:tcPr>
          <w:tcW w:w="3410" w:type="pct"/>
          <w:shd w:val="clear" w:color="auto" w:fill="E6E5E3"/>
          <w:vAlign w:val="center"/>
        </w:tcPr>
        <w:p w:rsidR="00233787" w:rsidRPr="00037461" w:rsidRDefault="00233787" w:rsidP="00FD10FB">
          <w:pPr>
            <w:pStyle w:val="Header"/>
          </w:pPr>
          <w:r w:rsidRPr="00171500">
            <w:rPr>
              <w:noProof/>
              <w:lang w:eastAsia="en-AU"/>
            </w:rPr>
            <w:drawing>
              <wp:anchor distT="0" distB="0" distL="114300" distR="114300" simplePos="0" relativeHeight="251661312" behindDoc="0" locked="1" layoutInCell="0" allowOverlap="0">
                <wp:simplePos x="0" y="0"/>
                <wp:positionH relativeFrom="page">
                  <wp:posOffset>5040630</wp:posOffset>
                </wp:positionH>
                <wp:positionV relativeFrom="page">
                  <wp:posOffset>360045</wp:posOffset>
                </wp:positionV>
                <wp:extent cx="1981200" cy="718820"/>
                <wp:effectExtent l="19050" t="0" r="0" b="0"/>
                <wp:wrapNone/>
                <wp:docPr id="5" name="skm portrai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M_CMYK_Rev.jpg"/>
                        <pic:cNvPicPr preferRelativeResize="0"/>
                      </pic:nvPicPr>
                      <pic:blipFill>
                        <a:blip r:embed="rId1"/>
                        <a:stretch>
                          <a:fillRect/>
                        </a:stretch>
                      </pic:blipFill>
                      <pic:spPr>
                        <a:xfrm>
                          <a:off x="0" y="0"/>
                          <a:ext cx="1981200" cy="718820"/>
                        </a:xfrm>
                        <a:prstGeom prst="rect">
                          <a:avLst/>
                        </a:prstGeom>
                        <a:solidFill>
                          <a:srgbClr val="E6E5E3"/>
                        </a:solidFill>
                      </pic:spPr>
                    </pic:pic>
                  </a:graphicData>
                </a:graphic>
              </wp:anchor>
            </w:drawing>
          </w:r>
          <w:r w:rsidR="00201582">
            <w:fldChar w:fldCharType="begin"/>
          </w:r>
          <w:r w:rsidR="00201582">
            <w:instrText xml:space="preserve"> STYLEREF  "Document Title"  \* MERGEFORMAT </w:instrText>
          </w:r>
          <w:r w:rsidR="00201582">
            <w:fldChar w:fldCharType="separate"/>
          </w:r>
          <w:r w:rsidR="000E57BC" w:rsidRPr="000E57BC">
            <w:rPr>
              <w:b/>
              <w:bCs/>
              <w:noProof/>
              <w:lang w:val="en-US"/>
            </w:rPr>
            <w:t>Independent Review</w:t>
          </w:r>
          <w:r w:rsidR="000E57BC">
            <w:rPr>
              <w:noProof/>
            </w:rPr>
            <w:t xml:space="preserve"> Report – Great Barrier Reef Region Strategic Assessment</w:t>
          </w:r>
          <w:r w:rsidR="00201582">
            <w:rPr>
              <w:noProof/>
            </w:rPr>
            <w:fldChar w:fldCharType="end"/>
          </w:r>
        </w:p>
      </w:tc>
      <w:tc>
        <w:tcPr>
          <w:tcW w:w="1590" w:type="pct"/>
          <w:shd w:val="clear" w:color="auto" w:fill="E6E5E3"/>
          <w:vAlign w:val="center"/>
        </w:tcPr>
        <w:p w:rsidR="00233787" w:rsidRPr="00037461" w:rsidRDefault="00233787" w:rsidP="00FD10FB">
          <w:pPr>
            <w:spacing w:line="240" w:lineRule="auto"/>
          </w:pPr>
        </w:p>
      </w:tc>
    </w:tr>
  </w:tbl>
  <w:p w:rsidR="00233787" w:rsidRPr="00A80A11" w:rsidRDefault="00233787" w:rsidP="00324783">
    <w:pPr>
      <w:pStyle w:val="Para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left w:w="0" w:type="dxa"/>
        <w:right w:w="0" w:type="dxa"/>
      </w:tblCellMar>
      <w:tblLook w:val="04A0" w:firstRow="1" w:lastRow="0" w:firstColumn="1" w:lastColumn="0" w:noHBand="0" w:noVBand="1"/>
    </w:tblPr>
    <w:tblGrid>
      <w:gridCol w:w="6763"/>
      <w:gridCol w:w="3153"/>
    </w:tblGrid>
    <w:tr w:rsidR="00233787" w:rsidTr="00DF5AC5">
      <w:trPr>
        <w:cantSplit/>
        <w:trHeight w:hRule="exact" w:val="1134"/>
      </w:trPr>
      <w:tc>
        <w:tcPr>
          <w:tcW w:w="3410" w:type="pct"/>
          <w:shd w:val="clear" w:color="auto" w:fill="E6E5E3"/>
          <w:vAlign w:val="center"/>
          <w:hideMark/>
        </w:tcPr>
        <w:p w:rsidR="00233787" w:rsidRDefault="00233787">
          <w:pPr>
            <w:pStyle w:val="Header"/>
            <w:rPr>
              <w:lang w:val="en-US"/>
            </w:rPr>
          </w:pPr>
          <w:r w:rsidRPr="00622A3C">
            <w:rPr>
              <w:noProof/>
              <w:lang w:eastAsia="en-AU"/>
            </w:rPr>
            <w:drawing>
              <wp:anchor distT="0" distB="0" distL="114300" distR="114300" simplePos="0" relativeHeight="251663360" behindDoc="0" locked="1" layoutInCell="0" allowOverlap="0">
                <wp:simplePos x="0" y="0"/>
                <wp:positionH relativeFrom="page">
                  <wp:posOffset>5040630</wp:posOffset>
                </wp:positionH>
                <wp:positionV relativeFrom="page">
                  <wp:posOffset>360045</wp:posOffset>
                </wp:positionV>
                <wp:extent cx="1981200" cy="718820"/>
                <wp:effectExtent l="19050" t="0" r="0" b="0"/>
                <wp:wrapNone/>
                <wp:docPr id="56" name="skm portrai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KM_CMYK_Rev.jpg"/>
                        <pic:cNvPicPr preferRelativeResize="0"/>
                      </pic:nvPicPr>
                      <pic:blipFill>
                        <a:blip r:embed="rId1"/>
                        <a:stretch>
                          <a:fillRect/>
                        </a:stretch>
                      </pic:blipFill>
                      <pic:spPr>
                        <a:xfrm>
                          <a:off x="0" y="0"/>
                          <a:ext cx="1981200" cy="718820"/>
                        </a:xfrm>
                        <a:prstGeom prst="rect">
                          <a:avLst/>
                        </a:prstGeom>
                        <a:solidFill>
                          <a:srgbClr val="E6E5E3"/>
                        </a:solidFill>
                      </pic:spPr>
                    </pic:pic>
                  </a:graphicData>
                </a:graphic>
              </wp:anchor>
            </w:drawing>
          </w:r>
          <w:r w:rsidR="00201582">
            <w:fldChar w:fldCharType="begin"/>
          </w:r>
          <w:r w:rsidR="00201582">
            <w:instrText xml:space="preserve"> STYLEREF  "Document Title"  \* MERGEFORMAT </w:instrText>
          </w:r>
          <w:r w:rsidR="00201582">
            <w:fldChar w:fldCharType="separate"/>
          </w:r>
          <w:r w:rsidR="000E57BC" w:rsidRPr="000E57BC">
            <w:rPr>
              <w:b/>
              <w:bCs/>
              <w:noProof/>
              <w:lang w:val="en-US"/>
            </w:rPr>
            <w:t>Independent Review Report</w:t>
          </w:r>
          <w:r w:rsidR="000E57BC" w:rsidRPr="000E57BC">
            <w:rPr>
              <w:noProof/>
              <w:lang w:val="en-US"/>
            </w:rPr>
            <w:t xml:space="preserve"> – Great Barrier Reef Region Strategic Assessment</w:t>
          </w:r>
          <w:r w:rsidR="00201582">
            <w:rPr>
              <w:noProof/>
              <w:lang w:val="en-US"/>
            </w:rPr>
            <w:fldChar w:fldCharType="end"/>
          </w:r>
        </w:p>
      </w:tc>
      <w:tc>
        <w:tcPr>
          <w:tcW w:w="1590" w:type="pct"/>
          <w:shd w:val="clear" w:color="auto" w:fill="E6E5E3"/>
          <w:vAlign w:val="center"/>
        </w:tcPr>
        <w:p w:rsidR="00233787" w:rsidRDefault="00233787">
          <w:pPr>
            <w:spacing w:line="240" w:lineRule="auto"/>
            <w:rPr>
              <w:lang w:val="en-US"/>
            </w:rPr>
          </w:pPr>
        </w:p>
      </w:tc>
    </w:tr>
  </w:tbl>
  <w:p w:rsidR="00233787" w:rsidRDefault="00233787" w:rsidP="00DF5AC5">
    <w:pPr>
      <w:pStyle w:val="Para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74DE"/>
    <w:multiLevelType w:val="hybridMultilevel"/>
    <w:tmpl w:val="6A14EC84"/>
    <w:lvl w:ilvl="0" w:tplc="23CA8436">
      <w:start w:val="1"/>
      <w:numFmt w:val="decimal"/>
      <w:pStyle w:val="Para1number"/>
      <w:lvlText w:val="%1)"/>
      <w:lvlJc w:val="left"/>
      <w:pPr>
        <w:ind w:left="785" w:hanging="360"/>
      </w:pPr>
    </w:lvl>
    <w:lvl w:ilvl="1" w:tplc="0C090019">
      <w:start w:val="1"/>
      <w:numFmt w:val="lowerLetter"/>
      <w:pStyle w:val="Para1number"/>
      <w:lvlText w:val="%2."/>
      <w:lvlJc w:val="left"/>
      <w:pPr>
        <w:ind w:left="1837" w:hanging="360"/>
      </w:pPr>
    </w:lvl>
    <w:lvl w:ilvl="2" w:tplc="0C09001B" w:tentative="1">
      <w:start w:val="1"/>
      <w:numFmt w:val="lowerRoman"/>
      <w:lvlText w:val="%3."/>
      <w:lvlJc w:val="right"/>
      <w:pPr>
        <w:ind w:left="2557" w:hanging="180"/>
      </w:pPr>
    </w:lvl>
    <w:lvl w:ilvl="3" w:tplc="0C09000F" w:tentative="1">
      <w:start w:val="1"/>
      <w:numFmt w:val="decimal"/>
      <w:lvlText w:val="%4."/>
      <w:lvlJc w:val="left"/>
      <w:pPr>
        <w:ind w:left="3277" w:hanging="360"/>
      </w:pPr>
    </w:lvl>
    <w:lvl w:ilvl="4" w:tplc="0C090019" w:tentative="1">
      <w:start w:val="1"/>
      <w:numFmt w:val="lowerLetter"/>
      <w:lvlText w:val="%5."/>
      <w:lvlJc w:val="left"/>
      <w:pPr>
        <w:ind w:left="3997" w:hanging="360"/>
      </w:pPr>
    </w:lvl>
    <w:lvl w:ilvl="5" w:tplc="0C09001B" w:tentative="1">
      <w:start w:val="1"/>
      <w:numFmt w:val="lowerRoman"/>
      <w:lvlText w:val="%6."/>
      <w:lvlJc w:val="right"/>
      <w:pPr>
        <w:ind w:left="4717" w:hanging="180"/>
      </w:pPr>
    </w:lvl>
    <w:lvl w:ilvl="6" w:tplc="0C09000F" w:tentative="1">
      <w:start w:val="1"/>
      <w:numFmt w:val="decimal"/>
      <w:lvlText w:val="%7."/>
      <w:lvlJc w:val="left"/>
      <w:pPr>
        <w:ind w:left="5437" w:hanging="360"/>
      </w:pPr>
    </w:lvl>
    <w:lvl w:ilvl="7" w:tplc="0C090019" w:tentative="1">
      <w:start w:val="1"/>
      <w:numFmt w:val="lowerLetter"/>
      <w:lvlText w:val="%8."/>
      <w:lvlJc w:val="left"/>
      <w:pPr>
        <w:ind w:left="6157" w:hanging="360"/>
      </w:pPr>
    </w:lvl>
    <w:lvl w:ilvl="8" w:tplc="0C09001B" w:tentative="1">
      <w:start w:val="1"/>
      <w:numFmt w:val="lowerRoman"/>
      <w:lvlText w:val="%9."/>
      <w:lvlJc w:val="right"/>
      <w:pPr>
        <w:ind w:left="6877" w:hanging="180"/>
      </w:pPr>
    </w:lvl>
  </w:abstractNum>
  <w:abstractNum w:abstractNumId="1">
    <w:nsid w:val="03452235"/>
    <w:multiLevelType w:val="multilevel"/>
    <w:tmpl w:val="403A3D04"/>
    <w:numStyleLink w:val="SKMNumberedList1"/>
  </w:abstractNum>
  <w:abstractNum w:abstractNumId="2">
    <w:nsid w:val="05D44D75"/>
    <w:multiLevelType w:val="multilevel"/>
    <w:tmpl w:val="FDAEC1E8"/>
    <w:styleLink w:val="SKMNumberedList2"/>
    <w:lvl w:ilvl="0">
      <w:start w:val="1"/>
      <w:numFmt w:val="lowerLetter"/>
      <w:pStyle w:val="Para0letter"/>
      <w:lvlText w:val="%1)"/>
      <w:lvlJc w:val="left"/>
      <w:pPr>
        <w:ind w:left="425" w:hanging="425"/>
      </w:pPr>
      <w:rPr>
        <w:rFonts w:hint="default"/>
      </w:rPr>
    </w:lvl>
    <w:lvl w:ilvl="1">
      <w:start w:val="1"/>
      <w:numFmt w:val="lowerRoman"/>
      <w:pStyle w:val="Para1roman"/>
      <w:lvlText w:val="%2."/>
      <w:lvlJc w:val="left"/>
      <w:pPr>
        <w:ind w:left="851" w:hanging="426"/>
      </w:pPr>
      <w:rPr>
        <w:rFonts w:hint="default"/>
      </w:rPr>
    </w:lvl>
    <w:lvl w:ilvl="2">
      <w:start w:val="1"/>
      <w:numFmt w:val="none"/>
      <w:lvlRestart w:val="0"/>
      <w:lvlText w:val=""/>
      <w:lvlJc w:val="left"/>
      <w:pPr>
        <w:ind w:left="851" w:hanging="426"/>
      </w:pPr>
      <w:rPr>
        <w:rFonts w:hint="default"/>
      </w:rPr>
    </w:lvl>
    <w:lvl w:ilvl="3">
      <w:start w:val="1"/>
      <w:numFmt w:val="none"/>
      <w:lvlRestart w:val="0"/>
      <w:lvlText w:val=""/>
      <w:lvlJc w:val="left"/>
      <w:pPr>
        <w:ind w:left="851" w:hanging="426"/>
      </w:pPr>
      <w:rPr>
        <w:rFonts w:hint="default"/>
      </w:rPr>
    </w:lvl>
    <w:lvl w:ilvl="4">
      <w:start w:val="1"/>
      <w:numFmt w:val="none"/>
      <w:lvlRestart w:val="0"/>
      <w:lvlText w:val=""/>
      <w:lvlJc w:val="left"/>
      <w:pPr>
        <w:ind w:left="851" w:hanging="426"/>
      </w:pPr>
      <w:rPr>
        <w:rFonts w:hint="default"/>
      </w:rPr>
    </w:lvl>
    <w:lvl w:ilvl="5">
      <w:start w:val="1"/>
      <w:numFmt w:val="none"/>
      <w:lvlRestart w:val="0"/>
      <w:lvlText w:val=""/>
      <w:lvlJc w:val="left"/>
      <w:pPr>
        <w:ind w:left="851" w:hanging="426"/>
      </w:pPr>
      <w:rPr>
        <w:rFonts w:hint="default"/>
      </w:rPr>
    </w:lvl>
    <w:lvl w:ilvl="6">
      <w:start w:val="1"/>
      <w:numFmt w:val="none"/>
      <w:lvlRestart w:val="0"/>
      <w:lvlText w:val=""/>
      <w:lvlJc w:val="left"/>
      <w:pPr>
        <w:ind w:left="851" w:hanging="426"/>
      </w:pPr>
      <w:rPr>
        <w:rFonts w:hint="default"/>
      </w:rPr>
    </w:lvl>
    <w:lvl w:ilvl="7">
      <w:start w:val="1"/>
      <w:numFmt w:val="none"/>
      <w:lvlRestart w:val="0"/>
      <w:lvlText w:val=""/>
      <w:lvlJc w:val="left"/>
      <w:pPr>
        <w:ind w:left="851" w:hanging="426"/>
      </w:pPr>
      <w:rPr>
        <w:rFonts w:hint="default"/>
      </w:rPr>
    </w:lvl>
    <w:lvl w:ilvl="8">
      <w:start w:val="1"/>
      <w:numFmt w:val="none"/>
      <w:lvlRestart w:val="0"/>
      <w:lvlText w:val=""/>
      <w:lvlJc w:val="left"/>
      <w:pPr>
        <w:ind w:left="851" w:hanging="426"/>
      </w:pPr>
      <w:rPr>
        <w:rFonts w:hint="default"/>
      </w:rPr>
    </w:lvl>
  </w:abstractNum>
  <w:abstractNum w:abstractNumId="3">
    <w:nsid w:val="09CF0B20"/>
    <w:multiLevelType w:val="hybridMultilevel"/>
    <w:tmpl w:val="54BADBDC"/>
    <w:lvl w:ilvl="0" w:tplc="092C556A">
      <w:start w:val="1"/>
      <w:numFmt w:val="bullet"/>
      <w:pStyle w:val="ContentBulletsArrow"/>
      <w:lvlText w:val="&gt;"/>
      <w:lvlJc w:val="left"/>
      <w:pPr>
        <w:ind w:left="4298" w:hanging="851"/>
      </w:pPr>
      <w:rPr>
        <w:rFonts w:ascii="Arial" w:hAnsi="Arial" w:hint="default"/>
      </w:rPr>
    </w:lvl>
    <w:lvl w:ilvl="1" w:tplc="04090003" w:tentative="1">
      <w:start w:val="1"/>
      <w:numFmt w:val="bullet"/>
      <w:lvlText w:val="o"/>
      <w:lvlJc w:val="left"/>
      <w:pPr>
        <w:ind w:left="5171" w:hanging="360"/>
      </w:pPr>
      <w:rPr>
        <w:rFonts w:ascii="Courier New" w:hAnsi="Courier New" w:hint="default"/>
      </w:rPr>
    </w:lvl>
    <w:lvl w:ilvl="2" w:tplc="04090005" w:tentative="1">
      <w:start w:val="1"/>
      <w:numFmt w:val="bullet"/>
      <w:lvlText w:val=""/>
      <w:lvlJc w:val="left"/>
      <w:pPr>
        <w:ind w:left="5891" w:hanging="360"/>
      </w:pPr>
      <w:rPr>
        <w:rFonts w:ascii="Wingdings" w:hAnsi="Wingdings" w:hint="default"/>
      </w:rPr>
    </w:lvl>
    <w:lvl w:ilvl="3" w:tplc="04090001" w:tentative="1">
      <w:start w:val="1"/>
      <w:numFmt w:val="bullet"/>
      <w:lvlText w:val=""/>
      <w:lvlJc w:val="left"/>
      <w:pPr>
        <w:ind w:left="6611" w:hanging="360"/>
      </w:pPr>
      <w:rPr>
        <w:rFonts w:ascii="Symbol" w:hAnsi="Symbol" w:hint="default"/>
      </w:rPr>
    </w:lvl>
    <w:lvl w:ilvl="4" w:tplc="04090003" w:tentative="1">
      <w:start w:val="1"/>
      <w:numFmt w:val="bullet"/>
      <w:lvlText w:val="o"/>
      <w:lvlJc w:val="left"/>
      <w:pPr>
        <w:ind w:left="7331" w:hanging="360"/>
      </w:pPr>
      <w:rPr>
        <w:rFonts w:ascii="Courier New" w:hAnsi="Courier New" w:hint="default"/>
      </w:rPr>
    </w:lvl>
    <w:lvl w:ilvl="5" w:tplc="04090005" w:tentative="1">
      <w:start w:val="1"/>
      <w:numFmt w:val="bullet"/>
      <w:lvlText w:val=""/>
      <w:lvlJc w:val="left"/>
      <w:pPr>
        <w:ind w:left="8051" w:hanging="360"/>
      </w:pPr>
      <w:rPr>
        <w:rFonts w:ascii="Wingdings" w:hAnsi="Wingdings" w:hint="default"/>
      </w:rPr>
    </w:lvl>
    <w:lvl w:ilvl="6" w:tplc="04090001" w:tentative="1">
      <w:start w:val="1"/>
      <w:numFmt w:val="bullet"/>
      <w:lvlText w:val=""/>
      <w:lvlJc w:val="left"/>
      <w:pPr>
        <w:ind w:left="8771" w:hanging="360"/>
      </w:pPr>
      <w:rPr>
        <w:rFonts w:ascii="Symbol" w:hAnsi="Symbol" w:hint="default"/>
      </w:rPr>
    </w:lvl>
    <w:lvl w:ilvl="7" w:tplc="04090003" w:tentative="1">
      <w:start w:val="1"/>
      <w:numFmt w:val="bullet"/>
      <w:lvlText w:val="o"/>
      <w:lvlJc w:val="left"/>
      <w:pPr>
        <w:ind w:left="9491" w:hanging="360"/>
      </w:pPr>
      <w:rPr>
        <w:rFonts w:ascii="Courier New" w:hAnsi="Courier New" w:hint="default"/>
      </w:rPr>
    </w:lvl>
    <w:lvl w:ilvl="8" w:tplc="04090005" w:tentative="1">
      <w:start w:val="1"/>
      <w:numFmt w:val="bullet"/>
      <w:lvlText w:val=""/>
      <w:lvlJc w:val="left"/>
      <w:pPr>
        <w:ind w:left="10211" w:hanging="360"/>
      </w:pPr>
      <w:rPr>
        <w:rFonts w:ascii="Wingdings" w:hAnsi="Wingdings" w:hint="default"/>
      </w:rPr>
    </w:lvl>
  </w:abstractNum>
  <w:abstractNum w:abstractNumId="4">
    <w:nsid w:val="09E53B47"/>
    <w:multiLevelType w:val="hybridMultilevel"/>
    <w:tmpl w:val="255CAABC"/>
    <w:lvl w:ilvl="0" w:tplc="14CC1B92">
      <w:start w:val="1"/>
      <w:numFmt w:val="bullet"/>
      <w:pStyle w:val="ContentBulletsDash"/>
      <w:lvlText w:val=""/>
      <w:lvlJc w:val="left"/>
      <w:pPr>
        <w:ind w:left="1418" w:hanging="851"/>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A97530"/>
    <w:multiLevelType w:val="multilevel"/>
    <w:tmpl w:val="9A9A8116"/>
    <w:styleLink w:val="SKMSmallTableNumberedList1"/>
    <w:lvl w:ilvl="0">
      <w:start w:val="1"/>
      <w:numFmt w:val="decimal"/>
      <w:pStyle w:val="Tablesmallnumber"/>
      <w:lvlText w:val="%1."/>
      <w:lvlJc w:val="left"/>
      <w:pPr>
        <w:ind w:left="284" w:hanging="284"/>
      </w:pPr>
      <w:rPr>
        <w:rFonts w:hint="default"/>
      </w:rPr>
    </w:lvl>
    <w:lvl w:ilvl="1">
      <w:start w:val="1"/>
      <w:numFmt w:val="lowerLetter"/>
      <w:lvlText w:val="%2)"/>
      <w:lvlJc w:val="left"/>
      <w:pPr>
        <w:ind w:left="567" w:hanging="283"/>
      </w:pPr>
      <w:rPr>
        <w:rFonts w:hint="default"/>
      </w:rPr>
    </w:lvl>
    <w:lvl w:ilvl="2">
      <w:start w:val="1"/>
      <w:numFmt w:val="none"/>
      <w:lvlText w:val=""/>
      <w:lvlJc w:val="left"/>
      <w:pPr>
        <w:ind w:left="567" w:hanging="283"/>
      </w:pPr>
      <w:rPr>
        <w:rFonts w:hint="default"/>
      </w:rPr>
    </w:lvl>
    <w:lvl w:ilvl="3">
      <w:start w:val="1"/>
      <w:numFmt w:val="none"/>
      <w:lvlRestart w:val="2"/>
      <w:lvlText w:val=""/>
      <w:lvlJc w:val="left"/>
      <w:pPr>
        <w:ind w:left="567" w:hanging="283"/>
      </w:pPr>
      <w:rPr>
        <w:rFonts w:hint="default"/>
      </w:rPr>
    </w:lvl>
    <w:lvl w:ilvl="4">
      <w:start w:val="1"/>
      <w:numFmt w:val="none"/>
      <w:lvlRestart w:val="2"/>
      <w:lvlText w:val=""/>
      <w:lvlJc w:val="left"/>
      <w:pPr>
        <w:ind w:left="567" w:hanging="283"/>
      </w:pPr>
      <w:rPr>
        <w:rFonts w:hint="default"/>
      </w:rPr>
    </w:lvl>
    <w:lvl w:ilvl="5">
      <w:start w:val="1"/>
      <w:numFmt w:val="none"/>
      <w:lvlRestart w:val="2"/>
      <w:lvlText w:val=""/>
      <w:lvlJc w:val="left"/>
      <w:pPr>
        <w:ind w:left="567" w:hanging="283"/>
      </w:pPr>
      <w:rPr>
        <w:rFonts w:hint="default"/>
      </w:rPr>
    </w:lvl>
    <w:lvl w:ilvl="6">
      <w:start w:val="1"/>
      <w:numFmt w:val="none"/>
      <w:lvlRestart w:val="2"/>
      <w:lvlText w:val=""/>
      <w:lvlJc w:val="left"/>
      <w:pPr>
        <w:ind w:left="567" w:hanging="283"/>
      </w:pPr>
      <w:rPr>
        <w:rFonts w:hint="default"/>
      </w:rPr>
    </w:lvl>
    <w:lvl w:ilvl="7">
      <w:start w:val="1"/>
      <w:numFmt w:val="none"/>
      <w:lvlRestart w:val="2"/>
      <w:lvlText w:val=""/>
      <w:lvlJc w:val="left"/>
      <w:pPr>
        <w:ind w:left="567" w:hanging="283"/>
      </w:pPr>
      <w:rPr>
        <w:rFonts w:hint="default"/>
      </w:rPr>
    </w:lvl>
    <w:lvl w:ilvl="8">
      <w:start w:val="1"/>
      <w:numFmt w:val="none"/>
      <w:lvlRestart w:val="2"/>
      <w:lvlText w:val=""/>
      <w:lvlJc w:val="left"/>
      <w:pPr>
        <w:ind w:left="567" w:hanging="283"/>
      </w:pPr>
      <w:rPr>
        <w:rFonts w:hint="default"/>
      </w:rPr>
    </w:lvl>
  </w:abstractNum>
  <w:abstractNum w:abstractNumId="6">
    <w:nsid w:val="11495A9B"/>
    <w:multiLevelType w:val="hybridMultilevel"/>
    <w:tmpl w:val="899CBCF4"/>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3D220C7"/>
    <w:multiLevelType w:val="multilevel"/>
    <w:tmpl w:val="3BA44F1A"/>
    <w:numStyleLink w:val="SKMTableList1"/>
  </w:abstractNum>
  <w:abstractNum w:abstractNumId="8">
    <w:nsid w:val="15156EB2"/>
    <w:multiLevelType w:val="multilevel"/>
    <w:tmpl w:val="38708548"/>
    <w:styleLink w:val="SKMNumberedList3"/>
    <w:lvl w:ilvl="0">
      <w:start w:val="1"/>
      <w:numFmt w:val="lowerRoman"/>
      <w:pStyle w:val="Para0roman"/>
      <w:lvlText w:val="%1."/>
      <w:lvlJc w:val="left"/>
      <w:pPr>
        <w:ind w:left="425" w:hanging="425"/>
      </w:pPr>
      <w:rPr>
        <w:rFonts w:hint="default"/>
      </w:rPr>
    </w:lvl>
    <w:lvl w:ilvl="1">
      <w:start w:val="1"/>
      <w:numFmt w:val="none"/>
      <w:lvlRestart w:val="0"/>
      <w:lvlText w:val=""/>
      <w:lvlJc w:val="left"/>
      <w:pPr>
        <w:ind w:left="425" w:hanging="425"/>
      </w:pPr>
      <w:rPr>
        <w:rFonts w:hint="default"/>
      </w:rPr>
    </w:lvl>
    <w:lvl w:ilvl="2">
      <w:start w:val="1"/>
      <w:numFmt w:val="none"/>
      <w:lvlRestart w:val="0"/>
      <w:lvlText w:val=""/>
      <w:lvlJc w:val="left"/>
      <w:pPr>
        <w:ind w:left="425" w:hanging="425"/>
      </w:pPr>
      <w:rPr>
        <w:rFonts w:hint="default"/>
      </w:rPr>
    </w:lvl>
    <w:lvl w:ilvl="3">
      <w:start w:val="1"/>
      <w:numFmt w:val="none"/>
      <w:lvlRestart w:val="0"/>
      <w:lvlText w:val=""/>
      <w:lvlJc w:val="left"/>
      <w:pPr>
        <w:ind w:left="425" w:hanging="425"/>
      </w:pPr>
      <w:rPr>
        <w:rFonts w:hint="default"/>
      </w:rPr>
    </w:lvl>
    <w:lvl w:ilvl="4">
      <w:start w:val="1"/>
      <w:numFmt w:val="none"/>
      <w:lvlRestart w:val="0"/>
      <w:lvlText w:val=""/>
      <w:lvlJc w:val="left"/>
      <w:pPr>
        <w:ind w:left="425" w:hanging="425"/>
      </w:pPr>
      <w:rPr>
        <w:rFonts w:hint="default"/>
      </w:rPr>
    </w:lvl>
    <w:lvl w:ilvl="5">
      <w:start w:val="1"/>
      <w:numFmt w:val="none"/>
      <w:lvlRestart w:val="0"/>
      <w:lvlText w:val=""/>
      <w:lvlJc w:val="left"/>
      <w:pPr>
        <w:ind w:left="425" w:hanging="425"/>
      </w:pPr>
      <w:rPr>
        <w:rFonts w:hint="default"/>
      </w:rPr>
    </w:lvl>
    <w:lvl w:ilvl="6">
      <w:start w:val="1"/>
      <w:numFmt w:val="none"/>
      <w:lvlRestart w:val="0"/>
      <w:lvlText w:val=""/>
      <w:lvlJc w:val="left"/>
      <w:pPr>
        <w:ind w:left="425" w:hanging="425"/>
      </w:pPr>
      <w:rPr>
        <w:rFonts w:hint="default"/>
      </w:rPr>
    </w:lvl>
    <w:lvl w:ilvl="7">
      <w:start w:val="1"/>
      <w:numFmt w:val="none"/>
      <w:lvlRestart w:val="0"/>
      <w:lvlText w:val=""/>
      <w:lvlJc w:val="left"/>
      <w:pPr>
        <w:ind w:left="425" w:hanging="425"/>
      </w:pPr>
      <w:rPr>
        <w:rFonts w:hint="default"/>
      </w:rPr>
    </w:lvl>
    <w:lvl w:ilvl="8">
      <w:start w:val="1"/>
      <w:numFmt w:val="none"/>
      <w:lvlRestart w:val="0"/>
      <w:lvlText w:val=""/>
      <w:lvlJc w:val="left"/>
      <w:pPr>
        <w:ind w:left="425" w:hanging="425"/>
      </w:pPr>
      <w:rPr>
        <w:rFonts w:hint="default"/>
      </w:rPr>
    </w:lvl>
  </w:abstractNum>
  <w:abstractNum w:abstractNumId="9">
    <w:nsid w:val="17C10C25"/>
    <w:multiLevelType w:val="multilevel"/>
    <w:tmpl w:val="7AD4B26A"/>
    <w:styleLink w:val="SKMBulletList1"/>
    <w:lvl w:ilvl="0">
      <w:start w:val="1"/>
      <w:numFmt w:val="bullet"/>
      <w:lvlText w:val=""/>
      <w:lvlJc w:val="left"/>
      <w:pPr>
        <w:ind w:left="425" w:hanging="425"/>
      </w:pPr>
      <w:rPr>
        <w:rFonts w:ascii="Symbol" w:hAnsi="Symbol" w:hint="default"/>
        <w:color w:val="auto"/>
        <w:sz w:val="18"/>
      </w:rPr>
    </w:lvl>
    <w:lvl w:ilvl="1">
      <w:start w:val="1"/>
      <w:numFmt w:val="bullet"/>
      <w:lvlText w:val="-"/>
      <w:lvlJc w:val="left"/>
      <w:pPr>
        <w:ind w:left="851" w:hanging="426"/>
      </w:pPr>
      <w:rPr>
        <w:rFonts w:ascii="Arial" w:hAnsi="Arial" w:hint="default"/>
        <w:color w:val="42145F" w:themeColor="text1"/>
        <w:sz w:val="18"/>
      </w:rPr>
    </w:lvl>
    <w:lvl w:ilvl="2">
      <w:start w:val="1"/>
      <w:numFmt w:val="none"/>
      <w:lvlRestart w:val="0"/>
      <w:lvlText w:val=""/>
      <w:lvlJc w:val="left"/>
      <w:pPr>
        <w:ind w:left="851" w:hanging="426"/>
      </w:pPr>
      <w:rPr>
        <w:rFonts w:hint="default"/>
      </w:rPr>
    </w:lvl>
    <w:lvl w:ilvl="3">
      <w:start w:val="1"/>
      <w:numFmt w:val="none"/>
      <w:lvlRestart w:val="0"/>
      <w:lvlText w:val=""/>
      <w:lvlJc w:val="left"/>
      <w:pPr>
        <w:ind w:left="851" w:hanging="426"/>
      </w:pPr>
      <w:rPr>
        <w:rFonts w:hint="default"/>
      </w:rPr>
    </w:lvl>
    <w:lvl w:ilvl="4">
      <w:start w:val="1"/>
      <w:numFmt w:val="none"/>
      <w:lvlRestart w:val="0"/>
      <w:lvlText w:val=""/>
      <w:lvlJc w:val="left"/>
      <w:pPr>
        <w:ind w:left="851" w:hanging="426"/>
      </w:pPr>
      <w:rPr>
        <w:rFonts w:hint="default"/>
      </w:rPr>
    </w:lvl>
    <w:lvl w:ilvl="5">
      <w:start w:val="1"/>
      <w:numFmt w:val="none"/>
      <w:lvlRestart w:val="0"/>
      <w:lvlText w:val=""/>
      <w:lvlJc w:val="left"/>
      <w:pPr>
        <w:ind w:left="851" w:hanging="426"/>
      </w:pPr>
      <w:rPr>
        <w:rFonts w:hint="default"/>
      </w:rPr>
    </w:lvl>
    <w:lvl w:ilvl="6">
      <w:start w:val="1"/>
      <w:numFmt w:val="none"/>
      <w:lvlRestart w:val="0"/>
      <w:lvlText w:val=""/>
      <w:lvlJc w:val="left"/>
      <w:pPr>
        <w:ind w:left="851" w:hanging="426"/>
      </w:pPr>
      <w:rPr>
        <w:rFonts w:hint="default"/>
      </w:rPr>
    </w:lvl>
    <w:lvl w:ilvl="7">
      <w:start w:val="1"/>
      <w:numFmt w:val="none"/>
      <w:lvlRestart w:val="0"/>
      <w:lvlText w:val=""/>
      <w:lvlJc w:val="left"/>
      <w:pPr>
        <w:ind w:left="851" w:hanging="426"/>
      </w:pPr>
      <w:rPr>
        <w:rFonts w:hint="default"/>
      </w:rPr>
    </w:lvl>
    <w:lvl w:ilvl="8">
      <w:start w:val="1"/>
      <w:numFmt w:val="none"/>
      <w:lvlRestart w:val="0"/>
      <w:lvlText w:val=""/>
      <w:lvlJc w:val="left"/>
      <w:pPr>
        <w:ind w:left="851" w:hanging="426"/>
      </w:pPr>
      <w:rPr>
        <w:rFonts w:hint="default"/>
      </w:rPr>
    </w:lvl>
  </w:abstractNum>
  <w:abstractNum w:abstractNumId="10">
    <w:nsid w:val="1B734245"/>
    <w:multiLevelType w:val="multilevel"/>
    <w:tmpl w:val="7AD4B26A"/>
    <w:lvl w:ilvl="0">
      <w:start w:val="1"/>
      <w:numFmt w:val="bullet"/>
      <w:pStyle w:val="Para0bullet"/>
      <w:lvlText w:val=""/>
      <w:lvlJc w:val="left"/>
      <w:pPr>
        <w:ind w:left="425" w:hanging="425"/>
      </w:pPr>
      <w:rPr>
        <w:rFonts w:ascii="Symbol" w:hAnsi="Symbol" w:hint="default"/>
        <w:color w:val="auto"/>
        <w:sz w:val="18"/>
      </w:rPr>
    </w:lvl>
    <w:lvl w:ilvl="1">
      <w:start w:val="1"/>
      <w:numFmt w:val="bullet"/>
      <w:pStyle w:val="Para1dash"/>
      <w:lvlText w:val="-"/>
      <w:lvlJc w:val="left"/>
      <w:pPr>
        <w:ind w:left="851" w:hanging="426"/>
      </w:pPr>
      <w:rPr>
        <w:rFonts w:ascii="Arial" w:hAnsi="Arial" w:hint="default"/>
        <w:color w:val="42145F" w:themeColor="text1"/>
        <w:sz w:val="18"/>
      </w:rPr>
    </w:lvl>
    <w:lvl w:ilvl="2">
      <w:start w:val="1"/>
      <w:numFmt w:val="none"/>
      <w:lvlRestart w:val="0"/>
      <w:lvlText w:val=""/>
      <w:lvlJc w:val="left"/>
      <w:pPr>
        <w:ind w:left="851" w:hanging="426"/>
      </w:pPr>
      <w:rPr>
        <w:rFonts w:hint="default"/>
      </w:rPr>
    </w:lvl>
    <w:lvl w:ilvl="3">
      <w:start w:val="1"/>
      <w:numFmt w:val="none"/>
      <w:lvlRestart w:val="0"/>
      <w:lvlText w:val=""/>
      <w:lvlJc w:val="left"/>
      <w:pPr>
        <w:ind w:left="851" w:hanging="426"/>
      </w:pPr>
      <w:rPr>
        <w:rFonts w:hint="default"/>
      </w:rPr>
    </w:lvl>
    <w:lvl w:ilvl="4">
      <w:start w:val="1"/>
      <w:numFmt w:val="none"/>
      <w:lvlRestart w:val="0"/>
      <w:lvlText w:val=""/>
      <w:lvlJc w:val="left"/>
      <w:pPr>
        <w:ind w:left="851" w:hanging="426"/>
      </w:pPr>
      <w:rPr>
        <w:rFonts w:hint="default"/>
      </w:rPr>
    </w:lvl>
    <w:lvl w:ilvl="5">
      <w:start w:val="1"/>
      <w:numFmt w:val="none"/>
      <w:lvlRestart w:val="0"/>
      <w:lvlText w:val=""/>
      <w:lvlJc w:val="left"/>
      <w:pPr>
        <w:ind w:left="851" w:hanging="426"/>
      </w:pPr>
      <w:rPr>
        <w:rFonts w:hint="default"/>
      </w:rPr>
    </w:lvl>
    <w:lvl w:ilvl="6">
      <w:start w:val="1"/>
      <w:numFmt w:val="none"/>
      <w:lvlRestart w:val="0"/>
      <w:lvlText w:val=""/>
      <w:lvlJc w:val="left"/>
      <w:pPr>
        <w:ind w:left="851" w:hanging="426"/>
      </w:pPr>
      <w:rPr>
        <w:rFonts w:hint="default"/>
      </w:rPr>
    </w:lvl>
    <w:lvl w:ilvl="7">
      <w:start w:val="1"/>
      <w:numFmt w:val="none"/>
      <w:lvlRestart w:val="0"/>
      <w:lvlText w:val=""/>
      <w:lvlJc w:val="left"/>
      <w:pPr>
        <w:ind w:left="851" w:hanging="426"/>
      </w:pPr>
      <w:rPr>
        <w:rFonts w:hint="default"/>
      </w:rPr>
    </w:lvl>
    <w:lvl w:ilvl="8">
      <w:start w:val="1"/>
      <w:numFmt w:val="none"/>
      <w:lvlRestart w:val="0"/>
      <w:lvlText w:val=""/>
      <w:lvlJc w:val="left"/>
      <w:pPr>
        <w:ind w:left="851" w:hanging="426"/>
      </w:pPr>
      <w:rPr>
        <w:rFonts w:hint="default"/>
      </w:rPr>
    </w:lvl>
  </w:abstractNum>
  <w:abstractNum w:abstractNumId="11">
    <w:nsid w:val="20A93BB0"/>
    <w:multiLevelType w:val="multilevel"/>
    <w:tmpl w:val="403A3D04"/>
    <w:styleLink w:val="SKMNumberedList1"/>
    <w:lvl w:ilvl="0">
      <w:start w:val="1"/>
      <w:numFmt w:val="decimal"/>
      <w:pStyle w:val="Para0number"/>
      <w:lvlText w:val="%1)"/>
      <w:lvlJc w:val="left"/>
      <w:pPr>
        <w:ind w:left="425" w:hanging="425"/>
      </w:pPr>
      <w:rPr>
        <w:rFonts w:hint="default"/>
      </w:rPr>
    </w:lvl>
    <w:lvl w:ilvl="1">
      <w:start w:val="1"/>
      <w:numFmt w:val="lowerLetter"/>
      <w:pStyle w:val="Para1letter"/>
      <w:lvlText w:val="%2)"/>
      <w:lvlJc w:val="left"/>
      <w:pPr>
        <w:ind w:left="851" w:hanging="426"/>
      </w:pPr>
      <w:rPr>
        <w:rFonts w:hint="default"/>
      </w:rPr>
    </w:lvl>
    <w:lvl w:ilvl="2">
      <w:start w:val="1"/>
      <w:numFmt w:val="lowerRoman"/>
      <w:pStyle w:val="Para2roman"/>
      <w:lvlText w:val="%3."/>
      <w:lvlJc w:val="left"/>
      <w:pPr>
        <w:ind w:left="1276" w:hanging="425"/>
      </w:pPr>
      <w:rPr>
        <w:rFonts w:hint="default"/>
      </w:rPr>
    </w:lvl>
    <w:lvl w:ilvl="3">
      <w:start w:val="1"/>
      <w:numFmt w:val="none"/>
      <w:lvlRestart w:val="0"/>
      <w:lvlText w:val=""/>
      <w:lvlJc w:val="left"/>
      <w:pPr>
        <w:ind w:left="1276" w:hanging="425"/>
      </w:pPr>
      <w:rPr>
        <w:rFonts w:hint="default"/>
      </w:rPr>
    </w:lvl>
    <w:lvl w:ilvl="4">
      <w:start w:val="1"/>
      <w:numFmt w:val="none"/>
      <w:lvlRestart w:val="0"/>
      <w:lvlText w:val=""/>
      <w:lvlJc w:val="left"/>
      <w:pPr>
        <w:ind w:left="1276" w:hanging="425"/>
      </w:pPr>
      <w:rPr>
        <w:rFonts w:hint="default"/>
      </w:rPr>
    </w:lvl>
    <w:lvl w:ilvl="5">
      <w:start w:val="1"/>
      <w:numFmt w:val="none"/>
      <w:lvlRestart w:val="0"/>
      <w:lvlText w:val=""/>
      <w:lvlJc w:val="left"/>
      <w:pPr>
        <w:ind w:left="1276" w:hanging="425"/>
      </w:pPr>
      <w:rPr>
        <w:rFonts w:hint="default"/>
      </w:rPr>
    </w:lvl>
    <w:lvl w:ilvl="6">
      <w:start w:val="1"/>
      <w:numFmt w:val="none"/>
      <w:lvlRestart w:val="0"/>
      <w:lvlText w:val=""/>
      <w:lvlJc w:val="left"/>
      <w:pPr>
        <w:ind w:left="1276" w:hanging="425"/>
      </w:pPr>
      <w:rPr>
        <w:rFonts w:hint="default"/>
      </w:rPr>
    </w:lvl>
    <w:lvl w:ilvl="7">
      <w:start w:val="1"/>
      <w:numFmt w:val="none"/>
      <w:lvlRestart w:val="0"/>
      <w:lvlText w:val=""/>
      <w:lvlJc w:val="left"/>
      <w:pPr>
        <w:ind w:left="1276" w:hanging="425"/>
      </w:pPr>
      <w:rPr>
        <w:rFonts w:hint="default"/>
      </w:rPr>
    </w:lvl>
    <w:lvl w:ilvl="8">
      <w:start w:val="1"/>
      <w:numFmt w:val="none"/>
      <w:lvlRestart w:val="0"/>
      <w:lvlText w:val=""/>
      <w:lvlJc w:val="left"/>
      <w:pPr>
        <w:ind w:left="1276" w:hanging="425"/>
      </w:pPr>
      <w:rPr>
        <w:rFonts w:hint="default"/>
      </w:rPr>
    </w:lvl>
  </w:abstractNum>
  <w:abstractNum w:abstractNumId="12">
    <w:nsid w:val="20C30954"/>
    <w:multiLevelType w:val="hybridMultilevel"/>
    <w:tmpl w:val="22380070"/>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3">
    <w:nsid w:val="2319309A"/>
    <w:multiLevelType w:val="multilevel"/>
    <w:tmpl w:val="4AEE2348"/>
    <w:styleLink w:val="SKMSmallTableList1"/>
    <w:lvl w:ilvl="0">
      <w:start w:val="1"/>
      <w:numFmt w:val="bullet"/>
      <w:pStyle w:val="Tablesmallbullet"/>
      <w:lvlText w:val=""/>
      <w:lvlJc w:val="left"/>
      <w:pPr>
        <w:ind w:left="284" w:hanging="284"/>
      </w:pPr>
      <w:rPr>
        <w:rFonts w:ascii="Symbol" w:hAnsi="Symbol" w:hint="default"/>
        <w:color w:val="auto"/>
      </w:rPr>
    </w:lvl>
    <w:lvl w:ilvl="1">
      <w:start w:val="1"/>
      <w:numFmt w:val="none"/>
      <w:lvlText w:val=""/>
      <w:lvlJc w:val="left"/>
      <w:pPr>
        <w:ind w:left="284" w:hanging="284"/>
      </w:pPr>
      <w:rPr>
        <w:rFonts w:hint="default"/>
      </w:rPr>
    </w:lvl>
    <w:lvl w:ilvl="2">
      <w:start w:val="1"/>
      <w:numFmt w:val="none"/>
      <w:lvlRestart w:val="1"/>
      <w:lvlText w:val=""/>
      <w:lvlJc w:val="left"/>
      <w:pPr>
        <w:ind w:left="284" w:hanging="284"/>
      </w:pPr>
      <w:rPr>
        <w:rFonts w:hint="default"/>
      </w:rPr>
    </w:lvl>
    <w:lvl w:ilvl="3">
      <w:start w:val="1"/>
      <w:numFmt w:val="none"/>
      <w:lvlRestart w:val="1"/>
      <w:lvlText w:val=""/>
      <w:lvlJc w:val="left"/>
      <w:pPr>
        <w:ind w:left="284" w:hanging="284"/>
      </w:pPr>
      <w:rPr>
        <w:rFonts w:hint="default"/>
      </w:rPr>
    </w:lvl>
    <w:lvl w:ilvl="4">
      <w:start w:val="1"/>
      <w:numFmt w:val="none"/>
      <w:lvlRestart w:val="1"/>
      <w:lvlText w:val=""/>
      <w:lvlJc w:val="left"/>
      <w:pPr>
        <w:ind w:left="284" w:hanging="284"/>
      </w:pPr>
      <w:rPr>
        <w:rFonts w:hint="default"/>
      </w:rPr>
    </w:lvl>
    <w:lvl w:ilvl="5">
      <w:start w:val="1"/>
      <w:numFmt w:val="none"/>
      <w:lvlRestart w:val="1"/>
      <w:lvlText w:val=""/>
      <w:lvlJc w:val="left"/>
      <w:pPr>
        <w:ind w:left="284" w:hanging="284"/>
      </w:pPr>
      <w:rPr>
        <w:rFonts w:hint="default"/>
      </w:rPr>
    </w:lvl>
    <w:lvl w:ilvl="6">
      <w:start w:val="1"/>
      <w:numFmt w:val="none"/>
      <w:lvlRestart w:val="1"/>
      <w:lvlText w:val=""/>
      <w:lvlJc w:val="left"/>
      <w:pPr>
        <w:ind w:left="284" w:hanging="284"/>
      </w:pPr>
      <w:rPr>
        <w:rFonts w:hint="default"/>
      </w:rPr>
    </w:lvl>
    <w:lvl w:ilvl="7">
      <w:start w:val="1"/>
      <w:numFmt w:val="none"/>
      <w:lvlRestart w:val="1"/>
      <w:lvlText w:val=""/>
      <w:lvlJc w:val="left"/>
      <w:pPr>
        <w:ind w:left="284" w:hanging="284"/>
      </w:pPr>
      <w:rPr>
        <w:rFonts w:hint="default"/>
      </w:rPr>
    </w:lvl>
    <w:lvl w:ilvl="8">
      <w:start w:val="1"/>
      <w:numFmt w:val="none"/>
      <w:lvlRestart w:val="1"/>
      <w:lvlText w:val=""/>
      <w:lvlJc w:val="left"/>
      <w:pPr>
        <w:ind w:left="284" w:hanging="284"/>
      </w:pPr>
      <w:rPr>
        <w:rFonts w:hint="default"/>
      </w:rPr>
    </w:lvl>
  </w:abstractNum>
  <w:abstractNum w:abstractNumId="14">
    <w:nsid w:val="28FC79E3"/>
    <w:multiLevelType w:val="hybridMultilevel"/>
    <w:tmpl w:val="AF40D4F8"/>
    <w:lvl w:ilvl="0" w:tplc="2B72174A">
      <w:start w:val="1"/>
      <w:numFmt w:val="lowerLetter"/>
      <w:pStyle w:val="Para2letter"/>
      <w:lvlText w:val="%1)"/>
      <w:lvlJc w:val="left"/>
      <w:pPr>
        <w:ind w:left="1211" w:hanging="360"/>
      </w:pPr>
    </w:lvl>
    <w:lvl w:ilvl="1" w:tplc="0C090019">
      <w:start w:val="1"/>
      <w:numFmt w:val="lowerLetter"/>
      <w:pStyle w:val="Para2letter"/>
      <w:lvlText w:val="%2."/>
      <w:lvlJc w:val="left"/>
      <w:pPr>
        <w:ind w:left="2574" w:hanging="360"/>
      </w:pPr>
    </w:lvl>
    <w:lvl w:ilvl="2" w:tplc="0C09001B" w:tentative="1">
      <w:start w:val="1"/>
      <w:numFmt w:val="lowerRoman"/>
      <w:pStyle w:val="Para2letter"/>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abstractNum w:abstractNumId="15">
    <w:nsid w:val="297D5DDB"/>
    <w:multiLevelType w:val="multilevel"/>
    <w:tmpl w:val="E8662322"/>
    <w:styleLink w:val="SKMBulletList3"/>
    <w:lvl w:ilvl="0">
      <w:start w:val="1"/>
      <w:numFmt w:val="bullet"/>
      <w:pStyle w:val="Para0arrow"/>
      <w:lvlText w:val=""/>
      <w:lvlJc w:val="left"/>
      <w:pPr>
        <w:ind w:left="425" w:hanging="425"/>
      </w:pPr>
      <w:rPr>
        <w:rFonts w:ascii="Symbol" w:hAnsi="Symbol" w:hint="default"/>
        <w:color w:val="auto"/>
      </w:rPr>
    </w:lvl>
    <w:lvl w:ilvl="1">
      <w:start w:val="1"/>
      <w:numFmt w:val="none"/>
      <w:lvlText w:val=""/>
      <w:lvlJc w:val="left"/>
      <w:pPr>
        <w:ind w:left="425" w:hanging="425"/>
      </w:pPr>
      <w:rPr>
        <w:rFonts w:hint="default"/>
      </w:rPr>
    </w:lvl>
    <w:lvl w:ilvl="2">
      <w:start w:val="1"/>
      <w:numFmt w:val="none"/>
      <w:lvlRestart w:val="1"/>
      <w:lvlText w:val=""/>
      <w:lvlJc w:val="left"/>
      <w:pPr>
        <w:ind w:left="425" w:hanging="425"/>
      </w:pPr>
      <w:rPr>
        <w:rFonts w:hint="default"/>
      </w:rPr>
    </w:lvl>
    <w:lvl w:ilvl="3">
      <w:start w:val="1"/>
      <w:numFmt w:val="none"/>
      <w:lvlRestart w:val="1"/>
      <w:lvlText w:val=""/>
      <w:lvlJc w:val="left"/>
      <w:pPr>
        <w:ind w:left="425" w:hanging="425"/>
      </w:pPr>
      <w:rPr>
        <w:rFonts w:hint="default"/>
      </w:rPr>
    </w:lvl>
    <w:lvl w:ilvl="4">
      <w:start w:val="1"/>
      <w:numFmt w:val="none"/>
      <w:lvlRestart w:val="1"/>
      <w:lvlText w:val=""/>
      <w:lvlJc w:val="left"/>
      <w:pPr>
        <w:ind w:left="425" w:hanging="425"/>
      </w:pPr>
      <w:rPr>
        <w:rFonts w:hint="default"/>
      </w:rPr>
    </w:lvl>
    <w:lvl w:ilvl="5">
      <w:start w:val="1"/>
      <w:numFmt w:val="none"/>
      <w:lvlRestart w:val="1"/>
      <w:lvlText w:val=""/>
      <w:lvlJc w:val="left"/>
      <w:pPr>
        <w:ind w:left="425" w:hanging="425"/>
      </w:pPr>
      <w:rPr>
        <w:rFonts w:hint="default"/>
      </w:rPr>
    </w:lvl>
    <w:lvl w:ilvl="6">
      <w:start w:val="1"/>
      <w:numFmt w:val="none"/>
      <w:lvlRestart w:val="1"/>
      <w:lvlText w:val=""/>
      <w:lvlJc w:val="left"/>
      <w:pPr>
        <w:ind w:left="425" w:hanging="425"/>
      </w:pPr>
      <w:rPr>
        <w:rFonts w:hint="default"/>
      </w:rPr>
    </w:lvl>
    <w:lvl w:ilvl="7">
      <w:start w:val="1"/>
      <w:numFmt w:val="none"/>
      <w:lvlRestart w:val="1"/>
      <w:lvlText w:val=""/>
      <w:lvlJc w:val="left"/>
      <w:pPr>
        <w:ind w:left="425" w:hanging="425"/>
      </w:pPr>
      <w:rPr>
        <w:rFonts w:hint="default"/>
      </w:rPr>
    </w:lvl>
    <w:lvl w:ilvl="8">
      <w:start w:val="1"/>
      <w:numFmt w:val="none"/>
      <w:lvlRestart w:val="1"/>
      <w:lvlText w:val=""/>
      <w:lvlJc w:val="left"/>
      <w:pPr>
        <w:ind w:left="425" w:hanging="425"/>
      </w:pPr>
      <w:rPr>
        <w:rFonts w:hint="default"/>
      </w:rPr>
    </w:lvl>
  </w:abstractNum>
  <w:abstractNum w:abstractNumId="16">
    <w:nsid w:val="2AB51485"/>
    <w:multiLevelType w:val="hybridMultilevel"/>
    <w:tmpl w:val="C78029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2AFC3193"/>
    <w:multiLevelType w:val="hybridMultilevel"/>
    <w:tmpl w:val="AC8AB024"/>
    <w:lvl w:ilvl="0" w:tplc="A02EA252">
      <w:start w:val="1"/>
      <w:numFmt w:val="lowerLetter"/>
      <w:pStyle w:val="ContentBulletsLetter"/>
      <w:lvlText w:val="%1)"/>
      <w:lvlJc w:val="left"/>
      <w:pPr>
        <w:ind w:left="1418" w:hanging="851"/>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D8910C9"/>
    <w:multiLevelType w:val="multilevel"/>
    <w:tmpl w:val="FDAEC1E8"/>
    <w:numStyleLink w:val="SKMNumberedList2"/>
  </w:abstractNum>
  <w:abstractNum w:abstractNumId="19">
    <w:nsid w:val="2E9D770E"/>
    <w:multiLevelType w:val="hybridMultilevel"/>
    <w:tmpl w:val="2F866E9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2EF47A25"/>
    <w:multiLevelType w:val="multilevel"/>
    <w:tmpl w:val="8BC81D84"/>
    <w:styleLink w:val="SKMSmallTableNumberedList2"/>
    <w:lvl w:ilvl="0">
      <w:start w:val="1"/>
      <w:numFmt w:val="lowerLetter"/>
      <w:pStyle w:val="Tablesmallletter"/>
      <w:lvlText w:val="%1)"/>
      <w:lvlJc w:val="left"/>
      <w:pPr>
        <w:ind w:left="284" w:hanging="284"/>
      </w:pPr>
      <w:rPr>
        <w:rFonts w:hint="default"/>
      </w:rPr>
    </w:lvl>
    <w:lvl w:ilvl="1">
      <w:start w:val="1"/>
      <w:numFmt w:val="none"/>
      <w:lvlText w:val=""/>
      <w:lvlJc w:val="left"/>
      <w:pPr>
        <w:ind w:left="284" w:hanging="284"/>
      </w:pPr>
      <w:rPr>
        <w:rFonts w:hint="default"/>
      </w:rPr>
    </w:lvl>
    <w:lvl w:ilvl="2">
      <w:start w:val="1"/>
      <w:numFmt w:val="none"/>
      <w:lvlRestart w:val="1"/>
      <w:lvlText w:val=""/>
      <w:lvlJc w:val="left"/>
      <w:pPr>
        <w:ind w:left="284" w:hanging="284"/>
      </w:pPr>
      <w:rPr>
        <w:rFonts w:hint="default"/>
      </w:rPr>
    </w:lvl>
    <w:lvl w:ilvl="3">
      <w:start w:val="1"/>
      <w:numFmt w:val="none"/>
      <w:lvlRestart w:val="1"/>
      <w:lvlText w:val=""/>
      <w:lvlJc w:val="left"/>
      <w:pPr>
        <w:ind w:left="284" w:hanging="284"/>
      </w:pPr>
      <w:rPr>
        <w:rFonts w:hint="default"/>
      </w:rPr>
    </w:lvl>
    <w:lvl w:ilvl="4">
      <w:start w:val="1"/>
      <w:numFmt w:val="none"/>
      <w:lvlRestart w:val="1"/>
      <w:lvlText w:val=""/>
      <w:lvlJc w:val="left"/>
      <w:pPr>
        <w:ind w:left="284" w:hanging="284"/>
      </w:pPr>
      <w:rPr>
        <w:rFonts w:hint="default"/>
      </w:rPr>
    </w:lvl>
    <w:lvl w:ilvl="5">
      <w:start w:val="1"/>
      <w:numFmt w:val="none"/>
      <w:lvlRestart w:val="1"/>
      <w:lvlText w:val=""/>
      <w:lvlJc w:val="left"/>
      <w:pPr>
        <w:ind w:left="284" w:hanging="284"/>
      </w:pPr>
      <w:rPr>
        <w:rFonts w:hint="default"/>
      </w:rPr>
    </w:lvl>
    <w:lvl w:ilvl="6">
      <w:start w:val="1"/>
      <w:numFmt w:val="none"/>
      <w:lvlRestart w:val="1"/>
      <w:lvlText w:val=""/>
      <w:lvlJc w:val="left"/>
      <w:pPr>
        <w:ind w:left="284" w:hanging="284"/>
      </w:pPr>
      <w:rPr>
        <w:rFonts w:hint="default"/>
      </w:rPr>
    </w:lvl>
    <w:lvl w:ilvl="7">
      <w:start w:val="1"/>
      <w:numFmt w:val="none"/>
      <w:lvlRestart w:val="1"/>
      <w:lvlText w:val=""/>
      <w:lvlJc w:val="left"/>
      <w:pPr>
        <w:ind w:left="284" w:hanging="284"/>
      </w:pPr>
      <w:rPr>
        <w:rFonts w:hint="default"/>
      </w:rPr>
    </w:lvl>
    <w:lvl w:ilvl="8">
      <w:start w:val="1"/>
      <w:numFmt w:val="none"/>
      <w:lvlRestart w:val="1"/>
      <w:lvlText w:val=""/>
      <w:lvlJc w:val="left"/>
      <w:pPr>
        <w:ind w:left="284" w:hanging="284"/>
      </w:pPr>
      <w:rPr>
        <w:rFonts w:hint="default"/>
      </w:rPr>
    </w:lvl>
  </w:abstractNum>
  <w:abstractNum w:abstractNumId="21">
    <w:nsid w:val="32D54839"/>
    <w:multiLevelType w:val="multilevel"/>
    <w:tmpl w:val="4AEE2348"/>
    <w:numStyleLink w:val="SKMSmallTableList1"/>
  </w:abstractNum>
  <w:abstractNum w:abstractNumId="22">
    <w:nsid w:val="34555BA7"/>
    <w:multiLevelType w:val="hybridMultilevel"/>
    <w:tmpl w:val="1BB093FC"/>
    <w:lvl w:ilvl="0" w:tplc="F8EE6AEA">
      <w:start w:val="1"/>
      <w:numFmt w:val="lowerRoman"/>
      <w:pStyle w:val="ContentBulletsRomanNumeral"/>
      <w:lvlText w:val="%1."/>
      <w:lvlJc w:val="left"/>
      <w:pPr>
        <w:ind w:left="1418" w:hanging="851"/>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9FA7218"/>
    <w:multiLevelType w:val="multilevel"/>
    <w:tmpl w:val="A23EC71E"/>
    <w:lvl w:ilvl="0">
      <w:start w:val="1"/>
      <w:numFmt w:val="decimal"/>
      <w:lvlText w:val="%1"/>
      <w:lvlJc w:val="left"/>
      <w:pPr>
        <w:ind w:left="425" w:hanging="425"/>
      </w:pPr>
      <w:rPr>
        <w:rFonts w:ascii="Arial" w:hAnsi="Arial" w:hint="default"/>
        <w:sz w:val="16"/>
      </w:rPr>
    </w:lvl>
    <w:lvl w:ilvl="1">
      <w:start w:val="1"/>
      <w:numFmt w:val="lowerLetter"/>
      <w:lvlText w:val="%2)"/>
      <w:lvlJc w:val="left"/>
      <w:pPr>
        <w:ind w:left="851" w:hanging="426"/>
      </w:pPr>
      <w:rPr>
        <w:rFonts w:hint="default"/>
      </w:rPr>
    </w:lvl>
    <w:lvl w:ilvl="2">
      <w:start w:val="1"/>
      <w:numFmt w:val="lowerRoman"/>
      <w:lvlText w:val="%3."/>
      <w:lvlJc w:val="left"/>
      <w:pPr>
        <w:ind w:left="1276" w:hanging="425"/>
      </w:pPr>
      <w:rPr>
        <w:rFonts w:hint="default"/>
      </w:rPr>
    </w:lvl>
    <w:lvl w:ilvl="3">
      <w:start w:val="1"/>
      <w:numFmt w:val="none"/>
      <w:lvlRestart w:val="0"/>
      <w:lvlText w:val=""/>
      <w:lvlJc w:val="left"/>
      <w:pPr>
        <w:ind w:left="1276" w:hanging="425"/>
      </w:pPr>
      <w:rPr>
        <w:rFonts w:hint="default"/>
      </w:rPr>
    </w:lvl>
    <w:lvl w:ilvl="4">
      <w:start w:val="1"/>
      <w:numFmt w:val="none"/>
      <w:lvlRestart w:val="0"/>
      <w:lvlText w:val=""/>
      <w:lvlJc w:val="left"/>
      <w:pPr>
        <w:ind w:left="1276" w:hanging="425"/>
      </w:pPr>
      <w:rPr>
        <w:rFonts w:hint="default"/>
      </w:rPr>
    </w:lvl>
    <w:lvl w:ilvl="5">
      <w:start w:val="1"/>
      <w:numFmt w:val="none"/>
      <w:lvlRestart w:val="0"/>
      <w:lvlText w:val=""/>
      <w:lvlJc w:val="left"/>
      <w:pPr>
        <w:ind w:left="1276" w:hanging="425"/>
      </w:pPr>
      <w:rPr>
        <w:rFonts w:hint="default"/>
      </w:rPr>
    </w:lvl>
    <w:lvl w:ilvl="6">
      <w:start w:val="1"/>
      <w:numFmt w:val="none"/>
      <w:lvlRestart w:val="0"/>
      <w:lvlText w:val=""/>
      <w:lvlJc w:val="left"/>
      <w:pPr>
        <w:ind w:left="1276" w:hanging="425"/>
      </w:pPr>
      <w:rPr>
        <w:rFonts w:hint="default"/>
      </w:rPr>
    </w:lvl>
    <w:lvl w:ilvl="7">
      <w:start w:val="1"/>
      <w:numFmt w:val="none"/>
      <w:lvlRestart w:val="0"/>
      <w:lvlText w:val=""/>
      <w:lvlJc w:val="left"/>
      <w:pPr>
        <w:ind w:left="1276" w:hanging="425"/>
      </w:pPr>
      <w:rPr>
        <w:rFonts w:hint="default"/>
      </w:rPr>
    </w:lvl>
    <w:lvl w:ilvl="8">
      <w:start w:val="1"/>
      <w:numFmt w:val="none"/>
      <w:lvlRestart w:val="0"/>
      <w:lvlText w:val=""/>
      <w:lvlJc w:val="left"/>
      <w:pPr>
        <w:ind w:left="1276" w:hanging="425"/>
      </w:pPr>
      <w:rPr>
        <w:rFonts w:hint="default"/>
      </w:rPr>
    </w:lvl>
  </w:abstractNum>
  <w:abstractNum w:abstractNumId="24">
    <w:nsid w:val="3AD53A78"/>
    <w:multiLevelType w:val="hybridMultilevel"/>
    <w:tmpl w:val="BA422C3C"/>
    <w:lvl w:ilvl="0" w:tplc="01C8CC56">
      <w:start w:val="1"/>
      <w:numFmt w:val="decimal"/>
      <w:pStyle w:val="ContentBulletsNumber"/>
      <w:lvlText w:val="%1."/>
      <w:lvlJc w:val="left"/>
      <w:pPr>
        <w:ind w:left="1418" w:hanging="851"/>
      </w:pPr>
      <w:rPr>
        <w:rFonts w:ascii="Arial" w:hAnsi="Arial" w:hint="default"/>
        <w:b w:val="0"/>
        <w:bCs w:val="0"/>
        <w:i w:val="0"/>
        <w:iCs w:val="0"/>
        <w:color w:val="auto"/>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3C1C3B83"/>
    <w:multiLevelType w:val="hybridMultilevel"/>
    <w:tmpl w:val="B6822A2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3D116354"/>
    <w:multiLevelType w:val="multilevel"/>
    <w:tmpl w:val="BA62B030"/>
    <w:styleLink w:val="SKMBulletList2"/>
    <w:lvl w:ilvl="0">
      <w:start w:val="1"/>
      <w:numFmt w:val="bullet"/>
      <w:pStyle w:val="Para0dash"/>
      <w:lvlText w:val="-"/>
      <w:lvlJc w:val="left"/>
      <w:pPr>
        <w:ind w:left="425" w:hanging="425"/>
      </w:pPr>
      <w:rPr>
        <w:rFonts w:ascii="Arial" w:hAnsi="Arial" w:hint="default"/>
        <w:color w:val="42145F" w:themeColor="text1"/>
      </w:rPr>
    </w:lvl>
    <w:lvl w:ilvl="1">
      <w:start w:val="1"/>
      <w:numFmt w:val="none"/>
      <w:lvlRestart w:val="0"/>
      <w:lvlText w:val=""/>
      <w:lvlJc w:val="left"/>
      <w:pPr>
        <w:ind w:left="425" w:hanging="425"/>
      </w:pPr>
      <w:rPr>
        <w:rFonts w:hint="default"/>
      </w:rPr>
    </w:lvl>
    <w:lvl w:ilvl="2">
      <w:start w:val="1"/>
      <w:numFmt w:val="none"/>
      <w:lvlRestart w:val="0"/>
      <w:lvlText w:val=""/>
      <w:lvlJc w:val="left"/>
      <w:pPr>
        <w:ind w:left="425" w:hanging="425"/>
      </w:pPr>
      <w:rPr>
        <w:rFonts w:hint="default"/>
      </w:rPr>
    </w:lvl>
    <w:lvl w:ilvl="3">
      <w:start w:val="1"/>
      <w:numFmt w:val="none"/>
      <w:lvlRestart w:val="0"/>
      <w:lvlText w:val=""/>
      <w:lvlJc w:val="left"/>
      <w:pPr>
        <w:ind w:left="425" w:hanging="425"/>
      </w:pPr>
      <w:rPr>
        <w:rFonts w:hint="default"/>
      </w:rPr>
    </w:lvl>
    <w:lvl w:ilvl="4">
      <w:start w:val="1"/>
      <w:numFmt w:val="none"/>
      <w:lvlRestart w:val="0"/>
      <w:lvlText w:val=""/>
      <w:lvlJc w:val="left"/>
      <w:pPr>
        <w:ind w:left="425" w:hanging="425"/>
      </w:pPr>
      <w:rPr>
        <w:rFonts w:hint="default"/>
      </w:rPr>
    </w:lvl>
    <w:lvl w:ilvl="5">
      <w:start w:val="1"/>
      <w:numFmt w:val="none"/>
      <w:lvlRestart w:val="0"/>
      <w:lvlText w:val=""/>
      <w:lvlJc w:val="left"/>
      <w:pPr>
        <w:ind w:left="425" w:hanging="425"/>
      </w:pPr>
      <w:rPr>
        <w:rFonts w:hint="default"/>
      </w:rPr>
    </w:lvl>
    <w:lvl w:ilvl="6">
      <w:start w:val="1"/>
      <w:numFmt w:val="none"/>
      <w:lvlRestart w:val="0"/>
      <w:lvlText w:val=""/>
      <w:lvlJc w:val="left"/>
      <w:pPr>
        <w:ind w:left="425" w:hanging="425"/>
      </w:pPr>
      <w:rPr>
        <w:rFonts w:hint="default"/>
      </w:rPr>
    </w:lvl>
    <w:lvl w:ilvl="7">
      <w:start w:val="1"/>
      <w:numFmt w:val="none"/>
      <w:lvlRestart w:val="0"/>
      <w:lvlText w:val=""/>
      <w:lvlJc w:val="left"/>
      <w:pPr>
        <w:ind w:left="425" w:hanging="425"/>
      </w:pPr>
      <w:rPr>
        <w:rFonts w:hint="default"/>
      </w:rPr>
    </w:lvl>
    <w:lvl w:ilvl="8">
      <w:start w:val="1"/>
      <w:numFmt w:val="none"/>
      <w:lvlRestart w:val="0"/>
      <w:lvlText w:val=""/>
      <w:lvlJc w:val="left"/>
      <w:pPr>
        <w:ind w:left="425" w:hanging="425"/>
      </w:pPr>
      <w:rPr>
        <w:rFonts w:hint="default"/>
      </w:rPr>
    </w:lvl>
  </w:abstractNum>
  <w:abstractNum w:abstractNumId="27">
    <w:nsid w:val="3F3050AF"/>
    <w:multiLevelType w:val="hybridMultilevel"/>
    <w:tmpl w:val="FCDE73CA"/>
    <w:lvl w:ilvl="0" w:tplc="0409000F">
      <w:start w:val="1"/>
      <w:numFmt w:val="decimal"/>
      <w:lvlText w:val="%1."/>
      <w:lvlJc w:val="left"/>
      <w:pPr>
        <w:ind w:left="720" w:hanging="360"/>
      </w:pPr>
    </w:lvl>
    <w:lvl w:ilvl="1" w:tplc="7ACA242A">
      <w:start w:val="1"/>
      <w:numFmt w:val="lowerLetter"/>
      <w:lvlText w:val="%2."/>
      <w:lvlJc w:val="left"/>
      <w:pPr>
        <w:ind w:left="1500" w:hanging="4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03D15DA"/>
    <w:multiLevelType w:val="hybridMultilevel"/>
    <w:tmpl w:val="E6BC691E"/>
    <w:lvl w:ilvl="0" w:tplc="0C090001">
      <w:start w:val="1"/>
      <w:numFmt w:val="bullet"/>
      <w:lvlText w:val=""/>
      <w:lvlJc w:val="left"/>
      <w:pPr>
        <w:ind w:left="770" w:hanging="360"/>
      </w:pPr>
      <w:rPr>
        <w:rFonts w:ascii="Symbol" w:hAnsi="Symbol" w:hint="default"/>
      </w:rPr>
    </w:lvl>
    <w:lvl w:ilvl="1" w:tplc="0C090003" w:tentative="1">
      <w:start w:val="1"/>
      <w:numFmt w:val="bullet"/>
      <w:lvlText w:val="o"/>
      <w:lvlJc w:val="left"/>
      <w:pPr>
        <w:ind w:left="1490" w:hanging="360"/>
      </w:pPr>
      <w:rPr>
        <w:rFonts w:ascii="Courier New" w:hAnsi="Courier New" w:cs="Courier New" w:hint="default"/>
      </w:rPr>
    </w:lvl>
    <w:lvl w:ilvl="2" w:tplc="0C090005" w:tentative="1">
      <w:start w:val="1"/>
      <w:numFmt w:val="bullet"/>
      <w:lvlText w:val=""/>
      <w:lvlJc w:val="left"/>
      <w:pPr>
        <w:ind w:left="2210" w:hanging="360"/>
      </w:pPr>
      <w:rPr>
        <w:rFonts w:ascii="Wingdings" w:hAnsi="Wingdings" w:hint="default"/>
      </w:rPr>
    </w:lvl>
    <w:lvl w:ilvl="3" w:tplc="0C090001" w:tentative="1">
      <w:start w:val="1"/>
      <w:numFmt w:val="bullet"/>
      <w:lvlText w:val=""/>
      <w:lvlJc w:val="left"/>
      <w:pPr>
        <w:ind w:left="2930" w:hanging="360"/>
      </w:pPr>
      <w:rPr>
        <w:rFonts w:ascii="Symbol" w:hAnsi="Symbol" w:hint="default"/>
      </w:rPr>
    </w:lvl>
    <w:lvl w:ilvl="4" w:tplc="0C090003" w:tentative="1">
      <w:start w:val="1"/>
      <w:numFmt w:val="bullet"/>
      <w:lvlText w:val="o"/>
      <w:lvlJc w:val="left"/>
      <w:pPr>
        <w:ind w:left="3650" w:hanging="360"/>
      </w:pPr>
      <w:rPr>
        <w:rFonts w:ascii="Courier New" w:hAnsi="Courier New" w:cs="Courier New" w:hint="default"/>
      </w:rPr>
    </w:lvl>
    <w:lvl w:ilvl="5" w:tplc="0C090005" w:tentative="1">
      <w:start w:val="1"/>
      <w:numFmt w:val="bullet"/>
      <w:lvlText w:val=""/>
      <w:lvlJc w:val="left"/>
      <w:pPr>
        <w:ind w:left="4370" w:hanging="360"/>
      </w:pPr>
      <w:rPr>
        <w:rFonts w:ascii="Wingdings" w:hAnsi="Wingdings" w:hint="default"/>
      </w:rPr>
    </w:lvl>
    <w:lvl w:ilvl="6" w:tplc="0C090001" w:tentative="1">
      <w:start w:val="1"/>
      <w:numFmt w:val="bullet"/>
      <w:lvlText w:val=""/>
      <w:lvlJc w:val="left"/>
      <w:pPr>
        <w:ind w:left="5090" w:hanging="360"/>
      </w:pPr>
      <w:rPr>
        <w:rFonts w:ascii="Symbol" w:hAnsi="Symbol" w:hint="default"/>
      </w:rPr>
    </w:lvl>
    <w:lvl w:ilvl="7" w:tplc="0C090003" w:tentative="1">
      <w:start w:val="1"/>
      <w:numFmt w:val="bullet"/>
      <w:lvlText w:val="o"/>
      <w:lvlJc w:val="left"/>
      <w:pPr>
        <w:ind w:left="5810" w:hanging="360"/>
      </w:pPr>
      <w:rPr>
        <w:rFonts w:ascii="Courier New" w:hAnsi="Courier New" w:cs="Courier New" w:hint="default"/>
      </w:rPr>
    </w:lvl>
    <w:lvl w:ilvl="8" w:tplc="0C090005" w:tentative="1">
      <w:start w:val="1"/>
      <w:numFmt w:val="bullet"/>
      <w:lvlText w:val=""/>
      <w:lvlJc w:val="left"/>
      <w:pPr>
        <w:ind w:left="6530" w:hanging="360"/>
      </w:pPr>
      <w:rPr>
        <w:rFonts w:ascii="Wingdings" w:hAnsi="Wingdings" w:hint="default"/>
      </w:rPr>
    </w:lvl>
  </w:abstractNum>
  <w:abstractNum w:abstractNumId="29">
    <w:nsid w:val="42D76D76"/>
    <w:multiLevelType w:val="multilevel"/>
    <w:tmpl w:val="0060B47C"/>
    <w:styleLink w:val="SKMBodyList"/>
    <w:lvl w:ilvl="0">
      <w:start w:val="1"/>
      <w:numFmt w:val="bullet"/>
      <w:pStyle w:val="Bodynarrowbullet"/>
      <w:lvlText w:val=""/>
      <w:lvlJc w:val="left"/>
      <w:pPr>
        <w:tabs>
          <w:tab w:val="num" w:pos="3600"/>
        </w:tabs>
        <w:ind w:left="3600" w:hanging="3600"/>
      </w:pPr>
      <w:rPr>
        <w:rFonts w:ascii="Symbol" w:hAnsi="Symbol" w:hint="default"/>
        <w:color w:val="auto"/>
      </w:rPr>
    </w:lvl>
    <w:lvl w:ilvl="1">
      <w:start w:val="1"/>
      <w:numFmt w:val="bullet"/>
      <w:lvlRestart w:val="0"/>
      <w:pStyle w:val="Bodynarrowarrow"/>
      <w:lvlText w:val=""/>
      <w:lvlJc w:val="left"/>
      <w:pPr>
        <w:ind w:left="3799" w:hanging="3601"/>
      </w:pPr>
      <w:rPr>
        <w:rFonts w:ascii="Symbol" w:hAnsi="Symbol" w:hint="default"/>
        <w:color w:val="auto"/>
      </w:rPr>
    </w:lvl>
    <w:lvl w:ilvl="2">
      <w:start w:val="1"/>
      <w:numFmt w:val="none"/>
      <w:lvlRestart w:val="0"/>
      <w:lvlText w:val=""/>
      <w:lvlJc w:val="left"/>
      <w:pPr>
        <w:ind w:left="3799" w:hanging="3601"/>
      </w:pPr>
      <w:rPr>
        <w:rFonts w:hint="default"/>
      </w:rPr>
    </w:lvl>
    <w:lvl w:ilvl="3">
      <w:start w:val="1"/>
      <w:numFmt w:val="none"/>
      <w:lvlRestart w:val="0"/>
      <w:lvlText w:val=""/>
      <w:lvlJc w:val="left"/>
      <w:pPr>
        <w:ind w:left="3799" w:hanging="3601"/>
      </w:pPr>
      <w:rPr>
        <w:rFonts w:hint="default"/>
      </w:rPr>
    </w:lvl>
    <w:lvl w:ilvl="4">
      <w:start w:val="1"/>
      <w:numFmt w:val="none"/>
      <w:lvlRestart w:val="0"/>
      <w:lvlText w:val=""/>
      <w:lvlJc w:val="left"/>
      <w:pPr>
        <w:ind w:left="3799" w:hanging="3601"/>
      </w:pPr>
      <w:rPr>
        <w:rFonts w:hint="default"/>
      </w:rPr>
    </w:lvl>
    <w:lvl w:ilvl="5">
      <w:start w:val="1"/>
      <w:numFmt w:val="none"/>
      <w:lvlRestart w:val="0"/>
      <w:lvlText w:val=""/>
      <w:lvlJc w:val="left"/>
      <w:pPr>
        <w:ind w:left="3799" w:hanging="3601"/>
      </w:pPr>
      <w:rPr>
        <w:rFonts w:hint="default"/>
      </w:rPr>
    </w:lvl>
    <w:lvl w:ilvl="6">
      <w:start w:val="1"/>
      <w:numFmt w:val="none"/>
      <w:lvlRestart w:val="0"/>
      <w:lvlText w:val=""/>
      <w:lvlJc w:val="left"/>
      <w:pPr>
        <w:ind w:left="3799" w:hanging="3601"/>
      </w:pPr>
      <w:rPr>
        <w:rFonts w:hint="default"/>
      </w:rPr>
    </w:lvl>
    <w:lvl w:ilvl="7">
      <w:start w:val="1"/>
      <w:numFmt w:val="none"/>
      <w:lvlRestart w:val="0"/>
      <w:lvlText w:val=""/>
      <w:lvlJc w:val="left"/>
      <w:pPr>
        <w:ind w:left="3799" w:hanging="3601"/>
      </w:pPr>
      <w:rPr>
        <w:rFonts w:hint="default"/>
      </w:rPr>
    </w:lvl>
    <w:lvl w:ilvl="8">
      <w:start w:val="1"/>
      <w:numFmt w:val="none"/>
      <w:lvlRestart w:val="0"/>
      <w:lvlText w:val=""/>
      <w:lvlJc w:val="left"/>
      <w:pPr>
        <w:ind w:left="3799" w:hanging="3601"/>
      </w:pPr>
      <w:rPr>
        <w:rFonts w:hint="default"/>
      </w:rPr>
    </w:lvl>
  </w:abstractNum>
  <w:abstractNum w:abstractNumId="30">
    <w:nsid w:val="43195147"/>
    <w:multiLevelType w:val="multilevel"/>
    <w:tmpl w:val="B04275A2"/>
    <w:styleLink w:val="SKMTableNumberedList2"/>
    <w:lvl w:ilvl="0">
      <w:start w:val="1"/>
      <w:numFmt w:val="lowerLetter"/>
      <w:pStyle w:val="Tableletter"/>
      <w:lvlText w:val="%1)"/>
      <w:lvlJc w:val="left"/>
      <w:pPr>
        <w:ind w:left="284" w:hanging="284"/>
      </w:pPr>
      <w:rPr>
        <w:rFonts w:hint="default"/>
      </w:rPr>
    </w:lvl>
    <w:lvl w:ilvl="1">
      <w:start w:val="1"/>
      <w:numFmt w:val="none"/>
      <w:lvlText w:val=""/>
      <w:lvlJc w:val="left"/>
      <w:pPr>
        <w:ind w:left="284" w:hanging="284"/>
      </w:pPr>
      <w:rPr>
        <w:rFonts w:hint="default"/>
      </w:rPr>
    </w:lvl>
    <w:lvl w:ilvl="2">
      <w:start w:val="1"/>
      <w:numFmt w:val="none"/>
      <w:lvlRestart w:val="1"/>
      <w:lvlText w:val=""/>
      <w:lvlJc w:val="left"/>
      <w:pPr>
        <w:ind w:left="284" w:hanging="284"/>
      </w:pPr>
      <w:rPr>
        <w:rFonts w:hint="default"/>
      </w:rPr>
    </w:lvl>
    <w:lvl w:ilvl="3">
      <w:start w:val="1"/>
      <w:numFmt w:val="none"/>
      <w:lvlRestart w:val="1"/>
      <w:lvlText w:val=""/>
      <w:lvlJc w:val="left"/>
      <w:pPr>
        <w:ind w:left="284" w:hanging="284"/>
      </w:pPr>
      <w:rPr>
        <w:rFonts w:hint="default"/>
      </w:rPr>
    </w:lvl>
    <w:lvl w:ilvl="4">
      <w:start w:val="1"/>
      <w:numFmt w:val="none"/>
      <w:lvlRestart w:val="1"/>
      <w:lvlText w:val=""/>
      <w:lvlJc w:val="left"/>
      <w:pPr>
        <w:ind w:left="284" w:hanging="284"/>
      </w:pPr>
      <w:rPr>
        <w:rFonts w:hint="default"/>
      </w:rPr>
    </w:lvl>
    <w:lvl w:ilvl="5">
      <w:start w:val="1"/>
      <w:numFmt w:val="none"/>
      <w:lvlRestart w:val="1"/>
      <w:lvlText w:val=""/>
      <w:lvlJc w:val="left"/>
      <w:pPr>
        <w:ind w:left="284" w:hanging="284"/>
      </w:pPr>
      <w:rPr>
        <w:rFonts w:hint="default"/>
      </w:rPr>
    </w:lvl>
    <w:lvl w:ilvl="6">
      <w:start w:val="1"/>
      <w:numFmt w:val="none"/>
      <w:lvlRestart w:val="1"/>
      <w:lvlText w:val=""/>
      <w:lvlJc w:val="left"/>
      <w:pPr>
        <w:ind w:left="284" w:hanging="284"/>
      </w:pPr>
      <w:rPr>
        <w:rFonts w:hint="default"/>
      </w:rPr>
    </w:lvl>
    <w:lvl w:ilvl="7">
      <w:start w:val="1"/>
      <w:numFmt w:val="none"/>
      <w:lvlRestart w:val="1"/>
      <w:lvlText w:val=""/>
      <w:lvlJc w:val="left"/>
      <w:pPr>
        <w:ind w:left="284" w:hanging="284"/>
      </w:pPr>
      <w:rPr>
        <w:rFonts w:hint="default"/>
      </w:rPr>
    </w:lvl>
    <w:lvl w:ilvl="8">
      <w:start w:val="1"/>
      <w:numFmt w:val="none"/>
      <w:lvlRestart w:val="1"/>
      <w:lvlText w:val=""/>
      <w:lvlJc w:val="left"/>
      <w:pPr>
        <w:ind w:left="284" w:hanging="284"/>
      </w:pPr>
      <w:rPr>
        <w:rFonts w:hint="default"/>
      </w:rPr>
    </w:lvl>
  </w:abstractNum>
  <w:abstractNum w:abstractNumId="31">
    <w:nsid w:val="446A46FF"/>
    <w:multiLevelType w:val="multilevel"/>
    <w:tmpl w:val="3BA44F1A"/>
    <w:styleLink w:val="SKMTableList1"/>
    <w:lvl w:ilvl="0">
      <w:start w:val="1"/>
      <w:numFmt w:val="bullet"/>
      <w:pStyle w:val="Tablebullet"/>
      <w:lvlText w:val=""/>
      <w:lvlJc w:val="left"/>
      <w:pPr>
        <w:ind w:left="284" w:hanging="284"/>
      </w:pPr>
      <w:rPr>
        <w:rFonts w:ascii="Symbol" w:hAnsi="Symbol" w:hint="default"/>
        <w:color w:val="auto"/>
      </w:rPr>
    </w:lvl>
    <w:lvl w:ilvl="1">
      <w:start w:val="1"/>
      <w:numFmt w:val="none"/>
      <w:lvlText w:val=""/>
      <w:lvlJc w:val="left"/>
      <w:pPr>
        <w:ind w:left="284" w:hanging="284"/>
      </w:pPr>
      <w:rPr>
        <w:rFonts w:hint="default"/>
      </w:rPr>
    </w:lvl>
    <w:lvl w:ilvl="2">
      <w:start w:val="1"/>
      <w:numFmt w:val="none"/>
      <w:lvlRestart w:val="1"/>
      <w:lvlText w:val=""/>
      <w:lvlJc w:val="left"/>
      <w:pPr>
        <w:ind w:left="284" w:hanging="284"/>
      </w:pPr>
      <w:rPr>
        <w:rFonts w:hint="default"/>
      </w:rPr>
    </w:lvl>
    <w:lvl w:ilvl="3">
      <w:start w:val="1"/>
      <w:numFmt w:val="none"/>
      <w:lvlRestart w:val="1"/>
      <w:lvlText w:val=""/>
      <w:lvlJc w:val="left"/>
      <w:pPr>
        <w:ind w:left="284" w:hanging="284"/>
      </w:pPr>
      <w:rPr>
        <w:rFonts w:hint="default"/>
      </w:rPr>
    </w:lvl>
    <w:lvl w:ilvl="4">
      <w:start w:val="1"/>
      <w:numFmt w:val="none"/>
      <w:lvlRestart w:val="1"/>
      <w:lvlText w:val=""/>
      <w:lvlJc w:val="left"/>
      <w:pPr>
        <w:ind w:left="284" w:hanging="284"/>
      </w:pPr>
      <w:rPr>
        <w:rFonts w:hint="default"/>
      </w:rPr>
    </w:lvl>
    <w:lvl w:ilvl="5">
      <w:start w:val="1"/>
      <w:numFmt w:val="none"/>
      <w:lvlRestart w:val="1"/>
      <w:lvlText w:val=""/>
      <w:lvlJc w:val="left"/>
      <w:pPr>
        <w:ind w:left="284" w:hanging="284"/>
      </w:pPr>
      <w:rPr>
        <w:rFonts w:hint="default"/>
      </w:rPr>
    </w:lvl>
    <w:lvl w:ilvl="6">
      <w:start w:val="1"/>
      <w:numFmt w:val="none"/>
      <w:lvlRestart w:val="1"/>
      <w:lvlText w:val=""/>
      <w:lvlJc w:val="left"/>
      <w:pPr>
        <w:ind w:left="284" w:hanging="284"/>
      </w:pPr>
      <w:rPr>
        <w:rFonts w:hint="default"/>
      </w:rPr>
    </w:lvl>
    <w:lvl w:ilvl="7">
      <w:start w:val="1"/>
      <w:numFmt w:val="none"/>
      <w:lvlRestart w:val="1"/>
      <w:lvlText w:val=""/>
      <w:lvlJc w:val="left"/>
      <w:pPr>
        <w:ind w:left="284" w:hanging="284"/>
      </w:pPr>
      <w:rPr>
        <w:rFonts w:hint="default"/>
      </w:rPr>
    </w:lvl>
    <w:lvl w:ilvl="8">
      <w:start w:val="1"/>
      <w:numFmt w:val="none"/>
      <w:lvlRestart w:val="1"/>
      <w:lvlText w:val=""/>
      <w:lvlJc w:val="left"/>
      <w:pPr>
        <w:ind w:left="284" w:hanging="284"/>
      </w:pPr>
      <w:rPr>
        <w:rFonts w:hint="default"/>
      </w:rPr>
    </w:lvl>
  </w:abstractNum>
  <w:abstractNum w:abstractNumId="32">
    <w:nsid w:val="451A3559"/>
    <w:multiLevelType w:val="multilevel"/>
    <w:tmpl w:val="38708548"/>
    <w:numStyleLink w:val="SKMNumberedList3"/>
  </w:abstractNum>
  <w:abstractNum w:abstractNumId="33">
    <w:nsid w:val="46D23207"/>
    <w:multiLevelType w:val="multilevel"/>
    <w:tmpl w:val="BFACDB88"/>
    <w:styleLink w:val="SKMSidebarList"/>
    <w:lvl w:ilvl="0">
      <w:start w:val="1"/>
      <w:numFmt w:val="bullet"/>
      <w:pStyle w:val="Sidebarbullet"/>
      <w:lvlText w:val=""/>
      <w:lvlJc w:val="left"/>
      <w:pPr>
        <w:ind w:left="284" w:hanging="284"/>
      </w:pPr>
      <w:rPr>
        <w:rFonts w:ascii="Symbol" w:hAnsi="Symbol" w:hint="default"/>
        <w:color w:val="auto"/>
      </w:rPr>
    </w:lvl>
    <w:lvl w:ilvl="1">
      <w:start w:val="1"/>
      <w:numFmt w:val="none"/>
      <w:lvlRestart w:val="0"/>
      <w:lvlText w:val=""/>
      <w:lvlJc w:val="left"/>
      <w:pPr>
        <w:ind w:left="284" w:firstLine="76"/>
      </w:pPr>
      <w:rPr>
        <w:rFonts w:hint="default"/>
      </w:rPr>
    </w:lvl>
    <w:lvl w:ilvl="2">
      <w:start w:val="1"/>
      <w:numFmt w:val="none"/>
      <w:lvlRestart w:val="0"/>
      <w:lvlText w:val=""/>
      <w:lvlJc w:val="left"/>
      <w:pPr>
        <w:ind w:left="284" w:hanging="284"/>
      </w:pPr>
      <w:rPr>
        <w:rFonts w:hint="default"/>
      </w:rPr>
    </w:lvl>
    <w:lvl w:ilvl="3">
      <w:start w:val="1"/>
      <w:numFmt w:val="none"/>
      <w:lvlRestart w:val="0"/>
      <w:lvlText w:val=""/>
      <w:lvlJc w:val="left"/>
      <w:pPr>
        <w:ind w:left="284" w:hanging="284"/>
      </w:pPr>
      <w:rPr>
        <w:rFonts w:hint="default"/>
      </w:rPr>
    </w:lvl>
    <w:lvl w:ilvl="4">
      <w:start w:val="1"/>
      <w:numFmt w:val="none"/>
      <w:lvlRestart w:val="0"/>
      <w:lvlText w:val=""/>
      <w:lvlJc w:val="left"/>
      <w:pPr>
        <w:ind w:left="284" w:hanging="284"/>
      </w:pPr>
      <w:rPr>
        <w:rFonts w:hint="default"/>
      </w:rPr>
    </w:lvl>
    <w:lvl w:ilvl="5">
      <w:start w:val="1"/>
      <w:numFmt w:val="none"/>
      <w:lvlRestart w:val="0"/>
      <w:lvlText w:val=""/>
      <w:lvlJc w:val="left"/>
      <w:pPr>
        <w:ind w:left="284" w:hanging="284"/>
      </w:pPr>
      <w:rPr>
        <w:rFonts w:hint="default"/>
      </w:rPr>
    </w:lvl>
    <w:lvl w:ilvl="6">
      <w:start w:val="1"/>
      <w:numFmt w:val="none"/>
      <w:lvlRestart w:val="0"/>
      <w:lvlText w:val=""/>
      <w:lvlJc w:val="left"/>
      <w:pPr>
        <w:ind w:left="284" w:hanging="284"/>
      </w:pPr>
      <w:rPr>
        <w:rFonts w:hint="default"/>
      </w:rPr>
    </w:lvl>
    <w:lvl w:ilvl="7">
      <w:start w:val="1"/>
      <w:numFmt w:val="none"/>
      <w:lvlRestart w:val="0"/>
      <w:lvlText w:val=""/>
      <w:lvlJc w:val="left"/>
      <w:pPr>
        <w:ind w:left="284" w:hanging="284"/>
      </w:pPr>
      <w:rPr>
        <w:rFonts w:hint="default"/>
      </w:rPr>
    </w:lvl>
    <w:lvl w:ilvl="8">
      <w:start w:val="1"/>
      <w:numFmt w:val="none"/>
      <w:lvlRestart w:val="0"/>
      <w:lvlText w:val=""/>
      <w:lvlJc w:val="left"/>
      <w:pPr>
        <w:ind w:left="284" w:hanging="284"/>
      </w:pPr>
      <w:rPr>
        <w:rFonts w:hint="default"/>
      </w:rPr>
    </w:lvl>
  </w:abstractNum>
  <w:abstractNum w:abstractNumId="34">
    <w:nsid w:val="495D4230"/>
    <w:multiLevelType w:val="hybridMultilevel"/>
    <w:tmpl w:val="AF445426"/>
    <w:lvl w:ilvl="0" w:tplc="49908FDE">
      <w:start w:val="1"/>
      <w:numFmt w:val="bullet"/>
      <w:pStyle w:val="Para2bullet"/>
      <w:lvlText w:val=""/>
      <w:lvlJc w:val="left"/>
      <w:pPr>
        <w:ind w:left="1211" w:hanging="360"/>
      </w:pPr>
      <w:rPr>
        <w:rFonts w:ascii="Symbol" w:hAnsi="Symbol" w:hint="default"/>
        <w:sz w:val="18"/>
      </w:rPr>
    </w:lvl>
    <w:lvl w:ilvl="1" w:tplc="0C090003">
      <w:start w:val="1"/>
      <w:numFmt w:val="bullet"/>
      <w:pStyle w:val="Para2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35">
    <w:nsid w:val="4C883A9E"/>
    <w:multiLevelType w:val="hybridMultilevel"/>
    <w:tmpl w:val="63505850"/>
    <w:lvl w:ilvl="0" w:tplc="6100C628">
      <w:start w:val="1"/>
      <w:numFmt w:val="decimal"/>
      <w:pStyle w:val="Para2number"/>
      <w:lvlText w:val="%1)"/>
      <w:lvlJc w:val="left"/>
      <w:pPr>
        <w:ind w:left="1211" w:hanging="360"/>
      </w:pPr>
    </w:lvl>
    <w:lvl w:ilvl="1" w:tplc="0C090019" w:tentative="1">
      <w:start w:val="1"/>
      <w:numFmt w:val="lowerLetter"/>
      <w:pStyle w:val="Para2number"/>
      <w:lvlText w:val="%2."/>
      <w:lvlJc w:val="left"/>
      <w:pPr>
        <w:ind w:left="2291" w:hanging="360"/>
      </w:pPr>
    </w:lvl>
    <w:lvl w:ilvl="2" w:tplc="0C09001B" w:tentative="1">
      <w:start w:val="1"/>
      <w:numFmt w:val="lowerRoman"/>
      <w:lvlText w:val="%3."/>
      <w:lvlJc w:val="right"/>
      <w:pPr>
        <w:ind w:left="3011" w:hanging="180"/>
      </w:pPr>
    </w:lvl>
    <w:lvl w:ilvl="3" w:tplc="0C09000F" w:tentative="1">
      <w:start w:val="1"/>
      <w:numFmt w:val="decimal"/>
      <w:lvlText w:val="%4."/>
      <w:lvlJc w:val="left"/>
      <w:pPr>
        <w:ind w:left="3731" w:hanging="360"/>
      </w:pPr>
    </w:lvl>
    <w:lvl w:ilvl="4" w:tplc="0C090019" w:tentative="1">
      <w:start w:val="1"/>
      <w:numFmt w:val="lowerLetter"/>
      <w:lvlText w:val="%5."/>
      <w:lvlJc w:val="left"/>
      <w:pPr>
        <w:ind w:left="4451" w:hanging="360"/>
      </w:pPr>
    </w:lvl>
    <w:lvl w:ilvl="5" w:tplc="0C09001B" w:tentative="1">
      <w:start w:val="1"/>
      <w:numFmt w:val="lowerRoman"/>
      <w:lvlText w:val="%6."/>
      <w:lvlJc w:val="right"/>
      <w:pPr>
        <w:ind w:left="5171" w:hanging="180"/>
      </w:pPr>
    </w:lvl>
    <w:lvl w:ilvl="6" w:tplc="0C09000F" w:tentative="1">
      <w:start w:val="1"/>
      <w:numFmt w:val="decimal"/>
      <w:lvlText w:val="%7."/>
      <w:lvlJc w:val="left"/>
      <w:pPr>
        <w:ind w:left="5891" w:hanging="360"/>
      </w:pPr>
    </w:lvl>
    <w:lvl w:ilvl="7" w:tplc="0C090019" w:tentative="1">
      <w:start w:val="1"/>
      <w:numFmt w:val="lowerLetter"/>
      <w:lvlText w:val="%8."/>
      <w:lvlJc w:val="left"/>
      <w:pPr>
        <w:ind w:left="6611" w:hanging="360"/>
      </w:pPr>
    </w:lvl>
    <w:lvl w:ilvl="8" w:tplc="0C09001B" w:tentative="1">
      <w:start w:val="1"/>
      <w:numFmt w:val="lowerRoman"/>
      <w:lvlText w:val="%9."/>
      <w:lvlJc w:val="right"/>
      <w:pPr>
        <w:ind w:left="7331" w:hanging="180"/>
      </w:pPr>
    </w:lvl>
  </w:abstractNum>
  <w:abstractNum w:abstractNumId="36">
    <w:nsid w:val="507E32E8"/>
    <w:multiLevelType w:val="hybridMultilevel"/>
    <w:tmpl w:val="776A9F38"/>
    <w:lvl w:ilvl="0" w:tplc="F940D1D6">
      <w:start w:val="1"/>
      <w:numFmt w:val="bullet"/>
      <w:pStyle w:val="Para2dash"/>
      <w:lvlText w:val="-"/>
      <w:lvlJc w:val="left"/>
      <w:pPr>
        <w:ind w:left="1211" w:hanging="360"/>
      </w:pPr>
      <w:rPr>
        <w:rFonts w:ascii="Arial" w:hAnsi="Arial" w:hint="default"/>
        <w:sz w:val="18"/>
      </w:rPr>
    </w:lvl>
    <w:lvl w:ilvl="1" w:tplc="0C090003">
      <w:start w:val="1"/>
      <w:numFmt w:val="bullet"/>
      <w:pStyle w:val="Para2dash"/>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37">
    <w:nsid w:val="57F35BEF"/>
    <w:multiLevelType w:val="multilevel"/>
    <w:tmpl w:val="BA62B030"/>
    <w:numStyleLink w:val="SKMBulletList2"/>
  </w:abstractNum>
  <w:abstractNum w:abstractNumId="38">
    <w:nsid w:val="5BC011D6"/>
    <w:multiLevelType w:val="singleLevel"/>
    <w:tmpl w:val="8AB4A292"/>
    <w:lvl w:ilvl="0">
      <w:start w:val="1"/>
      <w:numFmt w:val="bullet"/>
      <w:pStyle w:val="CoverSubject"/>
      <w:lvlText w:val=""/>
      <w:lvlJc w:val="left"/>
      <w:pPr>
        <w:tabs>
          <w:tab w:val="num" w:pos="539"/>
        </w:tabs>
        <w:ind w:left="539" w:hanging="539"/>
      </w:pPr>
      <w:rPr>
        <w:rFonts w:ascii="Wingdings" w:hAnsi="Wingdings" w:hint="default"/>
        <w:sz w:val="16"/>
      </w:rPr>
    </w:lvl>
  </w:abstractNum>
  <w:abstractNum w:abstractNumId="39">
    <w:nsid w:val="5C7C4E77"/>
    <w:multiLevelType w:val="multilevel"/>
    <w:tmpl w:val="FCFCEE66"/>
    <w:lvl w:ilvl="0">
      <w:start w:val="1"/>
      <w:numFmt w:val="decimal"/>
      <w:pStyle w:val="Heading1"/>
      <w:lvlText w:val="%1."/>
      <w:lvlJc w:val="left"/>
      <w:pPr>
        <w:ind w:left="851" w:hanging="851"/>
      </w:pPr>
      <w:rPr>
        <w:rFonts w:hint="default"/>
        <w:b/>
        <w:bCs/>
        <w:i w:val="0"/>
        <w:iCs w:val="0"/>
        <w:color w:val="42145F"/>
        <w:sz w:val="32"/>
        <w:szCs w:val="32"/>
      </w:rPr>
    </w:lvl>
    <w:lvl w:ilvl="1">
      <w:start w:val="1"/>
      <w:numFmt w:val="decimal"/>
      <w:pStyle w:val="Heading2"/>
      <w:lvlText w:val="%1.%2"/>
      <w:lvlJc w:val="left"/>
      <w:pPr>
        <w:ind w:left="851" w:hanging="851"/>
      </w:pPr>
      <w:rPr>
        <w:rFonts w:hint="default"/>
      </w:rPr>
    </w:lvl>
    <w:lvl w:ilvl="2">
      <w:start w:val="1"/>
      <w:numFmt w:val="decimal"/>
      <w:pStyle w:val="Heading3"/>
      <w:lvlText w:val="%1.%2.%3"/>
      <w:lvlJc w:val="left"/>
      <w:pPr>
        <w:ind w:left="851" w:hanging="851"/>
      </w:pPr>
      <w:rPr>
        <w:rFonts w:hint="default"/>
      </w:rPr>
    </w:lvl>
    <w:lvl w:ilvl="3">
      <w:start w:val="1"/>
      <w:numFmt w:val="decimal"/>
      <w:pStyle w:val="Heading4"/>
      <w:lvlText w:val="%1.%2.%3.%4"/>
      <w:lvlJc w:val="left"/>
      <w:pPr>
        <w:ind w:left="851" w:hanging="851"/>
      </w:pPr>
      <w:rPr>
        <w:rFonts w:hint="default"/>
      </w:rPr>
    </w:lvl>
    <w:lvl w:ilvl="4">
      <w:start w:val="1"/>
      <w:numFmt w:val="decimal"/>
      <w:pStyle w:val="Heading5"/>
      <w:lvlText w:val="%1.%2.%3.%4.%5"/>
      <w:lvlJc w:val="left"/>
      <w:pPr>
        <w:ind w:left="851" w:hanging="851"/>
      </w:pPr>
      <w:rPr>
        <w:rFonts w:hint="default"/>
      </w:rPr>
    </w:lvl>
    <w:lvl w:ilvl="5">
      <w:start w:val="1"/>
      <w:numFmt w:val="decimal"/>
      <w:pStyle w:val="Heading6"/>
      <w:lvlText w:val="%1.%2.%3.%4.%5.%6"/>
      <w:lvlJc w:val="left"/>
      <w:pPr>
        <w:ind w:left="851" w:hanging="851"/>
      </w:pPr>
      <w:rPr>
        <w:rFonts w:ascii="Arial Narrow" w:hAnsi="Arial Narrow" w:hint="default"/>
        <w:b/>
        <w:i w:val="0"/>
        <w:sz w:val="20"/>
      </w:rPr>
    </w:lvl>
    <w:lvl w:ilvl="6">
      <w:numFmt w:val="decimal"/>
      <w:pStyle w:val="Heading7"/>
      <w:lvlText w:val="%1.%2.%3.%4.%5.%6.%7"/>
      <w:lvlJc w:val="left"/>
      <w:pPr>
        <w:ind w:left="851" w:hanging="851"/>
      </w:pPr>
      <w:rPr>
        <w:rFonts w:ascii="Arial Narrow" w:hAnsi="Arial Narrow" w:hint="default"/>
        <w:b/>
        <w:i w:val="0"/>
        <w:sz w:val="20"/>
      </w:rPr>
    </w:lvl>
    <w:lvl w:ilvl="7">
      <w:numFmt w:val="decimal"/>
      <w:pStyle w:val="Heading8"/>
      <w:lvlText w:val="%1.%2.%3.%4.%5.%6.%8"/>
      <w:lvlJc w:val="left"/>
      <w:pPr>
        <w:ind w:left="851" w:hanging="851"/>
      </w:pPr>
      <w:rPr>
        <w:rFonts w:ascii="Arial Narrow" w:hAnsi="Arial Narrow" w:hint="default"/>
        <w:b/>
        <w:i w:val="0"/>
        <w:sz w:val="20"/>
      </w:rPr>
    </w:lvl>
    <w:lvl w:ilvl="8">
      <w:numFmt w:val="none"/>
      <w:lvlRestart w:val="0"/>
      <w:suff w:val="nothing"/>
      <w:lvlText w:val=""/>
      <w:lvlJc w:val="left"/>
      <w:pPr>
        <w:ind w:left="-32767" w:firstLine="0"/>
      </w:pPr>
      <w:rPr>
        <w:rFonts w:hint="default"/>
      </w:rPr>
    </w:lvl>
  </w:abstractNum>
  <w:abstractNum w:abstractNumId="40">
    <w:nsid w:val="6144297B"/>
    <w:multiLevelType w:val="multilevel"/>
    <w:tmpl w:val="348EA36E"/>
    <w:styleLink w:val="SKMTableNumberedList1"/>
    <w:lvl w:ilvl="0">
      <w:start w:val="1"/>
      <w:numFmt w:val="decimal"/>
      <w:pStyle w:val="Tablenumber"/>
      <w:lvlText w:val="%1."/>
      <w:lvlJc w:val="left"/>
      <w:pPr>
        <w:ind w:left="284" w:hanging="284"/>
      </w:pPr>
      <w:rPr>
        <w:rFonts w:hint="default"/>
      </w:rPr>
    </w:lvl>
    <w:lvl w:ilvl="1">
      <w:start w:val="1"/>
      <w:numFmt w:val="lowerLetter"/>
      <w:lvlText w:val="%2)"/>
      <w:lvlJc w:val="left"/>
      <w:pPr>
        <w:ind w:left="567" w:hanging="283"/>
      </w:pPr>
      <w:rPr>
        <w:rFonts w:hint="default"/>
      </w:rPr>
    </w:lvl>
    <w:lvl w:ilvl="2">
      <w:start w:val="1"/>
      <w:numFmt w:val="none"/>
      <w:lvlText w:val=""/>
      <w:lvlJc w:val="left"/>
      <w:pPr>
        <w:ind w:left="567" w:hanging="283"/>
      </w:pPr>
      <w:rPr>
        <w:rFonts w:hint="default"/>
      </w:rPr>
    </w:lvl>
    <w:lvl w:ilvl="3">
      <w:start w:val="1"/>
      <w:numFmt w:val="none"/>
      <w:lvlRestart w:val="2"/>
      <w:lvlText w:val=""/>
      <w:lvlJc w:val="left"/>
      <w:pPr>
        <w:ind w:left="567" w:hanging="283"/>
      </w:pPr>
      <w:rPr>
        <w:rFonts w:hint="default"/>
      </w:rPr>
    </w:lvl>
    <w:lvl w:ilvl="4">
      <w:start w:val="1"/>
      <w:numFmt w:val="none"/>
      <w:lvlRestart w:val="2"/>
      <w:lvlText w:val=""/>
      <w:lvlJc w:val="left"/>
      <w:pPr>
        <w:ind w:left="567" w:hanging="283"/>
      </w:pPr>
      <w:rPr>
        <w:rFonts w:hint="default"/>
      </w:rPr>
    </w:lvl>
    <w:lvl w:ilvl="5">
      <w:start w:val="1"/>
      <w:numFmt w:val="none"/>
      <w:lvlRestart w:val="2"/>
      <w:lvlText w:val=""/>
      <w:lvlJc w:val="left"/>
      <w:pPr>
        <w:ind w:left="567" w:hanging="283"/>
      </w:pPr>
      <w:rPr>
        <w:rFonts w:hint="default"/>
      </w:rPr>
    </w:lvl>
    <w:lvl w:ilvl="6">
      <w:start w:val="1"/>
      <w:numFmt w:val="none"/>
      <w:lvlRestart w:val="2"/>
      <w:lvlText w:val=""/>
      <w:lvlJc w:val="left"/>
      <w:pPr>
        <w:ind w:left="567" w:hanging="283"/>
      </w:pPr>
      <w:rPr>
        <w:rFonts w:hint="default"/>
      </w:rPr>
    </w:lvl>
    <w:lvl w:ilvl="7">
      <w:start w:val="1"/>
      <w:numFmt w:val="none"/>
      <w:lvlRestart w:val="2"/>
      <w:lvlText w:val=""/>
      <w:lvlJc w:val="left"/>
      <w:pPr>
        <w:ind w:left="567" w:hanging="283"/>
      </w:pPr>
      <w:rPr>
        <w:rFonts w:hint="default"/>
      </w:rPr>
    </w:lvl>
    <w:lvl w:ilvl="8">
      <w:start w:val="1"/>
      <w:numFmt w:val="none"/>
      <w:lvlRestart w:val="2"/>
      <w:lvlText w:val=""/>
      <w:lvlJc w:val="left"/>
      <w:pPr>
        <w:tabs>
          <w:tab w:val="num" w:pos="2835"/>
        </w:tabs>
        <w:ind w:left="567" w:firstLine="2268"/>
      </w:pPr>
      <w:rPr>
        <w:rFonts w:hint="default"/>
      </w:rPr>
    </w:lvl>
  </w:abstractNum>
  <w:abstractNum w:abstractNumId="41">
    <w:nsid w:val="61B061A8"/>
    <w:multiLevelType w:val="multilevel"/>
    <w:tmpl w:val="5AFCE06A"/>
    <w:styleLink w:val="SKMNarrowList"/>
    <w:lvl w:ilvl="0">
      <w:start w:val="1"/>
      <w:numFmt w:val="bullet"/>
      <w:pStyle w:val="Para0narrowbullet"/>
      <w:lvlText w:val=""/>
      <w:lvlJc w:val="left"/>
      <w:pPr>
        <w:ind w:left="198" w:hanging="198"/>
      </w:pPr>
      <w:rPr>
        <w:rFonts w:ascii="Symbol" w:hAnsi="Symbol" w:hint="default"/>
        <w:color w:val="auto"/>
      </w:rPr>
    </w:lvl>
    <w:lvl w:ilvl="1">
      <w:start w:val="1"/>
      <w:numFmt w:val="bullet"/>
      <w:lvlRestart w:val="0"/>
      <w:pStyle w:val="Para1narrowarrow"/>
      <w:lvlText w:val=""/>
      <w:lvlJc w:val="left"/>
      <w:pPr>
        <w:ind w:left="397" w:hanging="199"/>
      </w:pPr>
      <w:rPr>
        <w:rFonts w:ascii="Symbol" w:hAnsi="Symbol" w:hint="default"/>
        <w:color w:val="auto"/>
      </w:rPr>
    </w:lvl>
    <w:lvl w:ilvl="2">
      <w:start w:val="1"/>
      <w:numFmt w:val="none"/>
      <w:lvlRestart w:val="0"/>
      <w:lvlText w:val=""/>
      <w:lvlJc w:val="left"/>
      <w:pPr>
        <w:ind w:left="397" w:firstLine="0"/>
      </w:pPr>
      <w:rPr>
        <w:rFonts w:hint="default"/>
      </w:rPr>
    </w:lvl>
    <w:lvl w:ilvl="3">
      <w:start w:val="1"/>
      <w:numFmt w:val="none"/>
      <w:lvlRestart w:val="0"/>
      <w:lvlText w:val=""/>
      <w:lvlJc w:val="left"/>
      <w:pPr>
        <w:ind w:left="397" w:firstLine="0"/>
      </w:pPr>
      <w:rPr>
        <w:rFonts w:hint="default"/>
      </w:rPr>
    </w:lvl>
    <w:lvl w:ilvl="4">
      <w:start w:val="1"/>
      <w:numFmt w:val="none"/>
      <w:lvlRestart w:val="0"/>
      <w:lvlText w:val=""/>
      <w:lvlJc w:val="left"/>
      <w:pPr>
        <w:ind w:left="397" w:firstLine="0"/>
      </w:pPr>
      <w:rPr>
        <w:rFonts w:hint="default"/>
      </w:rPr>
    </w:lvl>
    <w:lvl w:ilvl="5">
      <w:start w:val="1"/>
      <w:numFmt w:val="none"/>
      <w:lvlRestart w:val="0"/>
      <w:lvlText w:val=""/>
      <w:lvlJc w:val="left"/>
      <w:pPr>
        <w:ind w:left="397" w:firstLine="0"/>
      </w:pPr>
      <w:rPr>
        <w:rFonts w:hint="default"/>
      </w:rPr>
    </w:lvl>
    <w:lvl w:ilvl="6">
      <w:start w:val="1"/>
      <w:numFmt w:val="none"/>
      <w:lvlRestart w:val="0"/>
      <w:lvlText w:val=""/>
      <w:lvlJc w:val="left"/>
      <w:pPr>
        <w:ind w:left="397" w:firstLine="0"/>
      </w:pPr>
      <w:rPr>
        <w:rFonts w:hint="default"/>
      </w:rPr>
    </w:lvl>
    <w:lvl w:ilvl="7">
      <w:start w:val="1"/>
      <w:numFmt w:val="none"/>
      <w:lvlRestart w:val="0"/>
      <w:lvlText w:val=""/>
      <w:lvlJc w:val="left"/>
      <w:pPr>
        <w:ind w:left="397" w:firstLine="0"/>
      </w:pPr>
      <w:rPr>
        <w:rFonts w:hint="default"/>
      </w:rPr>
    </w:lvl>
    <w:lvl w:ilvl="8">
      <w:start w:val="1"/>
      <w:numFmt w:val="none"/>
      <w:lvlRestart w:val="0"/>
      <w:lvlText w:val=""/>
      <w:lvlJc w:val="left"/>
      <w:pPr>
        <w:ind w:left="397" w:firstLine="0"/>
      </w:pPr>
      <w:rPr>
        <w:rFonts w:hint="default"/>
      </w:rPr>
    </w:lvl>
  </w:abstractNum>
  <w:abstractNum w:abstractNumId="42">
    <w:nsid w:val="633D6386"/>
    <w:multiLevelType w:val="multilevel"/>
    <w:tmpl w:val="55B43E0E"/>
    <w:lvl w:ilvl="0">
      <w:start w:val="1"/>
      <w:numFmt w:val="upperLetter"/>
      <w:pStyle w:val="Heading9"/>
      <w:suff w:val="space"/>
      <w:lvlText w:val="Appendix %1."/>
      <w:lvlJc w:val="left"/>
      <w:pPr>
        <w:ind w:left="360" w:hanging="360"/>
      </w:pPr>
      <w:rPr>
        <w:rFonts w:ascii="Arial Narrow" w:hAnsi="Arial Narrow" w:hint="default"/>
        <w:b/>
        <w:i w:val="0"/>
        <w:sz w:val="32"/>
      </w:rPr>
    </w:lvl>
    <w:lvl w:ilvl="1">
      <w:start w:val="1"/>
      <w:numFmt w:val="decimal"/>
      <w:pStyle w:val="Appendixsubheading1"/>
      <w:lvlText w:val="%1.%2"/>
      <w:lvlJc w:val="left"/>
      <w:pPr>
        <w:ind w:left="851" w:hanging="851"/>
      </w:pPr>
      <w:rPr>
        <w:rFonts w:ascii="Arial Narrow" w:hAnsi="Arial Narrow" w:hint="default"/>
        <w:b/>
        <w:i w:val="0"/>
        <w:sz w:val="24"/>
      </w:rPr>
    </w:lvl>
    <w:lvl w:ilvl="2">
      <w:start w:val="1"/>
      <w:numFmt w:val="decimal"/>
      <w:pStyle w:val="Appendixsubheading2"/>
      <w:lvlText w:val="%1.%2.%3"/>
      <w:lvlJc w:val="left"/>
      <w:pPr>
        <w:ind w:left="851" w:hanging="851"/>
      </w:pPr>
      <w:rPr>
        <w:rFonts w:ascii="Arial Narrow" w:hAnsi="Arial Narrow" w:hint="default"/>
        <w:b/>
        <w:i w:val="0"/>
        <w:sz w:val="20"/>
      </w:rPr>
    </w:lvl>
    <w:lvl w:ilvl="3">
      <w:numFmt w:val="none"/>
      <w:lvlRestart w:val="0"/>
      <w:suff w:val="nothing"/>
      <w:lvlText w:val=""/>
      <w:lvlJc w:val="left"/>
      <w:pPr>
        <w:ind w:left="-32767" w:firstLine="32767"/>
      </w:pPr>
      <w:rPr>
        <w:rFonts w:ascii="Arial Narrow" w:hAnsi="Arial Narrow" w:hint="default"/>
        <w:b/>
        <w:i w:val="0"/>
        <w:sz w:val="20"/>
      </w:rPr>
    </w:lvl>
    <w:lvl w:ilvl="4">
      <w:numFmt w:val="none"/>
      <w:lvlRestart w:val="0"/>
      <w:suff w:val="nothing"/>
      <w:lvlText w:val=""/>
      <w:lvlJc w:val="left"/>
      <w:pPr>
        <w:ind w:left="-32767" w:firstLine="32767"/>
      </w:pPr>
      <w:rPr>
        <w:rFonts w:ascii="Arial Narrow" w:hAnsi="Arial Narrow" w:hint="default"/>
        <w:b/>
        <w:i w:val="0"/>
        <w:sz w:val="20"/>
      </w:rPr>
    </w:lvl>
    <w:lvl w:ilvl="5">
      <w:numFmt w:val="none"/>
      <w:lvlRestart w:val="0"/>
      <w:suff w:val="nothing"/>
      <w:lvlText w:val=""/>
      <w:lvlJc w:val="left"/>
      <w:pPr>
        <w:ind w:left="-32767" w:firstLine="0"/>
      </w:pPr>
      <w:rPr>
        <w:rFonts w:hint="default"/>
      </w:rPr>
    </w:lvl>
    <w:lvl w:ilvl="6">
      <w:numFmt w:val="none"/>
      <w:lvlRestart w:val="0"/>
      <w:suff w:val="nothing"/>
      <w:lvlText w:val=""/>
      <w:lvlJc w:val="left"/>
      <w:pPr>
        <w:ind w:left="-32767" w:firstLine="0"/>
      </w:pPr>
      <w:rPr>
        <w:rFonts w:hint="default"/>
      </w:rPr>
    </w:lvl>
    <w:lvl w:ilvl="7">
      <w:numFmt w:val="none"/>
      <w:lvlRestart w:val="0"/>
      <w:suff w:val="nothing"/>
      <w:lvlText w:val=""/>
      <w:lvlJc w:val="left"/>
      <w:pPr>
        <w:ind w:left="-32767" w:firstLine="0"/>
      </w:pPr>
      <w:rPr>
        <w:rFonts w:hint="default"/>
      </w:rPr>
    </w:lvl>
    <w:lvl w:ilvl="8">
      <w:numFmt w:val="none"/>
      <w:lvlRestart w:val="0"/>
      <w:suff w:val="nothing"/>
      <w:lvlText w:val=""/>
      <w:lvlJc w:val="left"/>
      <w:pPr>
        <w:ind w:left="-32767" w:firstLine="0"/>
      </w:pPr>
      <w:rPr>
        <w:rFonts w:hint="default"/>
      </w:rPr>
    </w:lvl>
  </w:abstractNum>
  <w:abstractNum w:abstractNumId="43">
    <w:nsid w:val="6B04426D"/>
    <w:multiLevelType w:val="singleLevel"/>
    <w:tmpl w:val="5D16ACFC"/>
    <w:lvl w:ilvl="0">
      <w:start w:val="1"/>
      <w:numFmt w:val="bullet"/>
      <w:pStyle w:val="TableFontbullet"/>
      <w:lvlText w:val=""/>
      <w:lvlJc w:val="left"/>
      <w:pPr>
        <w:tabs>
          <w:tab w:val="num" w:pos="397"/>
        </w:tabs>
        <w:ind w:left="397" w:hanging="397"/>
      </w:pPr>
      <w:rPr>
        <w:rFonts w:ascii="Wingdings" w:hAnsi="Wingdings" w:hint="default"/>
        <w:sz w:val="12"/>
      </w:rPr>
    </w:lvl>
  </w:abstractNum>
  <w:abstractNum w:abstractNumId="44">
    <w:nsid w:val="6C6953F6"/>
    <w:multiLevelType w:val="hybridMultilevel"/>
    <w:tmpl w:val="860A9DF6"/>
    <w:lvl w:ilvl="0" w:tplc="0C090001">
      <w:start w:val="1"/>
      <w:numFmt w:val="bullet"/>
      <w:lvlText w:val=""/>
      <w:lvlJc w:val="left"/>
      <w:pPr>
        <w:ind w:left="774" w:hanging="360"/>
      </w:pPr>
      <w:rPr>
        <w:rFonts w:ascii="Symbol" w:hAnsi="Symbol" w:hint="default"/>
      </w:rPr>
    </w:lvl>
    <w:lvl w:ilvl="1" w:tplc="0C090003" w:tentative="1">
      <w:start w:val="1"/>
      <w:numFmt w:val="bullet"/>
      <w:lvlText w:val="o"/>
      <w:lvlJc w:val="left"/>
      <w:pPr>
        <w:ind w:left="1494" w:hanging="360"/>
      </w:pPr>
      <w:rPr>
        <w:rFonts w:ascii="Courier New" w:hAnsi="Courier New" w:cs="Courier New" w:hint="default"/>
      </w:rPr>
    </w:lvl>
    <w:lvl w:ilvl="2" w:tplc="0C090005" w:tentative="1">
      <w:start w:val="1"/>
      <w:numFmt w:val="bullet"/>
      <w:lvlText w:val=""/>
      <w:lvlJc w:val="left"/>
      <w:pPr>
        <w:ind w:left="2214" w:hanging="360"/>
      </w:pPr>
      <w:rPr>
        <w:rFonts w:ascii="Wingdings" w:hAnsi="Wingdings" w:hint="default"/>
      </w:rPr>
    </w:lvl>
    <w:lvl w:ilvl="3" w:tplc="0C090001" w:tentative="1">
      <w:start w:val="1"/>
      <w:numFmt w:val="bullet"/>
      <w:lvlText w:val=""/>
      <w:lvlJc w:val="left"/>
      <w:pPr>
        <w:ind w:left="2934" w:hanging="360"/>
      </w:pPr>
      <w:rPr>
        <w:rFonts w:ascii="Symbol" w:hAnsi="Symbol" w:hint="default"/>
      </w:rPr>
    </w:lvl>
    <w:lvl w:ilvl="4" w:tplc="0C090003" w:tentative="1">
      <w:start w:val="1"/>
      <w:numFmt w:val="bullet"/>
      <w:lvlText w:val="o"/>
      <w:lvlJc w:val="left"/>
      <w:pPr>
        <w:ind w:left="3654" w:hanging="360"/>
      </w:pPr>
      <w:rPr>
        <w:rFonts w:ascii="Courier New" w:hAnsi="Courier New" w:cs="Courier New" w:hint="default"/>
      </w:rPr>
    </w:lvl>
    <w:lvl w:ilvl="5" w:tplc="0C090005" w:tentative="1">
      <w:start w:val="1"/>
      <w:numFmt w:val="bullet"/>
      <w:lvlText w:val=""/>
      <w:lvlJc w:val="left"/>
      <w:pPr>
        <w:ind w:left="4374" w:hanging="360"/>
      </w:pPr>
      <w:rPr>
        <w:rFonts w:ascii="Wingdings" w:hAnsi="Wingdings" w:hint="default"/>
      </w:rPr>
    </w:lvl>
    <w:lvl w:ilvl="6" w:tplc="0C090001" w:tentative="1">
      <w:start w:val="1"/>
      <w:numFmt w:val="bullet"/>
      <w:lvlText w:val=""/>
      <w:lvlJc w:val="left"/>
      <w:pPr>
        <w:ind w:left="5094" w:hanging="360"/>
      </w:pPr>
      <w:rPr>
        <w:rFonts w:ascii="Symbol" w:hAnsi="Symbol" w:hint="default"/>
      </w:rPr>
    </w:lvl>
    <w:lvl w:ilvl="7" w:tplc="0C090003" w:tentative="1">
      <w:start w:val="1"/>
      <w:numFmt w:val="bullet"/>
      <w:lvlText w:val="o"/>
      <w:lvlJc w:val="left"/>
      <w:pPr>
        <w:ind w:left="5814" w:hanging="360"/>
      </w:pPr>
      <w:rPr>
        <w:rFonts w:ascii="Courier New" w:hAnsi="Courier New" w:cs="Courier New" w:hint="default"/>
      </w:rPr>
    </w:lvl>
    <w:lvl w:ilvl="8" w:tplc="0C090005" w:tentative="1">
      <w:start w:val="1"/>
      <w:numFmt w:val="bullet"/>
      <w:lvlText w:val=""/>
      <w:lvlJc w:val="left"/>
      <w:pPr>
        <w:ind w:left="6534" w:hanging="360"/>
      </w:pPr>
      <w:rPr>
        <w:rFonts w:ascii="Wingdings" w:hAnsi="Wingdings" w:hint="default"/>
      </w:rPr>
    </w:lvl>
  </w:abstractNum>
  <w:abstractNum w:abstractNumId="45">
    <w:nsid w:val="6DD24EBE"/>
    <w:multiLevelType w:val="hybridMultilevel"/>
    <w:tmpl w:val="56346BB6"/>
    <w:lvl w:ilvl="0" w:tplc="A5BEE518">
      <w:start w:val="1"/>
      <w:numFmt w:val="bullet"/>
      <w:pStyle w:val="Para1bullet"/>
      <w:lvlText w:val=""/>
      <w:lvlJc w:val="left"/>
      <w:pPr>
        <w:ind w:left="785" w:hanging="360"/>
      </w:pPr>
      <w:rPr>
        <w:rFonts w:ascii="Symbol" w:hAnsi="Symbol" w:hint="default"/>
        <w:sz w:val="18"/>
      </w:rPr>
    </w:lvl>
    <w:lvl w:ilvl="1" w:tplc="0C090003">
      <w:start w:val="1"/>
      <w:numFmt w:val="bullet"/>
      <w:pStyle w:val="Para1bullet"/>
      <w:lvlText w:val="o"/>
      <w:lvlJc w:val="left"/>
      <w:pPr>
        <w:ind w:left="5333" w:hanging="360"/>
      </w:pPr>
      <w:rPr>
        <w:rFonts w:ascii="Courier New" w:hAnsi="Courier New" w:cs="Courier New" w:hint="default"/>
      </w:rPr>
    </w:lvl>
    <w:lvl w:ilvl="2" w:tplc="0C090005" w:tentative="1">
      <w:start w:val="1"/>
      <w:numFmt w:val="bullet"/>
      <w:lvlText w:val=""/>
      <w:lvlJc w:val="left"/>
      <w:pPr>
        <w:ind w:left="6053" w:hanging="360"/>
      </w:pPr>
      <w:rPr>
        <w:rFonts w:ascii="Wingdings" w:hAnsi="Wingdings" w:hint="default"/>
      </w:rPr>
    </w:lvl>
    <w:lvl w:ilvl="3" w:tplc="0C090001" w:tentative="1">
      <w:start w:val="1"/>
      <w:numFmt w:val="bullet"/>
      <w:lvlText w:val=""/>
      <w:lvlJc w:val="left"/>
      <w:pPr>
        <w:ind w:left="6773" w:hanging="360"/>
      </w:pPr>
      <w:rPr>
        <w:rFonts w:ascii="Symbol" w:hAnsi="Symbol" w:hint="default"/>
      </w:rPr>
    </w:lvl>
    <w:lvl w:ilvl="4" w:tplc="0C090003" w:tentative="1">
      <w:start w:val="1"/>
      <w:numFmt w:val="bullet"/>
      <w:lvlText w:val="o"/>
      <w:lvlJc w:val="left"/>
      <w:pPr>
        <w:ind w:left="7493" w:hanging="360"/>
      </w:pPr>
      <w:rPr>
        <w:rFonts w:ascii="Courier New" w:hAnsi="Courier New" w:cs="Courier New" w:hint="default"/>
      </w:rPr>
    </w:lvl>
    <w:lvl w:ilvl="5" w:tplc="0C090005" w:tentative="1">
      <w:start w:val="1"/>
      <w:numFmt w:val="bullet"/>
      <w:lvlText w:val=""/>
      <w:lvlJc w:val="left"/>
      <w:pPr>
        <w:ind w:left="8213" w:hanging="360"/>
      </w:pPr>
      <w:rPr>
        <w:rFonts w:ascii="Wingdings" w:hAnsi="Wingdings" w:hint="default"/>
      </w:rPr>
    </w:lvl>
    <w:lvl w:ilvl="6" w:tplc="0C090001" w:tentative="1">
      <w:start w:val="1"/>
      <w:numFmt w:val="bullet"/>
      <w:lvlText w:val=""/>
      <w:lvlJc w:val="left"/>
      <w:pPr>
        <w:ind w:left="8933" w:hanging="360"/>
      </w:pPr>
      <w:rPr>
        <w:rFonts w:ascii="Symbol" w:hAnsi="Symbol" w:hint="default"/>
      </w:rPr>
    </w:lvl>
    <w:lvl w:ilvl="7" w:tplc="0C090003" w:tentative="1">
      <w:start w:val="1"/>
      <w:numFmt w:val="bullet"/>
      <w:lvlText w:val="o"/>
      <w:lvlJc w:val="left"/>
      <w:pPr>
        <w:ind w:left="9653" w:hanging="360"/>
      </w:pPr>
      <w:rPr>
        <w:rFonts w:ascii="Courier New" w:hAnsi="Courier New" w:cs="Courier New" w:hint="default"/>
      </w:rPr>
    </w:lvl>
    <w:lvl w:ilvl="8" w:tplc="0C090005" w:tentative="1">
      <w:start w:val="1"/>
      <w:numFmt w:val="bullet"/>
      <w:lvlText w:val=""/>
      <w:lvlJc w:val="left"/>
      <w:pPr>
        <w:ind w:left="10373" w:hanging="360"/>
      </w:pPr>
      <w:rPr>
        <w:rFonts w:ascii="Wingdings" w:hAnsi="Wingdings" w:hint="default"/>
      </w:rPr>
    </w:lvl>
  </w:abstractNum>
  <w:abstractNum w:abstractNumId="46">
    <w:nsid w:val="73123ED6"/>
    <w:multiLevelType w:val="hybridMultilevel"/>
    <w:tmpl w:val="AE0C6F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7">
    <w:nsid w:val="733B6855"/>
    <w:multiLevelType w:val="hybridMultilevel"/>
    <w:tmpl w:val="68F296FE"/>
    <w:lvl w:ilvl="0" w:tplc="6B6C78CA">
      <w:start w:val="1"/>
      <w:numFmt w:val="bullet"/>
      <w:pStyle w:val="ContentBulletsRound"/>
      <w:lvlText w:val=""/>
      <w:lvlJc w:val="left"/>
      <w:pPr>
        <w:ind w:left="1418" w:hanging="851"/>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77B82F8D"/>
    <w:multiLevelType w:val="hybridMultilevel"/>
    <w:tmpl w:val="CAE89AAA"/>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num w:numId="1">
    <w:abstractNumId w:val="39"/>
  </w:num>
  <w:num w:numId="2">
    <w:abstractNumId w:val="17"/>
  </w:num>
  <w:num w:numId="3">
    <w:abstractNumId w:val="4"/>
  </w:num>
  <w:num w:numId="4">
    <w:abstractNumId w:val="3"/>
  </w:num>
  <w:num w:numId="5">
    <w:abstractNumId w:val="24"/>
  </w:num>
  <w:num w:numId="6">
    <w:abstractNumId w:val="22"/>
  </w:num>
  <w:num w:numId="7">
    <w:abstractNumId w:val="47"/>
  </w:num>
  <w:num w:numId="8">
    <w:abstractNumId w:val="45"/>
  </w:num>
  <w:num w:numId="9">
    <w:abstractNumId w:val="0"/>
  </w:num>
  <w:num w:numId="10">
    <w:abstractNumId w:val="34"/>
  </w:num>
  <w:num w:numId="11">
    <w:abstractNumId w:val="36"/>
  </w:num>
  <w:num w:numId="12">
    <w:abstractNumId w:val="14"/>
  </w:num>
  <w:num w:numId="13">
    <w:abstractNumId w:val="42"/>
  </w:num>
  <w:num w:numId="14">
    <w:abstractNumId w:val="35"/>
  </w:num>
  <w:num w:numId="15">
    <w:abstractNumId w:val="2"/>
  </w:num>
  <w:num w:numId="16">
    <w:abstractNumId w:val="8"/>
  </w:num>
  <w:num w:numId="17">
    <w:abstractNumId w:val="9"/>
  </w:num>
  <w:num w:numId="18">
    <w:abstractNumId w:val="26"/>
  </w:num>
  <w:num w:numId="19">
    <w:abstractNumId w:val="15"/>
  </w:num>
  <w:num w:numId="20">
    <w:abstractNumId w:val="31"/>
  </w:num>
  <w:num w:numId="21">
    <w:abstractNumId w:val="40"/>
  </w:num>
  <w:num w:numId="22">
    <w:abstractNumId w:val="30"/>
  </w:num>
  <w:num w:numId="23">
    <w:abstractNumId w:val="11"/>
  </w:num>
  <w:num w:numId="24">
    <w:abstractNumId w:val="13"/>
  </w:num>
  <w:num w:numId="25">
    <w:abstractNumId w:val="5"/>
  </w:num>
  <w:num w:numId="26">
    <w:abstractNumId w:val="20"/>
  </w:num>
  <w:num w:numId="27">
    <w:abstractNumId w:val="29"/>
  </w:num>
  <w:num w:numId="28">
    <w:abstractNumId w:val="41"/>
  </w:num>
  <w:num w:numId="29">
    <w:abstractNumId w:val="33"/>
  </w:num>
  <w:num w:numId="30">
    <w:abstractNumId w:val="21"/>
  </w:num>
  <w:num w:numId="31">
    <w:abstractNumId w:val="7"/>
  </w:num>
  <w:num w:numId="32">
    <w:abstractNumId w:val="1"/>
  </w:num>
  <w:num w:numId="33">
    <w:abstractNumId w:val="32"/>
  </w:num>
  <w:num w:numId="34">
    <w:abstractNumId w:val="37"/>
  </w:num>
  <w:num w:numId="35">
    <w:abstractNumId w:val="18"/>
  </w:num>
  <w:num w:numId="36">
    <w:abstractNumId w:val="10"/>
  </w:num>
  <w:num w:numId="37">
    <w:abstractNumId w:val="43"/>
  </w:num>
  <w:num w:numId="38">
    <w:abstractNumId w:val="38"/>
  </w:num>
  <w:num w:numId="39">
    <w:abstractNumId w:val="27"/>
  </w:num>
  <w:num w:numId="40">
    <w:abstractNumId w:val="16"/>
  </w:num>
  <w:num w:numId="41">
    <w:abstractNumId w:val="48"/>
  </w:num>
  <w:num w:numId="42">
    <w:abstractNumId w:val="44"/>
  </w:num>
  <w:num w:numId="43">
    <w:abstractNumId w:val="46"/>
  </w:num>
  <w:num w:numId="44">
    <w:abstractNumId w:val="19"/>
  </w:num>
  <w:num w:numId="45">
    <w:abstractNumId w:val="6"/>
  </w:num>
  <w:num w:numId="46">
    <w:abstractNumId w:val="23"/>
  </w:num>
  <w:num w:numId="47">
    <w:abstractNumId w:val="12"/>
  </w:num>
  <w:num w:numId="48">
    <w:abstractNumId w:val="25"/>
  </w:num>
  <w:num w:numId="49">
    <w:abstractNumId w:val="28"/>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7F24" w:allStyles="0" w:customStyles="0" w:latentStyles="1" w:stylesInUse="0" w:headingStyles="1" w:numberingStyles="0" w:tableStyles="0" w:directFormattingOnRuns="1" w:directFormattingOnParagraphs="1" w:directFormattingOnNumbering="1" w:directFormattingOnTables="1" w:clearFormatting="1" w:top3HeadingStyles="1" w:visibleStyles="1" w:alternateStyleNames="0"/>
  <w:defaultTabStop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dd1" w:val="Sinclair Knight Merz"/>
    <w:docVar w:name="Add2" w:val="Level 5, 33 King William Street"/>
    <w:docVar w:name="Add3" w:val="Adelaide SA 5000 Australia"/>
    <w:docVar w:name="Add4" w:val="PO Box 8291"/>
    <w:docVar w:name="Add5" w:val="Station Arcade SA 5000 Australia"/>
    <w:docVar w:name="Add6" w:val=" "/>
    <w:docVar w:name="Branding" w:val="SKM"/>
    <w:docVar w:name="CoverBusinessRegoNo" w:val="ABN 37 001 024 095"/>
    <w:docVar w:name="CoverCopyright" w:val="Sinclair Knight Merz Pty Ltd (SKM)"/>
    <w:docVar w:name="CoverLimitation" w:val="SKM"/>
    <w:docVar w:name="DirectorsFile" w:val=" "/>
    <w:docVar w:name="EntityName" w:val="SKM AUSTRALIA"/>
    <w:docVar w:name="Fax" w:val="F +61 8 8424 3810"/>
    <w:docVar w:name="FaxFooter" w:val="SINCLAIR KNIGHT MERZ PTY LTD  ABN 37 001 024 095"/>
    <w:docVar w:name="FaxFooterFollowOn" w:val=" "/>
    <w:docVar w:name="Footer" w:val=" "/>
    <w:docVar w:name="FooterFollowOn" w:val=" "/>
    <w:docVar w:name="LetterFooter1" w:val="Sinclair Knight Merz Pty Limited"/>
    <w:docVar w:name="LetterFooter2" w:val="The SKM logo is a registered trade mark of Sinclair Knight Merz Pty Ltd. ABN 37 001 024 095"/>
    <w:docVar w:name="LetterFooter3" w:val=" "/>
    <w:docVar w:name="LetterFooterFollowOn" w:val=" "/>
    <w:docVar w:name="Logo" w:val="SKM cover logo"/>
    <w:docVar w:name="LogoLandscape" w:val="SKM landscape logo"/>
    <w:docVar w:name="LogoLandscapeA3" w:val="SKM a3 landscape logo"/>
    <w:docVar w:name="LogoLandscapeA3USL" w:val="SKM a3 landscape logo USL"/>
    <w:docVar w:name="LogoLandscapeUSL" w:val="SKM landscape logo USL"/>
    <w:docVar w:name="LogoPortrait" w:val="SKM portrait logo"/>
    <w:docVar w:name="LogoPortraitUSL" w:val="SKM portrait logo USL"/>
    <w:docVar w:name="LogoStationeryCoverImageA4" w:val="skm_portrait_cover"/>
    <w:docVar w:name="LogoStationeryCoverImageA4Landscape" w:val="skm_landscape_cover"/>
    <w:docVar w:name="LogoStationeryCoverImageUSLLandscape" w:val="skm_landscape_cover_USL"/>
    <w:docVar w:name="LogoStationeryCoverImageUSLPortrait" w:val="skm_portrait_cover_USL"/>
    <w:docVar w:name="LogoStationeryGeneral" w:val="SKM stationery logo"/>
    <w:docVar w:name="LogoStationeryGeneralUSL" w:val="SKM stationery logo USL"/>
    <w:docVar w:name="LogoStationeryLetterFax" w:val="SKM letfax logo"/>
    <w:docVar w:name="LogoStationeryLetterFaxUSL" w:val="SKM letfax logo USL"/>
    <w:docVar w:name="LogoStationeryReportFly" w:val="SKM report fly logo"/>
    <w:docVar w:name="LogoStationeryReportFlyL" w:val="SKM report fly logoL"/>
    <w:docVar w:name="LogoStationeryReportFlyLUSL" w:val="SKM report fly logoLUSL"/>
    <w:docVar w:name="LogoStationeryReportFlyUSL" w:val="SKM report fly logo USL"/>
    <w:docVar w:name="LogoStationeryReportPages" w:val="SKM report pages logo"/>
    <w:docVar w:name="LogoStationeryReportPagesUSL" w:val="SKM report pages logo"/>
    <w:docVar w:name="LogoUSL" w:val="SKM cover logo USL"/>
    <w:docVar w:name="Paper Size" w:val="A4"/>
    <w:docVar w:name="Phone" w:val="T +61 8 8424 3800"/>
    <w:docVar w:name="RegisteredTradeMark" w:val=" "/>
    <w:docVar w:name="ShortAddress1" w:val="33 King William Street"/>
    <w:docVar w:name="ShortAddress2" w:val="Adelaide SA 5000 Australia"/>
    <w:docVar w:name="Web" w:val="www.globalskm.com"/>
  </w:docVars>
  <w:rsids>
    <w:rsidRoot w:val="00622A3C"/>
    <w:rsid w:val="000014B3"/>
    <w:rsid w:val="000020EF"/>
    <w:rsid w:val="00002257"/>
    <w:rsid w:val="00003143"/>
    <w:rsid w:val="00003C5F"/>
    <w:rsid w:val="0000462F"/>
    <w:rsid w:val="00005D4F"/>
    <w:rsid w:val="00005E9A"/>
    <w:rsid w:val="0000625C"/>
    <w:rsid w:val="00006B5A"/>
    <w:rsid w:val="00007410"/>
    <w:rsid w:val="000074FC"/>
    <w:rsid w:val="00007B43"/>
    <w:rsid w:val="00010B30"/>
    <w:rsid w:val="00011476"/>
    <w:rsid w:val="00012218"/>
    <w:rsid w:val="00012480"/>
    <w:rsid w:val="00012F85"/>
    <w:rsid w:val="00015523"/>
    <w:rsid w:val="000157E5"/>
    <w:rsid w:val="00016CF3"/>
    <w:rsid w:val="0001705B"/>
    <w:rsid w:val="0001766B"/>
    <w:rsid w:val="00020A08"/>
    <w:rsid w:val="000217C0"/>
    <w:rsid w:val="00022FBA"/>
    <w:rsid w:val="00024843"/>
    <w:rsid w:val="00024B85"/>
    <w:rsid w:val="00025193"/>
    <w:rsid w:val="000252CA"/>
    <w:rsid w:val="00025944"/>
    <w:rsid w:val="00026231"/>
    <w:rsid w:val="00030F7E"/>
    <w:rsid w:val="000352B5"/>
    <w:rsid w:val="000373F0"/>
    <w:rsid w:val="00037461"/>
    <w:rsid w:val="00040A20"/>
    <w:rsid w:val="000417FF"/>
    <w:rsid w:val="0004302B"/>
    <w:rsid w:val="00043C9F"/>
    <w:rsid w:val="000524AE"/>
    <w:rsid w:val="0005266C"/>
    <w:rsid w:val="0005390A"/>
    <w:rsid w:val="00054594"/>
    <w:rsid w:val="0005491F"/>
    <w:rsid w:val="00062276"/>
    <w:rsid w:val="00062407"/>
    <w:rsid w:val="0006464F"/>
    <w:rsid w:val="000648C4"/>
    <w:rsid w:val="000670B2"/>
    <w:rsid w:val="0006795A"/>
    <w:rsid w:val="00067BEB"/>
    <w:rsid w:val="00067FA0"/>
    <w:rsid w:val="000702C8"/>
    <w:rsid w:val="00070FB4"/>
    <w:rsid w:val="00071CB3"/>
    <w:rsid w:val="00073BAF"/>
    <w:rsid w:val="00074B80"/>
    <w:rsid w:val="00074DF8"/>
    <w:rsid w:val="000759DF"/>
    <w:rsid w:val="00075D0D"/>
    <w:rsid w:val="00076BB8"/>
    <w:rsid w:val="00077233"/>
    <w:rsid w:val="0008092D"/>
    <w:rsid w:val="00081C6F"/>
    <w:rsid w:val="00081DBF"/>
    <w:rsid w:val="00082522"/>
    <w:rsid w:val="00082F46"/>
    <w:rsid w:val="00083C32"/>
    <w:rsid w:val="000847A8"/>
    <w:rsid w:val="00084A72"/>
    <w:rsid w:val="00084B48"/>
    <w:rsid w:val="000860D4"/>
    <w:rsid w:val="00086790"/>
    <w:rsid w:val="000867FF"/>
    <w:rsid w:val="00087042"/>
    <w:rsid w:val="0008721D"/>
    <w:rsid w:val="00087608"/>
    <w:rsid w:val="00091D03"/>
    <w:rsid w:val="00094190"/>
    <w:rsid w:val="00094414"/>
    <w:rsid w:val="00094DC6"/>
    <w:rsid w:val="00094F0B"/>
    <w:rsid w:val="00095A55"/>
    <w:rsid w:val="00096085"/>
    <w:rsid w:val="00097841"/>
    <w:rsid w:val="000A1438"/>
    <w:rsid w:val="000A336C"/>
    <w:rsid w:val="000A3676"/>
    <w:rsid w:val="000A3931"/>
    <w:rsid w:val="000A4C1E"/>
    <w:rsid w:val="000A71CC"/>
    <w:rsid w:val="000A782F"/>
    <w:rsid w:val="000B07EA"/>
    <w:rsid w:val="000B1D93"/>
    <w:rsid w:val="000B2A7E"/>
    <w:rsid w:val="000B2CB4"/>
    <w:rsid w:val="000B39C4"/>
    <w:rsid w:val="000B3A99"/>
    <w:rsid w:val="000B5DC3"/>
    <w:rsid w:val="000B7020"/>
    <w:rsid w:val="000B7078"/>
    <w:rsid w:val="000B7E11"/>
    <w:rsid w:val="000C1ECB"/>
    <w:rsid w:val="000C21AC"/>
    <w:rsid w:val="000C4107"/>
    <w:rsid w:val="000C5AA0"/>
    <w:rsid w:val="000C5D3C"/>
    <w:rsid w:val="000C7EC0"/>
    <w:rsid w:val="000D1EC0"/>
    <w:rsid w:val="000D2EDA"/>
    <w:rsid w:val="000D3176"/>
    <w:rsid w:val="000D3FE9"/>
    <w:rsid w:val="000D48EC"/>
    <w:rsid w:val="000D5704"/>
    <w:rsid w:val="000D5FE6"/>
    <w:rsid w:val="000E0FB0"/>
    <w:rsid w:val="000E1485"/>
    <w:rsid w:val="000E2676"/>
    <w:rsid w:val="000E3302"/>
    <w:rsid w:val="000E3595"/>
    <w:rsid w:val="000E57BC"/>
    <w:rsid w:val="000E5EF0"/>
    <w:rsid w:val="000E76A0"/>
    <w:rsid w:val="000F0277"/>
    <w:rsid w:val="000F07D5"/>
    <w:rsid w:val="000F0EE5"/>
    <w:rsid w:val="000F1818"/>
    <w:rsid w:val="000F2DCD"/>
    <w:rsid w:val="000F3100"/>
    <w:rsid w:val="000F38BE"/>
    <w:rsid w:val="000F3EC0"/>
    <w:rsid w:val="000F41F8"/>
    <w:rsid w:val="000F494A"/>
    <w:rsid w:val="000F49F4"/>
    <w:rsid w:val="000F53A1"/>
    <w:rsid w:val="000F5F31"/>
    <w:rsid w:val="000F60C5"/>
    <w:rsid w:val="000F6F05"/>
    <w:rsid w:val="000F7FA2"/>
    <w:rsid w:val="00100084"/>
    <w:rsid w:val="00101FEF"/>
    <w:rsid w:val="001025F3"/>
    <w:rsid w:val="00103C7D"/>
    <w:rsid w:val="001047F2"/>
    <w:rsid w:val="00106744"/>
    <w:rsid w:val="001067FE"/>
    <w:rsid w:val="00107C37"/>
    <w:rsid w:val="0011226D"/>
    <w:rsid w:val="00112282"/>
    <w:rsid w:val="00112F88"/>
    <w:rsid w:val="00113B6E"/>
    <w:rsid w:val="001141D8"/>
    <w:rsid w:val="001143B7"/>
    <w:rsid w:val="0011447C"/>
    <w:rsid w:val="00115CD9"/>
    <w:rsid w:val="00115E60"/>
    <w:rsid w:val="0011717D"/>
    <w:rsid w:val="001174F3"/>
    <w:rsid w:val="00117715"/>
    <w:rsid w:val="00117869"/>
    <w:rsid w:val="001201F5"/>
    <w:rsid w:val="00120447"/>
    <w:rsid w:val="00121F3E"/>
    <w:rsid w:val="00122DF8"/>
    <w:rsid w:val="00123BED"/>
    <w:rsid w:val="001249A3"/>
    <w:rsid w:val="001264C8"/>
    <w:rsid w:val="00126DD1"/>
    <w:rsid w:val="00127C0E"/>
    <w:rsid w:val="00127C46"/>
    <w:rsid w:val="0013088D"/>
    <w:rsid w:val="001309A8"/>
    <w:rsid w:val="00130CF9"/>
    <w:rsid w:val="001315A1"/>
    <w:rsid w:val="001315C1"/>
    <w:rsid w:val="00132619"/>
    <w:rsid w:val="00134D7D"/>
    <w:rsid w:val="00135D2F"/>
    <w:rsid w:val="001372C7"/>
    <w:rsid w:val="00137C65"/>
    <w:rsid w:val="0014018E"/>
    <w:rsid w:val="0014107C"/>
    <w:rsid w:val="00141CBD"/>
    <w:rsid w:val="0014204D"/>
    <w:rsid w:val="00142DCF"/>
    <w:rsid w:val="00144BFA"/>
    <w:rsid w:val="00146F8C"/>
    <w:rsid w:val="0014776F"/>
    <w:rsid w:val="001506A8"/>
    <w:rsid w:val="00152CDD"/>
    <w:rsid w:val="00153090"/>
    <w:rsid w:val="001551A8"/>
    <w:rsid w:val="001559C8"/>
    <w:rsid w:val="00157170"/>
    <w:rsid w:val="001610DD"/>
    <w:rsid w:val="00161107"/>
    <w:rsid w:val="00161569"/>
    <w:rsid w:val="00161E9D"/>
    <w:rsid w:val="0016335F"/>
    <w:rsid w:val="001656BB"/>
    <w:rsid w:val="001660E5"/>
    <w:rsid w:val="00170125"/>
    <w:rsid w:val="00170C10"/>
    <w:rsid w:val="00170FDB"/>
    <w:rsid w:val="0017126C"/>
    <w:rsid w:val="00171500"/>
    <w:rsid w:val="00171660"/>
    <w:rsid w:val="0017295D"/>
    <w:rsid w:val="00173577"/>
    <w:rsid w:val="00173A20"/>
    <w:rsid w:val="00174C71"/>
    <w:rsid w:val="001755CB"/>
    <w:rsid w:val="001755FB"/>
    <w:rsid w:val="001769B8"/>
    <w:rsid w:val="0017789D"/>
    <w:rsid w:val="00177FDA"/>
    <w:rsid w:val="0018042B"/>
    <w:rsid w:val="00181066"/>
    <w:rsid w:val="00182D55"/>
    <w:rsid w:val="00182E1A"/>
    <w:rsid w:val="0018373C"/>
    <w:rsid w:val="00183EB7"/>
    <w:rsid w:val="00185927"/>
    <w:rsid w:val="001859FD"/>
    <w:rsid w:val="00186109"/>
    <w:rsid w:val="00193DA7"/>
    <w:rsid w:val="001963C7"/>
    <w:rsid w:val="00196D13"/>
    <w:rsid w:val="0019755B"/>
    <w:rsid w:val="001A121D"/>
    <w:rsid w:val="001A175E"/>
    <w:rsid w:val="001A1AE0"/>
    <w:rsid w:val="001A3F34"/>
    <w:rsid w:val="001A42CC"/>
    <w:rsid w:val="001A6025"/>
    <w:rsid w:val="001A69A2"/>
    <w:rsid w:val="001A7354"/>
    <w:rsid w:val="001B005A"/>
    <w:rsid w:val="001B0F3A"/>
    <w:rsid w:val="001B1840"/>
    <w:rsid w:val="001B1BE0"/>
    <w:rsid w:val="001B2790"/>
    <w:rsid w:val="001B39C9"/>
    <w:rsid w:val="001B40BE"/>
    <w:rsid w:val="001B41A0"/>
    <w:rsid w:val="001B4E4B"/>
    <w:rsid w:val="001B5766"/>
    <w:rsid w:val="001B5DAF"/>
    <w:rsid w:val="001B6D0B"/>
    <w:rsid w:val="001B6E74"/>
    <w:rsid w:val="001B71DB"/>
    <w:rsid w:val="001C0E03"/>
    <w:rsid w:val="001C0E0E"/>
    <w:rsid w:val="001C1882"/>
    <w:rsid w:val="001C1EA8"/>
    <w:rsid w:val="001C2664"/>
    <w:rsid w:val="001C33DA"/>
    <w:rsid w:val="001C45CF"/>
    <w:rsid w:val="001C4EDA"/>
    <w:rsid w:val="001C4EEF"/>
    <w:rsid w:val="001C5DAB"/>
    <w:rsid w:val="001C5EA0"/>
    <w:rsid w:val="001C725F"/>
    <w:rsid w:val="001C784E"/>
    <w:rsid w:val="001D37F4"/>
    <w:rsid w:val="001D395C"/>
    <w:rsid w:val="001D5E3F"/>
    <w:rsid w:val="001D74FA"/>
    <w:rsid w:val="001D7DE2"/>
    <w:rsid w:val="001E0692"/>
    <w:rsid w:val="001E1256"/>
    <w:rsid w:val="001E24E8"/>
    <w:rsid w:val="001E2E7F"/>
    <w:rsid w:val="001E3658"/>
    <w:rsid w:val="001E4D1E"/>
    <w:rsid w:val="001E4EDA"/>
    <w:rsid w:val="001E6AC1"/>
    <w:rsid w:val="001E7189"/>
    <w:rsid w:val="001F0697"/>
    <w:rsid w:val="001F150C"/>
    <w:rsid w:val="001F23AC"/>
    <w:rsid w:val="001F3D0A"/>
    <w:rsid w:val="001F468D"/>
    <w:rsid w:val="001F5420"/>
    <w:rsid w:val="001F619C"/>
    <w:rsid w:val="001F6462"/>
    <w:rsid w:val="001F74B3"/>
    <w:rsid w:val="001F7C1C"/>
    <w:rsid w:val="0020155D"/>
    <w:rsid w:val="00201582"/>
    <w:rsid w:val="0020167D"/>
    <w:rsid w:val="00202AF0"/>
    <w:rsid w:val="00204204"/>
    <w:rsid w:val="0020454A"/>
    <w:rsid w:val="00204937"/>
    <w:rsid w:val="00204B30"/>
    <w:rsid w:val="00204D49"/>
    <w:rsid w:val="00205CB2"/>
    <w:rsid w:val="00205D1E"/>
    <w:rsid w:val="00206F76"/>
    <w:rsid w:val="00207C72"/>
    <w:rsid w:val="00210F74"/>
    <w:rsid w:val="00211C68"/>
    <w:rsid w:val="00213631"/>
    <w:rsid w:val="00213915"/>
    <w:rsid w:val="00213E89"/>
    <w:rsid w:val="00213F85"/>
    <w:rsid w:val="00214657"/>
    <w:rsid w:val="00216C4A"/>
    <w:rsid w:val="00222780"/>
    <w:rsid w:val="00222A0D"/>
    <w:rsid w:val="00222FCB"/>
    <w:rsid w:val="002233F0"/>
    <w:rsid w:val="002235A8"/>
    <w:rsid w:val="00223951"/>
    <w:rsid w:val="00223DEF"/>
    <w:rsid w:val="00224FA7"/>
    <w:rsid w:val="00225F88"/>
    <w:rsid w:val="002264C0"/>
    <w:rsid w:val="00230452"/>
    <w:rsid w:val="00230B66"/>
    <w:rsid w:val="00233787"/>
    <w:rsid w:val="00233C46"/>
    <w:rsid w:val="002344A6"/>
    <w:rsid w:val="00236A21"/>
    <w:rsid w:val="0024108E"/>
    <w:rsid w:val="0024167D"/>
    <w:rsid w:val="0024328B"/>
    <w:rsid w:val="00243D95"/>
    <w:rsid w:val="0024455A"/>
    <w:rsid w:val="002447B2"/>
    <w:rsid w:val="00244F7C"/>
    <w:rsid w:val="00246E5D"/>
    <w:rsid w:val="002474CD"/>
    <w:rsid w:val="002474F0"/>
    <w:rsid w:val="0024754C"/>
    <w:rsid w:val="00247B7C"/>
    <w:rsid w:val="00251A70"/>
    <w:rsid w:val="00251CEA"/>
    <w:rsid w:val="00251DD9"/>
    <w:rsid w:val="002520D0"/>
    <w:rsid w:val="00252AD9"/>
    <w:rsid w:val="00252FCB"/>
    <w:rsid w:val="002535DC"/>
    <w:rsid w:val="00255E56"/>
    <w:rsid w:val="002566FD"/>
    <w:rsid w:val="00256E9C"/>
    <w:rsid w:val="0025702F"/>
    <w:rsid w:val="0026016A"/>
    <w:rsid w:val="00261085"/>
    <w:rsid w:val="0026117A"/>
    <w:rsid w:val="0026179A"/>
    <w:rsid w:val="00262E79"/>
    <w:rsid w:val="00263F0D"/>
    <w:rsid w:val="00265AA8"/>
    <w:rsid w:val="002663E4"/>
    <w:rsid w:val="0026692C"/>
    <w:rsid w:val="00266BA9"/>
    <w:rsid w:val="002679FD"/>
    <w:rsid w:val="00270B72"/>
    <w:rsid w:val="00270ED9"/>
    <w:rsid w:val="002714A9"/>
    <w:rsid w:val="00271881"/>
    <w:rsid w:val="00271F1C"/>
    <w:rsid w:val="00272230"/>
    <w:rsid w:val="002749A1"/>
    <w:rsid w:val="002752B2"/>
    <w:rsid w:val="00275890"/>
    <w:rsid w:val="0027714D"/>
    <w:rsid w:val="0027759C"/>
    <w:rsid w:val="002776CE"/>
    <w:rsid w:val="00277C7E"/>
    <w:rsid w:val="0028203F"/>
    <w:rsid w:val="00282934"/>
    <w:rsid w:val="00283089"/>
    <w:rsid w:val="00284FED"/>
    <w:rsid w:val="0028532D"/>
    <w:rsid w:val="0028596B"/>
    <w:rsid w:val="00286C8B"/>
    <w:rsid w:val="00287F6A"/>
    <w:rsid w:val="002911B2"/>
    <w:rsid w:val="00292170"/>
    <w:rsid w:val="00292B49"/>
    <w:rsid w:val="0029464E"/>
    <w:rsid w:val="00295452"/>
    <w:rsid w:val="002959C4"/>
    <w:rsid w:val="002A00CE"/>
    <w:rsid w:val="002A0C3A"/>
    <w:rsid w:val="002A0F5E"/>
    <w:rsid w:val="002A1204"/>
    <w:rsid w:val="002A13AC"/>
    <w:rsid w:val="002A300C"/>
    <w:rsid w:val="002A3737"/>
    <w:rsid w:val="002A3E36"/>
    <w:rsid w:val="002A629B"/>
    <w:rsid w:val="002A66C8"/>
    <w:rsid w:val="002A6B32"/>
    <w:rsid w:val="002B07A5"/>
    <w:rsid w:val="002B1152"/>
    <w:rsid w:val="002B1207"/>
    <w:rsid w:val="002B19BE"/>
    <w:rsid w:val="002B288B"/>
    <w:rsid w:val="002B3695"/>
    <w:rsid w:val="002B3827"/>
    <w:rsid w:val="002B3C2E"/>
    <w:rsid w:val="002B45BB"/>
    <w:rsid w:val="002B46D8"/>
    <w:rsid w:val="002B4999"/>
    <w:rsid w:val="002B4ABA"/>
    <w:rsid w:val="002B4C9C"/>
    <w:rsid w:val="002B6B2E"/>
    <w:rsid w:val="002B6F8B"/>
    <w:rsid w:val="002C02FB"/>
    <w:rsid w:val="002C11A2"/>
    <w:rsid w:val="002C2F7E"/>
    <w:rsid w:val="002C2F94"/>
    <w:rsid w:val="002C38C3"/>
    <w:rsid w:val="002C4C80"/>
    <w:rsid w:val="002C4C82"/>
    <w:rsid w:val="002C6AAD"/>
    <w:rsid w:val="002C70C7"/>
    <w:rsid w:val="002C7405"/>
    <w:rsid w:val="002D0844"/>
    <w:rsid w:val="002D1995"/>
    <w:rsid w:val="002D1A9F"/>
    <w:rsid w:val="002D1BCA"/>
    <w:rsid w:val="002D21DC"/>
    <w:rsid w:val="002D3BB9"/>
    <w:rsid w:val="002D444F"/>
    <w:rsid w:val="002D549F"/>
    <w:rsid w:val="002D59CD"/>
    <w:rsid w:val="002D5EB9"/>
    <w:rsid w:val="002D7A35"/>
    <w:rsid w:val="002D7B56"/>
    <w:rsid w:val="002E0AFC"/>
    <w:rsid w:val="002E154B"/>
    <w:rsid w:val="002E16D5"/>
    <w:rsid w:val="002E1794"/>
    <w:rsid w:val="002E1D85"/>
    <w:rsid w:val="002E3592"/>
    <w:rsid w:val="002E5D59"/>
    <w:rsid w:val="002E61CB"/>
    <w:rsid w:val="002E69A2"/>
    <w:rsid w:val="002E7970"/>
    <w:rsid w:val="002E7DC6"/>
    <w:rsid w:val="002F1064"/>
    <w:rsid w:val="002F129E"/>
    <w:rsid w:val="002F1B32"/>
    <w:rsid w:val="002F2727"/>
    <w:rsid w:val="002F424D"/>
    <w:rsid w:val="002F4511"/>
    <w:rsid w:val="00302656"/>
    <w:rsid w:val="00304077"/>
    <w:rsid w:val="00305295"/>
    <w:rsid w:val="003063AB"/>
    <w:rsid w:val="003068A9"/>
    <w:rsid w:val="0030764E"/>
    <w:rsid w:val="00307BF0"/>
    <w:rsid w:val="00311964"/>
    <w:rsid w:val="00311D84"/>
    <w:rsid w:val="00312B0C"/>
    <w:rsid w:val="00314807"/>
    <w:rsid w:val="0031607A"/>
    <w:rsid w:val="00317F04"/>
    <w:rsid w:val="003202A7"/>
    <w:rsid w:val="00320383"/>
    <w:rsid w:val="003204CD"/>
    <w:rsid w:val="003212CE"/>
    <w:rsid w:val="003220C5"/>
    <w:rsid w:val="00324783"/>
    <w:rsid w:val="003252EA"/>
    <w:rsid w:val="00326967"/>
    <w:rsid w:val="00330FB8"/>
    <w:rsid w:val="00332ED2"/>
    <w:rsid w:val="003330E6"/>
    <w:rsid w:val="00334626"/>
    <w:rsid w:val="0034219A"/>
    <w:rsid w:val="00343DBB"/>
    <w:rsid w:val="003440BA"/>
    <w:rsid w:val="00344967"/>
    <w:rsid w:val="00347773"/>
    <w:rsid w:val="0034782A"/>
    <w:rsid w:val="00347D96"/>
    <w:rsid w:val="0035066E"/>
    <w:rsid w:val="003506DF"/>
    <w:rsid w:val="00351097"/>
    <w:rsid w:val="0035149A"/>
    <w:rsid w:val="003514A0"/>
    <w:rsid w:val="00351507"/>
    <w:rsid w:val="0035480C"/>
    <w:rsid w:val="003552CE"/>
    <w:rsid w:val="003553A7"/>
    <w:rsid w:val="00356452"/>
    <w:rsid w:val="00357C6D"/>
    <w:rsid w:val="00357F4C"/>
    <w:rsid w:val="003608AD"/>
    <w:rsid w:val="003609B8"/>
    <w:rsid w:val="003611D2"/>
    <w:rsid w:val="00362D25"/>
    <w:rsid w:val="00362E42"/>
    <w:rsid w:val="00363F6B"/>
    <w:rsid w:val="00364CFC"/>
    <w:rsid w:val="00366558"/>
    <w:rsid w:val="00366CAC"/>
    <w:rsid w:val="003672A2"/>
    <w:rsid w:val="00367DB0"/>
    <w:rsid w:val="00367E95"/>
    <w:rsid w:val="00370182"/>
    <w:rsid w:val="00371B79"/>
    <w:rsid w:val="00372103"/>
    <w:rsid w:val="003730BF"/>
    <w:rsid w:val="00373110"/>
    <w:rsid w:val="00373994"/>
    <w:rsid w:val="0037440C"/>
    <w:rsid w:val="00375D12"/>
    <w:rsid w:val="00376357"/>
    <w:rsid w:val="00376B56"/>
    <w:rsid w:val="00376EBD"/>
    <w:rsid w:val="003772ED"/>
    <w:rsid w:val="00377330"/>
    <w:rsid w:val="00383416"/>
    <w:rsid w:val="0038422B"/>
    <w:rsid w:val="00384844"/>
    <w:rsid w:val="00385342"/>
    <w:rsid w:val="003854B8"/>
    <w:rsid w:val="003876C1"/>
    <w:rsid w:val="00387C26"/>
    <w:rsid w:val="003909F3"/>
    <w:rsid w:val="00390D65"/>
    <w:rsid w:val="00396074"/>
    <w:rsid w:val="00396D30"/>
    <w:rsid w:val="003975FA"/>
    <w:rsid w:val="003A00A6"/>
    <w:rsid w:val="003A0109"/>
    <w:rsid w:val="003A0D3E"/>
    <w:rsid w:val="003A10CF"/>
    <w:rsid w:val="003A12EC"/>
    <w:rsid w:val="003A1A03"/>
    <w:rsid w:val="003A2B0F"/>
    <w:rsid w:val="003A3034"/>
    <w:rsid w:val="003A35AB"/>
    <w:rsid w:val="003A5F6A"/>
    <w:rsid w:val="003B0305"/>
    <w:rsid w:val="003B03DD"/>
    <w:rsid w:val="003B07D6"/>
    <w:rsid w:val="003B13D7"/>
    <w:rsid w:val="003B1407"/>
    <w:rsid w:val="003B178B"/>
    <w:rsid w:val="003B2811"/>
    <w:rsid w:val="003B29BA"/>
    <w:rsid w:val="003B33D7"/>
    <w:rsid w:val="003B4CC6"/>
    <w:rsid w:val="003B5A3C"/>
    <w:rsid w:val="003B666D"/>
    <w:rsid w:val="003B7610"/>
    <w:rsid w:val="003C021D"/>
    <w:rsid w:val="003C057C"/>
    <w:rsid w:val="003C0CE4"/>
    <w:rsid w:val="003C3DB0"/>
    <w:rsid w:val="003C4267"/>
    <w:rsid w:val="003C54D9"/>
    <w:rsid w:val="003C5E55"/>
    <w:rsid w:val="003C622D"/>
    <w:rsid w:val="003C757B"/>
    <w:rsid w:val="003D099B"/>
    <w:rsid w:val="003D0B5E"/>
    <w:rsid w:val="003D2E6F"/>
    <w:rsid w:val="003D4404"/>
    <w:rsid w:val="003D4495"/>
    <w:rsid w:val="003D7270"/>
    <w:rsid w:val="003E129B"/>
    <w:rsid w:val="003E1A4F"/>
    <w:rsid w:val="003E3DDE"/>
    <w:rsid w:val="003E41BF"/>
    <w:rsid w:val="003E5114"/>
    <w:rsid w:val="003E5197"/>
    <w:rsid w:val="003E59A6"/>
    <w:rsid w:val="003E66AF"/>
    <w:rsid w:val="003E6E41"/>
    <w:rsid w:val="003E6F51"/>
    <w:rsid w:val="003E72BF"/>
    <w:rsid w:val="003F08CE"/>
    <w:rsid w:val="003F106A"/>
    <w:rsid w:val="003F155A"/>
    <w:rsid w:val="003F2B10"/>
    <w:rsid w:val="003F37F0"/>
    <w:rsid w:val="003F410A"/>
    <w:rsid w:val="003F41F9"/>
    <w:rsid w:val="003F5870"/>
    <w:rsid w:val="003F5AA7"/>
    <w:rsid w:val="003F6073"/>
    <w:rsid w:val="003F69DC"/>
    <w:rsid w:val="00400B48"/>
    <w:rsid w:val="00401F5D"/>
    <w:rsid w:val="00403866"/>
    <w:rsid w:val="00404BB1"/>
    <w:rsid w:val="004120C2"/>
    <w:rsid w:val="00412FA7"/>
    <w:rsid w:val="00414CB1"/>
    <w:rsid w:val="00414DF0"/>
    <w:rsid w:val="0041555E"/>
    <w:rsid w:val="00416786"/>
    <w:rsid w:val="0041722D"/>
    <w:rsid w:val="00417594"/>
    <w:rsid w:val="00420660"/>
    <w:rsid w:val="004206E5"/>
    <w:rsid w:val="00422008"/>
    <w:rsid w:val="00422997"/>
    <w:rsid w:val="00422D6C"/>
    <w:rsid w:val="00423D9F"/>
    <w:rsid w:val="00423F93"/>
    <w:rsid w:val="00425EA4"/>
    <w:rsid w:val="0042755E"/>
    <w:rsid w:val="00430F16"/>
    <w:rsid w:val="00431BAD"/>
    <w:rsid w:val="00432E76"/>
    <w:rsid w:val="0043300A"/>
    <w:rsid w:val="0043317F"/>
    <w:rsid w:val="004346A4"/>
    <w:rsid w:val="00434C20"/>
    <w:rsid w:val="00435EE3"/>
    <w:rsid w:val="0044077F"/>
    <w:rsid w:val="00441333"/>
    <w:rsid w:val="00441743"/>
    <w:rsid w:val="00442E25"/>
    <w:rsid w:val="00443B88"/>
    <w:rsid w:val="00444471"/>
    <w:rsid w:val="00444F74"/>
    <w:rsid w:val="0044537D"/>
    <w:rsid w:val="00445611"/>
    <w:rsid w:val="00445BB4"/>
    <w:rsid w:val="00446BA3"/>
    <w:rsid w:val="00446C56"/>
    <w:rsid w:val="00450A0A"/>
    <w:rsid w:val="004513C8"/>
    <w:rsid w:val="00451479"/>
    <w:rsid w:val="0045247B"/>
    <w:rsid w:val="0045389A"/>
    <w:rsid w:val="00453AA6"/>
    <w:rsid w:val="00453C8E"/>
    <w:rsid w:val="00455936"/>
    <w:rsid w:val="00455957"/>
    <w:rsid w:val="00456ECF"/>
    <w:rsid w:val="004575E7"/>
    <w:rsid w:val="004576CE"/>
    <w:rsid w:val="00460241"/>
    <w:rsid w:val="00460882"/>
    <w:rsid w:val="00462CB3"/>
    <w:rsid w:val="00462D0D"/>
    <w:rsid w:val="0046367F"/>
    <w:rsid w:val="00463857"/>
    <w:rsid w:val="004646DE"/>
    <w:rsid w:val="00464DA8"/>
    <w:rsid w:val="00464E96"/>
    <w:rsid w:val="004659D9"/>
    <w:rsid w:val="00465A60"/>
    <w:rsid w:val="00466175"/>
    <w:rsid w:val="00466485"/>
    <w:rsid w:val="00466DCF"/>
    <w:rsid w:val="00467CCE"/>
    <w:rsid w:val="00472625"/>
    <w:rsid w:val="004729C4"/>
    <w:rsid w:val="0047354D"/>
    <w:rsid w:val="00475591"/>
    <w:rsid w:val="00477341"/>
    <w:rsid w:val="00477583"/>
    <w:rsid w:val="00477A91"/>
    <w:rsid w:val="00477D3D"/>
    <w:rsid w:val="00481E9F"/>
    <w:rsid w:val="00482053"/>
    <w:rsid w:val="00482A4A"/>
    <w:rsid w:val="00482EE8"/>
    <w:rsid w:val="00482F4E"/>
    <w:rsid w:val="004837BE"/>
    <w:rsid w:val="00483F4D"/>
    <w:rsid w:val="00483FC6"/>
    <w:rsid w:val="00484318"/>
    <w:rsid w:val="00485E48"/>
    <w:rsid w:val="00485F48"/>
    <w:rsid w:val="00486773"/>
    <w:rsid w:val="00487542"/>
    <w:rsid w:val="00487CAE"/>
    <w:rsid w:val="0049114A"/>
    <w:rsid w:val="00491431"/>
    <w:rsid w:val="00491964"/>
    <w:rsid w:val="00491B38"/>
    <w:rsid w:val="0049368B"/>
    <w:rsid w:val="00495029"/>
    <w:rsid w:val="00495555"/>
    <w:rsid w:val="00496130"/>
    <w:rsid w:val="00497B6C"/>
    <w:rsid w:val="004A0239"/>
    <w:rsid w:val="004A1507"/>
    <w:rsid w:val="004A201A"/>
    <w:rsid w:val="004A237E"/>
    <w:rsid w:val="004A3A35"/>
    <w:rsid w:val="004A4580"/>
    <w:rsid w:val="004A4646"/>
    <w:rsid w:val="004A523E"/>
    <w:rsid w:val="004A6B5B"/>
    <w:rsid w:val="004A7315"/>
    <w:rsid w:val="004B1323"/>
    <w:rsid w:val="004B1506"/>
    <w:rsid w:val="004B24FD"/>
    <w:rsid w:val="004B27A2"/>
    <w:rsid w:val="004B306E"/>
    <w:rsid w:val="004B4C09"/>
    <w:rsid w:val="004C1BE0"/>
    <w:rsid w:val="004C1EB6"/>
    <w:rsid w:val="004C3699"/>
    <w:rsid w:val="004C3852"/>
    <w:rsid w:val="004C4CE4"/>
    <w:rsid w:val="004C7242"/>
    <w:rsid w:val="004D0B05"/>
    <w:rsid w:val="004D1182"/>
    <w:rsid w:val="004D1F68"/>
    <w:rsid w:val="004D29DE"/>
    <w:rsid w:val="004D2FF3"/>
    <w:rsid w:val="004D5330"/>
    <w:rsid w:val="004D5488"/>
    <w:rsid w:val="004D6125"/>
    <w:rsid w:val="004D6945"/>
    <w:rsid w:val="004D7588"/>
    <w:rsid w:val="004D7A3B"/>
    <w:rsid w:val="004E185A"/>
    <w:rsid w:val="004E369D"/>
    <w:rsid w:val="004E3E3F"/>
    <w:rsid w:val="004E4452"/>
    <w:rsid w:val="004E4EDE"/>
    <w:rsid w:val="004E570F"/>
    <w:rsid w:val="004E6541"/>
    <w:rsid w:val="004E65E7"/>
    <w:rsid w:val="004F1DDD"/>
    <w:rsid w:val="004F2501"/>
    <w:rsid w:val="004F25EC"/>
    <w:rsid w:val="004F27A6"/>
    <w:rsid w:val="004F401D"/>
    <w:rsid w:val="004F4E9F"/>
    <w:rsid w:val="004F4F8B"/>
    <w:rsid w:val="004F6E2D"/>
    <w:rsid w:val="004F72B4"/>
    <w:rsid w:val="004F794B"/>
    <w:rsid w:val="00500388"/>
    <w:rsid w:val="0050163E"/>
    <w:rsid w:val="00502AB5"/>
    <w:rsid w:val="00503B4B"/>
    <w:rsid w:val="00506AB0"/>
    <w:rsid w:val="00507192"/>
    <w:rsid w:val="0050747E"/>
    <w:rsid w:val="0050777F"/>
    <w:rsid w:val="0051025B"/>
    <w:rsid w:val="00511FD3"/>
    <w:rsid w:val="00512430"/>
    <w:rsid w:val="00513D2A"/>
    <w:rsid w:val="00513D65"/>
    <w:rsid w:val="0051485F"/>
    <w:rsid w:val="00515948"/>
    <w:rsid w:val="005163C9"/>
    <w:rsid w:val="005167D0"/>
    <w:rsid w:val="00516D09"/>
    <w:rsid w:val="00520146"/>
    <w:rsid w:val="00520778"/>
    <w:rsid w:val="005218F0"/>
    <w:rsid w:val="00523D25"/>
    <w:rsid w:val="00524CD5"/>
    <w:rsid w:val="005264F6"/>
    <w:rsid w:val="00526632"/>
    <w:rsid w:val="005267B8"/>
    <w:rsid w:val="00526DEE"/>
    <w:rsid w:val="005271BE"/>
    <w:rsid w:val="00530480"/>
    <w:rsid w:val="005309C6"/>
    <w:rsid w:val="00530B47"/>
    <w:rsid w:val="005321FF"/>
    <w:rsid w:val="00532A7B"/>
    <w:rsid w:val="00533932"/>
    <w:rsid w:val="00533ED4"/>
    <w:rsid w:val="0053431A"/>
    <w:rsid w:val="0053463E"/>
    <w:rsid w:val="00535606"/>
    <w:rsid w:val="00535794"/>
    <w:rsid w:val="005359B5"/>
    <w:rsid w:val="00536A4B"/>
    <w:rsid w:val="00536E6B"/>
    <w:rsid w:val="005379B9"/>
    <w:rsid w:val="00541515"/>
    <w:rsid w:val="005422BA"/>
    <w:rsid w:val="00542DFF"/>
    <w:rsid w:val="00543E44"/>
    <w:rsid w:val="0054412F"/>
    <w:rsid w:val="00544DE9"/>
    <w:rsid w:val="00545228"/>
    <w:rsid w:val="00545EAC"/>
    <w:rsid w:val="0054668B"/>
    <w:rsid w:val="00546BE4"/>
    <w:rsid w:val="00546F86"/>
    <w:rsid w:val="00547EED"/>
    <w:rsid w:val="005503F8"/>
    <w:rsid w:val="00550400"/>
    <w:rsid w:val="00551E8D"/>
    <w:rsid w:val="00554063"/>
    <w:rsid w:val="00554BA4"/>
    <w:rsid w:val="00554DFE"/>
    <w:rsid w:val="00554E58"/>
    <w:rsid w:val="00555021"/>
    <w:rsid w:val="00556715"/>
    <w:rsid w:val="00560195"/>
    <w:rsid w:val="00561689"/>
    <w:rsid w:val="00561AD5"/>
    <w:rsid w:val="005628F7"/>
    <w:rsid w:val="00562F65"/>
    <w:rsid w:val="00563B0C"/>
    <w:rsid w:val="00564217"/>
    <w:rsid w:val="00564CBE"/>
    <w:rsid w:val="00565598"/>
    <w:rsid w:val="00566538"/>
    <w:rsid w:val="005669CD"/>
    <w:rsid w:val="005669FF"/>
    <w:rsid w:val="00566A84"/>
    <w:rsid w:val="0056765F"/>
    <w:rsid w:val="0056779F"/>
    <w:rsid w:val="0056780F"/>
    <w:rsid w:val="00567977"/>
    <w:rsid w:val="005679AA"/>
    <w:rsid w:val="00567F73"/>
    <w:rsid w:val="00570BBE"/>
    <w:rsid w:val="00570FA8"/>
    <w:rsid w:val="0057145A"/>
    <w:rsid w:val="00572D3A"/>
    <w:rsid w:val="00572DC0"/>
    <w:rsid w:val="005738D1"/>
    <w:rsid w:val="00573B81"/>
    <w:rsid w:val="00574052"/>
    <w:rsid w:val="0057447D"/>
    <w:rsid w:val="005749F6"/>
    <w:rsid w:val="005755AF"/>
    <w:rsid w:val="0057572D"/>
    <w:rsid w:val="0057585F"/>
    <w:rsid w:val="00576769"/>
    <w:rsid w:val="00576CC3"/>
    <w:rsid w:val="00577615"/>
    <w:rsid w:val="00581838"/>
    <w:rsid w:val="00581B3A"/>
    <w:rsid w:val="00581D21"/>
    <w:rsid w:val="00581EF6"/>
    <w:rsid w:val="00584546"/>
    <w:rsid w:val="0059174D"/>
    <w:rsid w:val="005925BF"/>
    <w:rsid w:val="005A0559"/>
    <w:rsid w:val="005A0687"/>
    <w:rsid w:val="005A1B54"/>
    <w:rsid w:val="005A1B99"/>
    <w:rsid w:val="005A1C0F"/>
    <w:rsid w:val="005A2547"/>
    <w:rsid w:val="005A2B07"/>
    <w:rsid w:val="005A3B5B"/>
    <w:rsid w:val="005A4B18"/>
    <w:rsid w:val="005A5441"/>
    <w:rsid w:val="005A548D"/>
    <w:rsid w:val="005A6807"/>
    <w:rsid w:val="005A7CCC"/>
    <w:rsid w:val="005B1425"/>
    <w:rsid w:val="005B2680"/>
    <w:rsid w:val="005B2C51"/>
    <w:rsid w:val="005B2D29"/>
    <w:rsid w:val="005B4043"/>
    <w:rsid w:val="005B47DB"/>
    <w:rsid w:val="005B5009"/>
    <w:rsid w:val="005C07C1"/>
    <w:rsid w:val="005C0861"/>
    <w:rsid w:val="005C0FA6"/>
    <w:rsid w:val="005C3798"/>
    <w:rsid w:val="005C70E9"/>
    <w:rsid w:val="005D04CE"/>
    <w:rsid w:val="005D0743"/>
    <w:rsid w:val="005D14F4"/>
    <w:rsid w:val="005D17D6"/>
    <w:rsid w:val="005D1BFE"/>
    <w:rsid w:val="005D1D81"/>
    <w:rsid w:val="005D3080"/>
    <w:rsid w:val="005D4E92"/>
    <w:rsid w:val="005D547A"/>
    <w:rsid w:val="005D5B88"/>
    <w:rsid w:val="005D6072"/>
    <w:rsid w:val="005D6783"/>
    <w:rsid w:val="005D7144"/>
    <w:rsid w:val="005E1E39"/>
    <w:rsid w:val="005E23EA"/>
    <w:rsid w:val="005E3A21"/>
    <w:rsid w:val="005E4FA9"/>
    <w:rsid w:val="005E561E"/>
    <w:rsid w:val="005E58DC"/>
    <w:rsid w:val="005E7840"/>
    <w:rsid w:val="005E797E"/>
    <w:rsid w:val="005F0114"/>
    <w:rsid w:val="005F0316"/>
    <w:rsid w:val="005F0B13"/>
    <w:rsid w:val="005F2976"/>
    <w:rsid w:val="005F2AFE"/>
    <w:rsid w:val="005F31AD"/>
    <w:rsid w:val="005F3DA4"/>
    <w:rsid w:val="005F4163"/>
    <w:rsid w:val="005F4862"/>
    <w:rsid w:val="005F545D"/>
    <w:rsid w:val="005F56AE"/>
    <w:rsid w:val="005F5B33"/>
    <w:rsid w:val="005F6398"/>
    <w:rsid w:val="005F6D00"/>
    <w:rsid w:val="006006DD"/>
    <w:rsid w:val="00601595"/>
    <w:rsid w:val="006015CA"/>
    <w:rsid w:val="00602428"/>
    <w:rsid w:val="00603277"/>
    <w:rsid w:val="00603856"/>
    <w:rsid w:val="0060658C"/>
    <w:rsid w:val="0060735E"/>
    <w:rsid w:val="006074E1"/>
    <w:rsid w:val="00607A9E"/>
    <w:rsid w:val="0061091B"/>
    <w:rsid w:val="00611A0B"/>
    <w:rsid w:val="0061227F"/>
    <w:rsid w:val="006123BC"/>
    <w:rsid w:val="00615863"/>
    <w:rsid w:val="006161E9"/>
    <w:rsid w:val="0061721B"/>
    <w:rsid w:val="00620247"/>
    <w:rsid w:val="0062204E"/>
    <w:rsid w:val="0062276D"/>
    <w:rsid w:val="00622A3C"/>
    <w:rsid w:val="00624620"/>
    <w:rsid w:val="00625384"/>
    <w:rsid w:val="006256E9"/>
    <w:rsid w:val="0062579D"/>
    <w:rsid w:val="006272CA"/>
    <w:rsid w:val="006300D4"/>
    <w:rsid w:val="0063018B"/>
    <w:rsid w:val="00630738"/>
    <w:rsid w:val="006336DE"/>
    <w:rsid w:val="0063374D"/>
    <w:rsid w:val="00633DD7"/>
    <w:rsid w:val="006340AE"/>
    <w:rsid w:val="006341D0"/>
    <w:rsid w:val="00634564"/>
    <w:rsid w:val="00634FA7"/>
    <w:rsid w:val="00635EA7"/>
    <w:rsid w:val="0063698D"/>
    <w:rsid w:val="00637BA7"/>
    <w:rsid w:val="00640325"/>
    <w:rsid w:val="0064173F"/>
    <w:rsid w:val="006419D0"/>
    <w:rsid w:val="006419DB"/>
    <w:rsid w:val="00642689"/>
    <w:rsid w:val="00642879"/>
    <w:rsid w:val="0064423F"/>
    <w:rsid w:val="00645A7C"/>
    <w:rsid w:val="00646865"/>
    <w:rsid w:val="006509B6"/>
    <w:rsid w:val="0065189A"/>
    <w:rsid w:val="00654687"/>
    <w:rsid w:val="00654CDF"/>
    <w:rsid w:val="006562AB"/>
    <w:rsid w:val="006567F4"/>
    <w:rsid w:val="006569F1"/>
    <w:rsid w:val="00657926"/>
    <w:rsid w:val="00660C74"/>
    <w:rsid w:val="00660E9B"/>
    <w:rsid w:val="0066267D"/>
    <w:rsid w:val="00664283"/>
    <w:rsid w:val="00664925"/>
    <w:rsid w:val="0067108D"/>
    <w:rsid w:val="006716C8"/>
    <w:rsid w:val="006736B9"/>
    <w:rsid w:val="00673896"/>
    <w:rsid w:val="0067502F"/>
    <w:rsid w:val="00675185"/>
    <w:rsid w:val="00675E4A"/>
    <w:rsid w:val="00676219"/>
    <w:rsid w:val="00676D91"/>
    <w:rsid w:val="00677F87"/>
    <w:rsid w:val="0068078C"/>
    <w:rsid w:val="00680A9B"/>
    <w:rsid w:val="00680ECA"/>
    <w:rsid w:val="006814C2"/>
    <w:rsid w:val="006817CA"/>
    <w:rsid w:val="0068427A"/>
    <w:rsid w:val="00685186"/>
    <w:rsid w:val="00686C3F"/>
    <w:rsid w:val="0069187E"/>
    <w:rsid w:val="00691DEC"/>
    <w:rsid w:val="006924F8"/>
    <w:rsid w:val="00692C86"/>
    <w:rsid w:val="00692F1A"/>
    <w:rsid w:val="00693434"/>
    <w:rsid w:val="00693ED1"/>
    <w:rsid w:val="00694603"/>
    <w:rsid w:val="00694F4B"/>
    <w:rsid w:val="00696861"/>
    <w:rsid w:val="00696B47"/>
    <w:rsid w:val="00697975"/>
    <w:rsid w:val="006A054B"/>
    <w:rsid w:val="006A0691"/>
    <w:rsid w:val="006A1A19"/>
    <w:rsid w:val="006A25C6"/>
    <w:rsid w:val="006A366B"/>
    <w:rsid w:val="006A4AEA"/>
    <w:rsid w:val="006A6426"/>
    <w:rsid w:val="006A712F"/>
    <w:rsid w:val="006A7869"/>
    <w:rsid w:val="006A7BDC"/>
    <w:rsid w:val="006A7DC0"/>
    <w:rsid w:val="006B1511"/>
    <w:rsid w:val="006B429A"/>
    <w:rsid w:val="006B57ED"/>
    <w:rsid w:val="006B6197"/>
    <w:rsid w:val="006C09D1"/>
    <w:rsid w:val="006C0D68"/>
    <w:rsid w:val="006C1675"/>
    <w:rsid w:val="006C293D"/>
    <w:rsid w:val="006C3D6A"/>
    <w:rsid w:val="006C3ED8"/>
    <w:rsid w:val="006C42BE"/>
    <w:rsid w:val="006C4D07"/>
    <w:rsid w:val="006C5B3B"/>
    <w:rsid w:val="006C672A"/>
    <w:rsid w:val="006D16A1"/>
    <w:rsid w:val="006D21E2"/>
    <w:rsid w:val="006D23F0"/>
    <w:rsid w:val="006D3269"/>
    <w:rsid w:val="006D6F98"/>
    <w:rsid w:val="006D7523"/>
    <w:rsid w:val="006E1045"/>
    <w:rsid w:val="006E2E17"/>
    <w:rsid w:val="006E407C"/>
    <w:rsid w:val="006E45FE"/>
    <w:rsid w:val="006E5C2B"/>
    <w:rsid w:val="006E5FDC"/>
    <w:rsid w:val="006E7F8D"/>
    <w:rsid w:val="006F099E"/>
    <w:rsid w:val="006F0E04"/>
    <w:rsid w:val="006F1E25"/>
    <w:rsid w:val="006F294C"/>
    <w:rsid w:val="006F2C6F"/>
    <w:rsid w:val="006F3567"/>
    <w:rsid w:val="006F42D9"/>
    <w:rsid w:val="006F59B2"/>
    <w:rsid w:val="006F6B74"/>
    <w:rsid w:val="006F6C68"/>
    <w:rsid w:val="006F72D3"/>
    <w:rsid w:val="006F751A"/>
    <w:rsid w:val="006F796D"/>
    <w:rsid w:val="006F7D6F"/>
    <w:rsid w:val="007002E3"/>
    <w:rsid w:val="0070130F"/>
    <w:rsid w:val="007019E4"/>
    <w:rsid w:val="00702601"/>
    <w:rsid w:val="00703B4B"/>
    <w:rsid w:val="00704B67"/>
    <w:rsid w:val="00704CB4"/>
    <w:rsid w:val="00706F25"/>
    <w:rsid w:val="007102F2"/>
    <w:rsid w:val="00710BC6"/>
    <w:rsid w:val="007117E6"/>
    <w:rsid w:val="00713ABE"/>
    <w:rsid w:val="0071469D"/>
    <w:rsid w:val="007159AC"/>
    <w:rsid w:val="00715B08"/>
    <w:rsid w:val="00716A53"/>
    <w:rsid w:val="00717A2B"/>
    <w:rsid w:val="00717C3B"/>
    <w:rsid w:val="00717CDB"/>
    <w:rsid w:val="007203A1"/>
    <w:rsid w:val="00720B35"/>
    <w:rsid w:val="00720EA0"/>
    <w:rsid w:val="007227DE"/>
    <w:rsid w:val="00723043"/>
    <w:rsid w:val="00723CF3"/>
    <w:rsid w:val="0072419E"/>
    <w:rsid w:val="007253F7"/>
    <w:rsid w:val="007256AA"/>
    <w:rsid w:val="00725CF2"/>
    <w:rsid w:val="00727DF3"/>
    <w:rsid w:val="007301B1"/>
    <w:rsid w:val="00731FDA"/>
    <w:rsid w:val="007325BA"/>
    <w:rsid w:val="00733591"/>
    <w:rsid w:val="00734071"/>
    <w:rsid w:val="0073426D"/>
    <w:rsid w:val="00734EEF"/>
    <w:rsid w:val="007374EE"/>
    <w:rsid w:val="007376F4"/>
    <w:rsid w:val="00741638"/>
    <w:rsid w:val="00741D0E"/>
    <w:rsid w:val="00742010"/>
    <w:rsid w:val="007420E7"/>
    <w:rsid w:val="00742738"/>
    <w:rsid w:val="0074292D"/>
    <w:rsid w:val="007436FA"/>
    <w:rsid w:val="00743C69"/>
    <w:rsid w:val="00743FDB"/>
    <w:rsid w:val="007447D3"/>
    <w:rsid w:val="007451BF"/>
    <w:rsid w:val="007452C5"/>
    <w:rsid w:val="0074598F"/>
    <w:rsid w:val="00746722"/>
    <w:rsid w:val="007474BD"/>
    <w:rsid w:val="007479DA"/>
    <w:rsid w:val="00750FC2"/>
    <w:rsid w:val="0075286F"/>
    <w:rsid w:val="00753322"/>
    <w:rsid w:val="00754BCC"/>
    <w:rsid w:val="00756987"/>
    <w:rsid w:val="00756B82"/>
    <w:rsid w:val="0075758D"/>
    <w:rsid w:val="00761320"/>
    <w:rsid w:val="00762416"/>
    <w:rsid w:val="00762502"/>
    <w:rsid w:val="0076304D"/>
    <w:rsid w:val="007635A7"/>
    <w:rsid w:val="00763937"/>
    <w:rsid w:val="0076453B"/>
    <w:rsid w:val="00765671"/>
    <w:rsid w:val="007660E7"/>
    <w:rsid w:val="0076634C"/>
    <w:rsid w:val="00767A1C"/>
    <w:rsid w:val="00767DF9"/>
    <w:rsid w:val="00767F61"/>
    <w:rsid w:val="0077039B"/>
    <w:rsid w:val="007728FC"/>
    <w:rsid w:val="00772AE8"/>
    <w:rsid w:val="00772CE5"/>
    <w:rsid w:val="00773456"/>
    <w:rsid w:val="00774D3C"/>
    <w:rsid w:val="007772D1"/>
    <w:rsid w:val="00781EBD"/>
    <w:rsid w:val="0078244D"/>
    <w:rsid w:val="007826AD"/>
    <w:rsid w:val="007832B0"/>
    <w:rsid w:val="00783360"/>
    <w:rsid w:val="0078372F"/>
    <w:rsid w:val="007837F7"/>
    <w:rsid w:val="00783947"/>
    <w:rsid w:val="00785CD3"/>
    <w:rsid w:val="007873E1"/>
    <w:rsid w:val="007931EB"/>
    <w:rsid w:val="00794723"/>
    <w:rsid w:val="0079499D"/>
    <w:rsid w:val="00794B3B"/>
    <w:rsid w:val="00794ED0"/>
    <w:rsid w:val="0079524C"/>
    <w:rsid w:val="007956CA"/>
    <w:rsid w:val="00795F00"/>
    <w:rsid w:val="0079623C"/>
    <w:rsid w:val="007967B8"/>
    <w:rsid w:val="007A09BE"/>
    <w:rsid w:val="007A0A35"/>
    <w:rsid w:val="007A1B33"/>
    <w:rsid w:val="007A2040"/>
    <w:rsid w:val="007A4B22"/>
    <w:rsid w:val="007A5E82"/>
    <w:rsid w:val="007A63B2"/>
    <w:rsid w:val="007A661B"/>
    <w:rsid w:val="007A7EA5"/>
    <w:rsid w:val="007A7F31"/>
    <w:rsid w:val="007B0B6B"/>
    <w:rsid w:val="007B0CFF"/>
    <w:rsid w:val="007B1503"/>
    <w:rsid w:val="007B1C28"/>
    <w:rsid w:val="007B1FE4"/>
    <w:rsid w:val="007B22A8"/>
    <w:rsid w:val="007B2CF9"/>
    <w:rsid w:val="007B4807"/>
    <w:rsid w:val="007B4F85"/>
    <w:rsid w:val="007B5330"/>
    <w:rsid w:val="007B61D6"/>
    <w:rsid w:val="007B739C"/>
    <w:rsid w:val="007B7D3A"/>
    <w:rsid w:val="007C02DE"/>
    <w:rsid w:val="007C1037"/>
    <w:rsid w:val="007C1583"/>
    <w:rsid w:val="007C192C"/>
    <w:rsid w:val="007C1A07"/>
    <w:rsid w:val="007C1B31"/>
    <w:rsid w:val="007C2025"/>
    <w:rsid w:val="007C358B"/>
    <w:rsid w:val="007C3A9D"/>
    <w:rsid w:val="007C648D"/>
    <w:rsid w:val="007C6744"/>
    <w:rsid w:val="007C7AB2"/>
    <w:rsid w:val="007D0755"/>
    <w:rsid w:val="007D13B5"/>
    <w:rsid w:val="007D2364"/>
    <w:rsid w:val="007D41B8"/>
    <w:rsid w:val="007D473C"/>
    <w:rsid w:val="007D4FB8"/>
    <w:rsid w:val="007D6290"/>
    <w:rsid w:val="007E15A4"/>
    <w:rsid w:val="007E1785"/>
    <w:rsid w:val="007E18B6"/>
    <w:rsid w:val="007E217C"/>
    <w:rsid w:val="007E2DD4"/>
    <w:rsid w:val="007E2F45"/>
    <w:rsid w:val="007E30D9"/>
    <w:rsid w:val="007E3138"/>
    <w:rsid w:val="007E388B"/>
    <w:rsid w:val="007E410D"/>
    <w:rsid w:val="007E5920"/>
    <w:rsid w:val="007E5ABB"/>
    <w:rsid w:val="007E6EE7"/>
    <w:rsid w:val="007E7542"/>
    <w:rsid w:val="007E7FD0"/>
    <w:rsid w:val="007F1358"/>
    <w:rsid w:val="007F13E7"/>
    <w:rsid w:val="007F1649"/>
    <w:rsid w:val="007F1E99"/>
    <w:rsid w:val="007F22B9"/>
    <w:rsid w:val="007F2A07"/>
    <w:rsid w:val="007F2C9C"/>
    <w:rsid w:val="007F7C36"/>
    <w:rsid w:val="00800FCF"/>
    <w:rsid w:val="008010B8"/>
    <w:rsid w:val="00801662"/>
    <w:rsid w:val="00801C56"/>
    <w:rsid w:val="00801F45"/>
    <w:rsid w:val="00802E4E"/>
    <w:rsid w:val="00803195"/>
    <w:rsid w:val="00803742"/>
    <w:rsid w:val="0080381C"/>
    <w:rsid w:val="0080384A"/>
    <w:rsid w:val="00803994"/>
    <w:rsid w:val="00804F9C"/>
    <w:rsid w:val="00805A29"/>
    <w:rsid w:val="00806593"/>
    <w:rsid w:val="0080768B"/>
    <w:rsid w:val="00810A4C"/>
    <w:rsid w:val="008111C3"/>
    <w:rsid w:val="00812844"/>
    <w:rsid w:val="00814109"/>
    <w:rsid w:val="008166C1"/>
    <w:rsid w:val="0081698C"/>
    <w:rsid w:val="008171FE"/>
    <w:rsid w:val="00817286"/>
    <w:rsid w:val="00820E7A"/>
    <w:rsid w:val="00822322"/>
    <w:rsid w:val="00822572"/>
    <w:rsid w:val="008229E6"/>
    <w:rsid w:val="008238E6"/>
    <w:rsid w:val="00824343"/>
    <w:rsid w:val="00825873"/>
    <w:rsid w:val="008259E3"/>
    <w:rsid w:val="00825A80"/>
    <w:rsid w:val="00826673"/>
    <w:rsid w:val="00826B8E"/>
    <w:rsid w:val="00826CDB"/>
    <w:rsid w:val="00827166"/>
    <w:rsid w:val="00827539"/>
    <w:rsid w:val="00830344"/>
    <w:rsid w:val="008307CD"/>
    <w:rsid w:val="00831B4A"/>
    <w:rsid w:val="00831BBE"/>
    <w:rsid w:val="0083359C"/>
    <w:rsid w:val="00833B24"/>
    <w:rsid w:val="00834619"/>
    <w:rsid w:val="00835F48"/>
    <w:rsid w:val="00836808"/>
    <w:rsid w:val="00836EB5"/>
    <w:rsid w:val="00840BF2"/>
    <w:rsid w:val="00840CD7"/>
    <w:rsid w:val="008411A8"/>
    <w:rsid w:val="008411EB"/>
    <w:rsid w:val="008411FB"/>
    <w:rsid w:val="008429DA"/>
    <w:rsid w:val="008435D9"/>
    <w:rsid w:val="008435E1"/>
    <w:rsid w:val="008438F0"/>
    <w:rsid w:val="0084469D"/>
    <w:rsid w:val="008446A7"/>
    <w:rsid w:val="00846784"/>
    <w:rsid w:val="00846F91"/>
    <w:rsid w:val="0084740A"/>
    <w:rsid w:val="00847B2B"/>
    <w:rsid w:val="00850BA1"/>
    <w:rsid w:val="00851AF1"/>
    <w:rsid w:val="00852588"/>
    <w:rsid w:val="00852BAB"/>
    <w:rsid w:val="00853B35"/>
    <w:rsid w:val="00854B0A"/>
    <w:rsid w:val="00855EFC"/>
    <w:rsid w:val="00857040"/>
    <w:rsid w:val="0086037A"/>
    <w:rsid w:val="008611F3"/>
    <w:rsid w:val="008617BA"/>
    <w:rsid w:val="00862D5C"/>
    <w:rsid w:val="00863EE6"/>
    <w:rsid w:val="00863EEC"/>
    <w:rsid w:val="00863F75"/>
    <w:rsid w:val="008653B6"/>
    <w:rsid w:val="00865717"/>
    <w:rsid w:val="00866489"/>
    <w:rsid w:val="0086677C"/>
    <w:rsid w:val="00866974"/>
    <w:rsid w:val="00866C64"/>
    <w:rsid w:val="0086757E"/>
    <w:rsid w:val="0087053B"/>
    <w:rsid w:val="0087129E"/>
    <w:rsid w:val="00872221"/>
    <w:rsid w:val="0087321A"/>
    <w:rsid w:val="008734C6"/>
    <w:rsid w:val="00874852"/>
    <w:rsid w:val="00874883"/>
    <w:rsid w:val="00877516"/>
    <w:rsid w:val="008807B7"/>
    <w:rsid w:val="00880A76"/>
    <w:rsid w:val="00881990"/>
    <w:rsid w:val="00882172"/>
    <w:rsid w:val="00882F19"/>
    <w:rsid w:val="0088584B"/>
    <w:rsid w:val="008862D7"/>
    <w:rsid w:val="00887598"/>
    <w:rsid w:val="0089070F"/>
    <w:rsid w:val="00892071"/>
    <w:rsid w:val="00892782"/>
    <w:rsid w:val="0089300B"/>
    <w:rsid w:val="00893317"/>
    <w:rsid w:val="00893E8D"/>
    <w:rsid w:val="0089510B"/>
    <w:rsid w:val="008964B9"/>
    <w:rsid w:val="008978F8"/>
    <w:rsid w:val="00897BC7"/>
    <w:rsid w:val="008A0C80"/>
    <w:rsid w:val="008A0F3B"/>
    <w:rsid w:val="008A166B"/>
    <w:rsid w:val="008A325D"/>
    <w:rsid w:val="008A329D"/>
    <w:rsid w:val="008A3832"/>
    <w:rsid w:val="008A5723"/>
    <w:rsid w:val="008A5830"/>
    <w:rsid w:val="008A63FC"/>
    <w:rsid w:val="008A69B9"/>
    <w:rsid w:val="008A73CF"/>
    <w:rsid w:val="008B03B9"/>
    <w:rsid w:val="008B200A"/>
    <w:rsid w:val="008B2182"/>
    <w:rsid w:val="008B29BE"/>
    <w:rsid w:val="008B2D2B"/>
    <w:rsid w:val="008B3235"/>
    <w:rsid w:val="008B4298"/>
    <w:rsid w:val="008B60A4"/>
    <w:rsid w:val="008B780F"/>
    <w:rsid w:val="008C0023"/>
    <w:rsid w:val="008C19CA"/>
    <w:rsid w:val="008C3B90"/>
    <w:rsid w:val="008C3D92"/>
    <w:rsid w:val="008C531D"/>
    <w:rsid w:val="008C56AF"/>
    <w:rsid w:val="008C596C"/>
    <w:rsid w:val="008C62E5"/>
    <w:rsid w:val="008C7923"/>
    <w:rsid w:val="008C79EF"/>
    <w:rsid w:val="008D0B56"/>
    <w:rsid w:val="008D1414"/>
    <w:rsid w:val="008D17CC"/>
    <w:rsid w:val="008D32C5"/>
    <w:rsid w:val="008D6856"/>
    <w:rsid w:val="008D68CC"/>
    <w:rsid w:val="008E0363"/>
    <w:rsid w:val="008E189F"/>
    <w:rsid w:val="008E1B62"/>
    <w:rsid w:val="008E1CB5"/>
    <w:rsid w:val="008E331A"/>
    <w:rsid w:val="008E33CF"/>
    <w:rsid w:val="008E3A29"/>
    <w:rsid w:val="008E4AE7"/>
    <w:rsid w:val="008E4F9E"/>
    <w:rsid w:val="008E504F"/>
    <w:rsid w:val="008E58E2"/>
    <w:rsid w:val="008E5D21"/>
    <w:rsid w:val="008E6846"/>
    <w:rsid w:val="008F03CD"/>
    <w:rsid w:val="008F1334"/>
    <w:rsid w:val="008F1EA6"/>
    <w:rsid w:val="008F1F60"/>
    <w:rsid w:val="008F4B3E"/>
    <w:rsid w:val="008F66D3"/>
    <w:rsid w:val="008F69B6"/>
    <w:rsid w:val="008F7C4E"/>
    <w:rsid w:val="00901140"/>
    <w:rsid w:val="009016D0"/>
    <w:rsid w:val="00901965"/>
    <w:rsid w:val="009030B4"/>
    <w:rsid w:val="009038E7"/>
    <w:rsid w:val="00903D9F"/>
    <w:rsid w:val="00905B2E"/>
    <w:rsid w:val="009061EF"/>
    <w:rsid w:val="00906537"/>
    <w:rsid w:val="00907477"/>
    <w:rsid w:val="00907ED5"/>
    <w:rsid w:val="0091015E"/>
    <w:rsid w:val="00911FD2"/>
    <w:rsid w:val="0091267F"/>
    <w:rsid w:val="00912FCC"/>
    <w:rsid w:val="00913434"/>
    <w:rsid w:val="0091350E"/>
    <w:rsid w:val="00915460"/>
    <w:rsid w:val="0091557A"/>
    <w:rsid w:val="00915A0C"/>
    <w:rsid w:val="009161AA"/>
    <w:rsid w:val="00916E57"/>
    <w:rsid w:val="0091726B"/>
    <w:rsid w:val="009205C2"/>
    <w:rsid w:val="00920AD4"/>
    <w:rsid w:val="0092133A"/>
    <w:rsid w:val="0092157D"/>
    <w:rsid w:val="00923334"/>
    <w:rsid w:val="00923811"/>
    <w:rsid w:val="0092507C"/>
    <w:rsid w:val="009258F6"/>
    <w:rsid w:val="00930823"/>
    <w:rsid w:val="00930A73"/>
    <w:rsid w:val="00931F24"/>
    <w:rsid w:val="009331B6"/>
    <w:rsid w:val="009338BA"/>
    <w:rsid w:val="00934A0E"/>
    <w:rsid w:val="00934B98"/>
    <w:rsid w:val="00934C07"/>
    <w:rsid w:val="0093718B"/>
    <w:rsid w:val="009414F7"/>
    <w:rsid w:val="009416A5"/>
    <w:rsid w:val="00942D12"/>
    <w:rsid w:val="00944B58"/>
    <w:rsid w:val="00945261"/>
    <w:rsid w:val="00945783"/>
    <w:rsid w:val="0094725E"/>
    <w:rsid w:val="00950516"/>
    <w:rsid w:val="009505DD"/>
    <w:rsid w:val="0095291F"/>
    <w:rsid w:val="009539F1"/>
    <w:rsid w:val="00953A30"/>
    <w:rsid w:val="00954511"/>
    <w:rsid w:val="0095500D"/>
    <w:rsid w:val="0095542C"/>
    <w:rsid w:val="00956C76"/>
    <w:rsid w:val="00957BA9"/>
    <w:rsid w:val="009602A1"/>
    <w:rsid w:val="00960958"/>
    <w:rsid w:val="0096180A"/>
    <w:rsid w:val="00961EE4"/>
    <w:rsid w:val="0096415D"/>
    <w:rsid w:val="00964EE2"/>
    <w:rsid w:val="00966DBD"/>
    <w:rsid w:val="00971FF5"/>
    <w:rsid w:val="009723AE"/>
    <w:rsid w:val="00972821"/>
    <w:rsid w:val="00972CF2"/>
    <w:rsid w:val="00973F52"/>
    <w:rsid w:val="0097486E"/>
    <w:rsid w:val="00975178"/>
    <w:rsid w:val="00976D75"/>
    <w:rsid w:val="00977116"/>
    <w:rsid w:val="0097718E"/>
    <w:rsid w:val="00980C0B"/>
    <w:rsid w:val="00982D7D"/>
    <w:rsid w:val="00982DC4"/>
    <w:rsid w:val="0098580E"/>
    <w:rsid w:val="00987024"/>
    <w:rsid w:val="00987B2D"/>
    <w:rsid w:val="00990D27"/>
    <w:rsid w:val="009913F7"/>
    <w:rsid w:val="0099152B"/>
    <w:rsid w:val="00991588"/>
    <w:rsid w:val="009915C7"/>
    <w:rsid w:val="00991B15"/>
    <w:rsid w:val="00992D60"/>
    <w:rsid w:val="00993F96"/>
    <w:rsid w:val="00994070"/>
    <w:rsid w:val="00994A32"/>
    <w:rsid w:val="00995C79"/>
    <w:rsid w:val="009965FA"/>
    <w:rsid w:val="00996BC7"/>
    <w:rsid w:val="00997A51"/>
    <w:rsid w:val="009A044C"/>
    <w:rsid w:val="009A171D"/>
    <w:rsid w:val="009A1DD0"/>
    <w:rsid w:val="009A21E4"/>
    <w:rsid w:val="009A22E6"/>
    <w:rsid w:val="009A3AAD"/>
    <w:rsid w:val="009A64D0"/>
    <w:rsid w:val="009A729D"/>
    <w:rsid w:val="009A7620"/>
    <w:rsid w:val="009B0F0B"/>
    <w:rsid w:val="009B16B3"/>
    <w:rsid w:val="009B1742"/>
    <w:rsid w:val="009B199B"/>
    <w:rsid w:val="009B23DE"/>
    <w:rsid w:val="009B2512"/>
    <w:rsid w:val="009B35B9"/>
    <w:rsid w:val="009B4366"/>
    <w:rsid w:val="009B4B00"/>
    <w:rsid w:val="009B6692"/>
    <w:rsid w:val="009C0371"/>
    <w:rsid w:val="009C2D77"/>
    <w:rsid w:val="009C48CC"/>
    <w:rsid w:val="009C53E8"/>
    <w:rsid w:val="009C6AA9"/>
    <w:rsid w:val="009C6DE7"/>
    <w:rsid w:val="009D0DFB"/>
    <w:rsid w:val="009D1C3D"/>
    <w:rsid w:val="009D1F38"/>
    <w:rsid w:val="009D1F41"/>
    <w:rsid w:val="009D26B4"/>
    <w:rsid w:val="009D5330"/>
    <w:rsid w:val="009D5581"/>
    <w:rsid w:val="009D652B"/>
    <w:rsid w:val="009D6E24"/>
    <w:rsid w:val="009D7F66"/>
    <w:rsid w:val="009E1740"/>
    <w:rsid w:val="009E237B"/>
    <w:rsid w:val="009E2CBD"/>
    <w:rsid w:val="009E3DD8"/>
    <w:rsid w:val="009E4377"/>
    <w:rsid w:val="009E5E51"/>
    <w:rsid w:val="009E5E7A"/>
    <w:rsid w:val="009E7880"/>
    <w:rsid w:val="009E7A12"/>
    <w:rsid w:val="009E7AF5"/>
    <w:rsid w:val="009F0690"/>
    <w:rsid w:val="009F0C73"/>
    <w:rsid w:val="009F1A9A"/>
    <w:rsid w:val="009F1F8D"/>
    <w:rsid w:val="009F28F8"/>
    <w:rsid w:val="009F33B2"/>
    <w:rsid w:val="009F3661"/>
    <w:rsid w:val="009F3B0A"/>
    <w:rsid w:val="009F3B9E"/>
    <w:rsid w:val="009F41E2"/>
    <w:rsid w:val="009F4441"/>
    <w:rsid w:val="009F4B75"/>
    <w:rsid w:val="009F4CF8"/>
    <w:rsid w:val="009F5E2B"/>
    <w:rsid w:val="009F6215"/>
    <w:rsid w:val="009F6D32"/>
    <w:rsid w:val="009F6DB3"/>
    <w:rsid w:val="009F7235"/>
    <w:rsid w:val="009F77AF"/>
    <w:rsid w:val="009F7E07"/>
    <w:rsid w:val="00A01C26"/>
    <w:rsid w:val="00A03ED3"/>
    <w:rsid w:val="00A03F32"/>
    <w:rsid w:val="00A04A2F"/>
    <w:rsid w:val="00A04DDE"/>
    <w:rsid w:val="00A05C82"/>
    <w:rsid w:val="00A06C32"/>
    <w:rsid w:val="00A076C0"/>
    <w:rsid w:val="00A0794C"/>
    <w:rsid w:val="00A10083"/>
    <w:rsid w:val="00A101B2"/>
    <w:rsid w:val="00A10527"/>
    <w:rsid w:val="00A1138B"/>
    <w:rsid w:val="00A11615"/>
    <w:rsid w:val="00A1195B"/>
    <w:rsid w:val="00A13AE2"/>
    <w:rsid w:val="00A14AEB"/>
    <w:rsid w:val="00A15375"/>
    <w:rsid w:val="00A153F5"/>
    <w:rsid w:val="00A15C91"/>
    <w:rsid w:val="00A16D1D"/>
    <w:rsid w:val="00A1792F"/>
    <w:rsid w:val="00A20319"/>
    <w:rsid w:val="00A2037B"/>
    <w:rsid w:val="00A207D7"/>
    <w:rsid w:val="00A23198"/>
    <w:rsid w:val="00A2494F"/>
    <w:rsid w:val="00A26598"/>
    <w:rsid w:val="00A278C9"/>
    <w:rsid w:val="00A27ED3"/>
    <w:rsid w:val="00A310AD"/>
    <w:rsid w:val="00A31D06"/>
    <w:rsid w:val="00A32DFF"/>
    <w:rsid w:val="00A332BD"/>
    <w:rsid w:val="00A333FC"/>
    <w:rsid w:val="00A34460"/>
    <w:rsid w:val="00A34BE3"/>
    <w:rsid w:val="00A356CD"/>
    <w:rsid w:val="00A35964"/>
    <w:rsid w:val="00A36D0D"/>
    <w:rsid w:val="00A36DAD"/>
    <w:rsid w:val="00A36E8B"/>
    <w:rsid w:val="00A36ECD"/>
    <w:rsid w:val="00A3712A"/>
    <w:rsid w:val="00A41E89"/>
    <w:rsid w:val="00A4237F"/>
    <w:rsid w:val="00A42C1A"/>
    <w:rsid w:val="00A4488D"/>
    <w:rsid w:val="00A45E8E"/>
    <w:rsid w:val="00A46592"/>
    <w:rsid w:val="00A479E9"/>
    <w:rsid w:val="00A504D1"/>
    <w:rsid w:val="00A52939"/>
    <w:rsid w:val="00A54487"/>
    <w:rsid w:val="00A55E9F"/>
    <w:rsid w:val="00A566AB"/>
    <w:rsid w:val="00A568FA"/>
    <w:rsid w:val="00A62754"/>
    <w:rsid w:val="00A62BB5"/>
    <w:rsid w:val="00A64C1E"/>
    <w:rsid w:val="00A64D9B"/>
    <w:rsid w:val="00A669D8"/>
    <w:rsid w:val="00A66A9B"/>
    <w:rsid w:val="00A66B5C"/>
    <w:rsid w:val="00A66C77"/>
    <w:rsid w:val="00A67D18"/>
    <w:rsid w:val="00A67D57"/>
    <w:rsid w:val="00A709E0"/>
    <w:rsid w:val="00A710CD"/>
    <w:rsid w:val="00A714EE"/>
    <w:rsid w:val="00A71C15"/>
    <w:rsid w:val="00A71EE4"/>
    <w:rsid w:val="00A73FB8"/>
    <w:rsid w:val="00A759DD"/>
    <w:rsid w:val="00A77430"/>
    <w:rsid w:val="00A77A13"/>
    <w:rsid w:val="00A77EA2"/>
    <w:rsid w:val="00A80A11"/>
    <w:rsid w:val="00A80DD5"/>
    <w:rsid w:val="00A83330"/>
    <w:rsid w:val="00A83951"/>
    <w:rsid w:val="00A84F46"/>
    <w:rsid w:val="00A8644A"/>
    <w:rsid w:val="00A91A75"/>
    <w:rsid w:val="00A91F8E"/>
    <w:rsid w:val="00A93F49"/>
    <w:rsid w:val="00A946FF"/>
    <w:rsid w:val="00A95160"/>
    <w:rsid w:val="00A95216"/>
    <w:rsid w:val="00A95A95"/>
    <w:rsid w:val="00A979DA"/>
    <w:rsid w:val="00A97A50"/>
    <w:rsid w:val="00A97F8A"/>
    <w:rsid w:val="00AA0929"/>
    <w:rsid w:val="00AA1FF7"/>
    <w:rsid w:val="00AA219C"/>
    <w:rsid w:val="00AA2B5B"/>
    <w:rsid w:val="00AA2DF7"/>
    <w:rsid w:val="00AA316A"/>
    <w:rsid w:val="00AA3AF7"/>
    <w:rsid w:val="00AB06EE"/>
    <w:rsid w:val="00AB1FD4"/>
    <w:rsid w:val="00AB2AF2"/>
    <w:rsid w:val="00AB3FEB"/>
    <w:rsid w:val="00AB43ED"/>
    <w:rsid w:val="00AB4788"/>
    <w:rsid w:val="00AB4804"/>
    <w:rsid w:val="00AB4A3E"/>
    <w:rsid w:val="00AB58EA"/>
    <w:rsid w:val="00AB72E8"/>
    <w:rsid w:val="00AC077A"/>
    <w:rsid w:val="00AC2184"/>
    <w:rsid w:val="00AC2830"/>
    <w:rsid w:val="00AC28BF"/>
    <w:rsid w:val="00AC374B"/>
    <w:rsid w:val="00AC51CF"/>
    <w:rsid w:val="00AC6AA0"/>
    <w:rsid w:val="00AC7435"/>
    <w:rsid w:val="00AC7A16"/>
    <w:rsid w:val="00AD0F67"/>
    <w:rsid w:val="00AD14C4"/>
    <w:rsid w:val="00AD254B"/>
    <w:rsid w:val="00AD2BE9"/>
    <w:rsid w:val="00AD32E9"/>
    <w:rsid w:val="00AD347D"/>
    <w:rsid w:val="00AD40FA"/>
    <w:rsid w:val="00AD5349"/>
    <w:rsid w:val="00AD571F"/>
    <w:rsid w:val="00AD57B0"/>
    <w:rsid w:val="00AD6952"/>
    <w:rsid w:val="00AE0DFC"/>
    <w:rsid w:val="00AE1184"/>
    <w:rsid w:val="00AE23DD"/>
    <w:rsid w:val="00AE43AD"/>
    <w:rsid w:val="00AE4649"/>
    <w:rsid w:val="00AE49D4"/>
    <w:rsid w:val="00AE49E1"/>
    <w:rsid w:val="00AE52B9"/>
    <w:rsid w:val="00AE56A6"/>
    <w:rsid w:val="00AE574E"/>
    <w:rsid w:val="00AE607D"/>
    <w:rsid w:val="00AE6C85"/>
    <w:rsid w:val="00AE6F5D"/>
    <w:rsid w:val="00AE76A2"/>
    <w:rsid w:val="00AE7954"/>
    <w:rsid w:val="00AE7B19"/>
    <w:rsid w:val="00AF0198"/>
    <w:rsid w:val="00AF08D4"/>
    <w:rsid w:val="00AF1BF4"/>
    <w:rsid w:val="00AF29B1"/>
    <w:rsid w:val="00AF491C"/>
    <w:rsid w:val="00AF4978"/>
    <w:rsid w:val="00AF5107"/>
    <w:rsid w:val="00AF5F2F"/>
    <w:rsid w:val="00AF69BF"/>
    <w:rsid w:val="00AF7C4E"/>
    <w:rsid w:val="00AF7D80"/>
    <w:rsid w:val="00B00943"/>
    <w:rsid w:val="00B01602"/>
    <w:rsid w:val="00B01736"/>
    <w:rsid w:val="00B02506"/>
    <w:rsid w:val="00B026C7"/>
    <w:rsid w:val="00B02B3A"/>
    <w:rsid w:val="00B02F07"/>
    <w:rsid w:val="00B03E27"/>
    <w:rsid w:val="00B05ADC"/>
    <w:rsid w:val="00B0767A"/>
    <w:rsid w:val="00B113D5"/>
    <w:rsid w:val="00B11478"/>
    <w:rsid w:val="00B12362"/>
    <w:rsid w:val="00B123C2"/>
    <w:rsid w:val="00B1251E"/>
    <w:rsid w:val="00B146D2"/>
    <w:rsid w:val="00B15D50"/>
    <w:rsid w:val="00B16866"/>
    <w:rsid w:val="00B169CD"/>
    <w:rsid w:val="00B16CBF"/>
    <w:rsid w:val="00B17CF6"/>
    <w:rsid w:val="00B20D27"/>
    <w:rsid w:val="00B219FC"/>
    <w:rsid w:val="00B226C5"/>
    <w:rsid w:val="00B2272E"/>
    <w:rsid w:val="00B228AA"/>
    <w:rsid w:val="00B22BA7"/>
    <w:rsid w:val="00B23497"/>
    <w:rsid w:val="00B256BA"/>
    <w:rsid w:val="00B25D0B"/>
    <w:rsid w:val="00B26230"/>
    <w:rsid w:val="00B27118"/>
    <w:rsid w:val="00B27AB8"/>
    <w:rsid w:val="00B27BC1"/>
    <w:rsid w:val="00B318E8"/>
    <w:rsid w:val="00B32B57"/>
    <w:rsid w:val="00B32CCA"/>
    <w:rsid w:val="00B3382D"/>
    <w:rsid w:val="00B34095"/>
    <w:rsid w:val="00B36941"/>
    <w:rsid w:val="00B36C7B"/>
    <w:rsid w:val="00B3751B"/>
    <w:rsid w:val="00B40D9E"/>
    <w:rsid w:val="00B41457"/>
    <w:rsid w:val="00B41A82"/>
    <w:rsid w:val="00B42696"/>
    <w:rsid w:val="00B42970"/>
    <w:rsid w:val="00B42B7D"/>
    <w:rsid w:val="00B43250"/>
    <w:rsid w:val="00B43554"/>
    <w:rsid w:val="00B4389D"/>
    <w:rsid w:val="00B44BCD"/>
    <w:rsid w:val="00B44D0D"/>
    <w:rsid w:val="00B44FD4"/>
    <w:rsid w:val="00B46A0B"/>
    <w:rsid w:val="00B472D5"/>
    <w:rsid w:val="00B5010B"/>
    <w:rsid w:val="00B50854"/>
    <w:rsid w:val="00B50BC8"/>
    <w:rsid w:val="00B52604"/>
    <w:rsid w:val="00B534D4"/>
    <w:rsid w:val="00B56335"/>
    <w:rsid w:val="00B5641C"/>
    <w:rsid w:val="00B605B6"/>
    <w:rsid w:val="00B60ABF"/>
    <w:rsid w:val="00B613CC"/>
    <w:rsid w:val="00B6210A"/>
    <w:rsid w:val="00B6280E"/>
    <w:rsid w:val="00B63774"/>
    <w:rsid w:val="00B64194"/>
    <w:rsid w:val="00B6424D"/>
    <w:rsid w:val="00B64486"/>
    <w:rsid w:val="00B64EF1"/>
    <w:rsid w:val="00B66448"/>
    <w:rsid w:val="00B66598"/>
    <w:rsid w:val="00B66B53"/>
    <w:rsid w:val="00B67BED"/>
    <w:rsid w:val="00B71E53"/>
    <w:rsid w:val="00B72003"/>
    <w:rsid w:val="00B7486C"/>
    <w:rsid w:val="00B74FD8"/>
    <w:rsid w:val="00B752F7"/>
    <w:rsid w:val="00B754F8"/>
    <w:rsid w:val="00B75C67"/>
    <w:rsid w:val="00B77F76"/>
    <w:rsid w:val="00B801CD"/>
    <w:rsid w:val="00B802CA"/>
    <w:rsid w:val="00B80C7D"/>
    <w:rsid w:val="00B82404"/>
    <w:rsid w:val="00B82579"/>
    <w:rsid w:val="00B828B5"/>
    <w:rsid w:val="00B82FC9"/>
    <w:rsid w:val="00B837D4"/>
    <w:rsid w:val="00B83F1D"/>
    <w:rsid w:val="00B8428F"/>
    <w:rsid w:val="00B84667"/>
    <w:rsid w:val="00B854C3"/>
    <w:rsid w:val="00B859CA"/>
    <w:rsid w:val="00B85F18"/>
    <w:rsid w:val="00B86625"/>
    <w:rsid w:val="00B876CB"/>
    <w:rsid w:val="00B91E0B"/>
    <w:rsid w:val="00B9208B"/>
    <w:rsid w:val="00B92930"/>
    <w:rsid w:val="00B92F7B"/>
    <w:rsid w:val="00B951D8"/>
    <w:rsid w:val="00B9626D"/>
    <w:rsid w:val="00B9713F"/>
    <w:rsid w:val="00B971DD"/>
    <w:rsid w:val="00B97D66"/>
    <w:rsid w:val="00BA1B28"/>
    <w:rsid w:val="00BA2EB4"/>
    <w:rsid w:val="00BA35B7"/>
    <w:rsid w:val="00BA5824"/>
    <w:rsid w:val="00BA5BE3"/>
    <w:rsid w:val="00BA5F32"/>
    <w:rsid w:val="00BA6329"/>
    <w:rsid w:val="00BA70E7"/>
    <w:rsid w:val="00BB0AB2"/>
    <w:rsid w:val="00BB24FB"/>
    <w:rsid w:val="00BB2828"/>
    <w:rsid w:val="00BB2B46"/>
    <w:rsid w:val="00BB31BB"/>
    <w:rsid w:val="00BB32D9"/>
    <w:rsid w:val="00BB39FF"/>
    <w:rsid w:val="00BB3A5C"/>
    <w:rsid w:val="00BB48D2"/>
    <w:rsid w:val="00BB57DB"/>
    <w:rsid w:val="00BB6E4A"/>
    <w:rsid w:val="00BB7398"/>
    <w:rsid w:val="00BB77E1"/>
    <w:rsid w:val="00BC09FA"/>
    <w:rsid w:val="00BC115C"/>
    <w:rsid w:val="00BC2BAD"/>
    <w:rsid w:val="00BC3421"/>
    <w:rsid w:val="00BC44BA"/>
    <w:rsid w:val="00BC72C6"/>
    <w:rsid w:val="00BC76C6"/>
    <w:rsid w:val="00BC7CE7"/>
    <w:rsid w:val="00BD01EE"/>
    <w:rsid w:val="00BD0E5F"/>
    <w:rsid w:val="00BD1227"/>
    <w:rsid w:val="00BD13D8"/>
    <w:rsid w:val="00BD37D7"/>
    <w:rsid w:val="00BD3F05"/>
    <w:rsid w:val="00BD47B6"/>
    <w:rsid w:val="00BD59A4"/>
    <w:rsid w:val="00BD633E"/>
    <w:rsid w:val="00BE03E9"/>
    <w:rsid w:val="00BE0960"/>
    <w:rsid w:val="00BE1A5B"/>
    <w:rsid w:val="00BE2E41"/>
    <w:rsid w:val="00BE305B"/>
    <w:rsid w:val="00BE63FE"/>
    <w:rsid w:val="00BE6710"/>
    <w:rsid w:val="00BE7A7D"/>
    <w:rsid w:val="00BE7EFB"/>
    <w:rsid w:val="00BF0476"/>
    <w:rsid w:val="00BF13B2"/>
    <w:rsid w:val="00BF21DB"/>
    <w:rsid w:val="00BF21EC"/>
    <w:rsid w:val="00BF2416"/>
    <w:rsid w:val="00BF25F1"/>
    <w:rsid w:val="00BF2814"/>
    <w:rsid w:val="00BF31CD"/>
    <w:rsid w:val="00BF4375"/>
    <w:rsid w:val="00BF4A32"/>
    <w:rsid w:val="00BF4E09"/>
    <w:rsid w:val="00BF4F37"/>
    <w:rsid w:val="00BF50D2"/>
    <w:rsid w:val="00BF691B"/>
    <w:rsid w:val="00BF6D11"/>
    <w:rsid w:val="00BF7F75"/>
    <w:rsid w:val="00C0076C"/>
    <w:rsid w:val="00C0193B"/>
    <w:rsid w:val="00C039E9"/>
    <w:rsid w:val="00C04EB8"/>
    <w:rsid w:val="00C05993"/>
    <w:rsid w:val="00C05C70"/>
    <w:rsid w:val="00C05DC8"/>
    <w:rsid w:val="00C05E4D"/>
    <w:rsid w:val="00C0620F"/>
    <w:rsid w:val="00C06949"/>
    <w:rsid w:val="00C06F56"/>
    <w:rsid w:val="00C12587"/>
    <w:rsid w:val="00C12887"/>
    <w:rsid w:val="00C13024"/>
    <w:rsid w:val="00C14AA9"/>
    <w:rsid w:val="00C14E6E"/>
    <w:rsid w:val="00C15524"/>
    <w:rsid w:val="00C16BDD"/>
    <w:rsid w:val="00C17658"/>
    <w:rsid w:val="00C17E6C"/>
    <w:rsid w:val="00C21EF5"/>
    <w:rsid w:val="00C2323B"/>
    <w:rsid w:val="00C237CF"/>
    <w:rsid w:val="00C240E3"/>
    <w:rsid w:val="00C2427F"/>
    <w:rsid w:val="00C25E11"/>
    <w:rsid w:val="00C262FD"/>
    <w:rsid w:val="00C2650A"/>
    <w:rsid w:val="00C2721D"/>
    <w:rsid w:val="00C3218B"/>
    <w:rsid w:val="00C32367"/>
    <w:rsid w:val="00C32496"/>
    <w:rsid w:val="00C328FB"/>
    <w:rsid w:val="00C32A8E"/>
    <w:rsid w:val="00C32E2E"/>
    <w:rsid w:val="00C343F6"/>
    <w:rsid w:val="00C34D65"/>
    <w:rsid w:val="00C37E91"/>
    <w:rsid w:val="00C4153E"/>
    <w:rsid w:val="00C41AF1"/>
    <w:rsid w:val="00C41B5E"/>
    <w:rsid w:val="00C423A7"/>
    <w:rsid w:val="00C43921"/>
    <w:rsid w:val="00C44009"/>
    <w:rsid w:val="00C44D70"/>
    <w:rsid w:val="00C46783"/>
    <w:rsid w:val="00C46EAF"/>
    <w:rsid w:val="00C470A2"/>
    <w:rsid w:val="00C47929"/>
    <w:rsid w:val="00C47949"/>
    <w:rsid w:val="00C479C4"/>
    <w:rsid w:val="00C502C3"/>
    <w:rsid w:val="00C51728"/>
    <w:rsid w:val="00C51CD2"/>
    <w:rsid w:val="00C52ACD"/>
    <w:rsid w:val="00C52C5D"/>
    <w:rsid w:val="00C545F8"/>
    <w:rsid w:val="00C55027"/>
    <w:rsid w:val="00C560A1"/>
    <w:rsid w:val="00C57924"/>
    <w:rsid w:val="00C60333"/>
    <w:rsid w:val="00C60C5E"/>
    <w:rsid w:val="00C61EE6"/>
    <w:rsid w:val="00C624B1"/>
    <w:rsid w:val="00C625F3"/>
    <w:rsid w:val="00C63D2F"/>
    <w:rsid w:val="00C649DB"/>
    <w:rsid w:val="00C64CA3"/>
    <w:rsid w:val="00C656DE"/>
    <w:rsid w:val="00C66B96"/>
    <w:rsid w:val="00C67080"/>
    <w:rsid w:val="00C70E80"/>
    <w:rsid w:val="00C70ED0"/>
    <w:rsid w:val="00C71AA5"/>
    <w:rsid w:val="00C72B79"/>
    <w:rsid w:val="00C73985"/>
    <w:rsid w:val="00C74552"/>
    <w:rsid w:val="00C74B97"/>
    <w:rsid w:val="00C75E47"/>
    <w:rsid w:val="00C76383"/>
    <w:rsid w:val="00C76CBF"/>
    <w:rsid w:val="00C76DD8"/>
    <w:rsid w:val="00C76F18"/>
    <w:rsid w:val="00C77528"/>
    <w:rsid w:val="00C77980"/>
    <w:rsid w:val="00C802A8"/>
    <w:rsid w:val="00C830F7"/>
    <w:rsid w:val="00C83A5D"/>
    <w:rsid w:val="00C854B3"/>
    <w:rsid w:val="00C85752"/>
    <w:rsid w:val="00C9090F"/>
    <w:rsid w:val="00C90E12"/>
    <w:rsid w:val="00C917F1"/>
    <w:rsid w:val="00C920BA"/>
    <w:rsid w:val="00C935BC"/>
    <w:rsid w:val="00C964F6"/>
    <w:rsid w:val="00C97401"/>
    <w:rsid w:val="00CA00F0"/>
    <w:rsid w:val="00CA0C71"/>
    <w:rsid w:val="00CA152E"/>
    <w:rsid w:val="00CA16C2"/>
    <w:rsid w:val="00CA22B7"/>
    <w:rsid w:val="00CA2465"/>
    <w:rsid w:val="00CA2F4F"/>
    <w:rsid w:val="00CA357F"/>
    <w:rsid w:val="00CA5D89"/>
    <w:rsid w:val="00CB072B"/>
    <w:rsid w:val="00CB0E68"/>
    <w:rsid w:val="00CB1789"/>
    <w:rsid w:val="00CB2204"/>
    <w:rsid w:val="00CB360C"/>
    <w:rsid w:val="00CB3DDA"/>
    <w:rsid w:val="00CB47AF"/>
    <w:rsid w:val="00CB49ED"/>
    <w:rsid w:val="00CB5279"/>
    <w:rsid w:val="00CB52A4"/>
    <w:rsid w:val="00CB5390"/>
    <w:rsid w:val="00CB541D"/>
    <w:rsid w:val="00CB6C04"/>
    <w:rsid w:val="00CB7287"/>
    <w:rsid w:val="00CC2584"/>
    <w:rsid w:val="00CC27FE"/>
    <w:rsid w:val="00CC41B0"/>
    <w:rsid w:val="00CC4F89"/>
    <w:rsid w:val="00CC50BF"/>
    <w:rsid w:val="00CC57FD"/>
    <w:rsid w:val="00CC5916"/>
    <w:rsid w:val="00CC5CE9"/>
    <w:rsid w:val="00CC5E45"/>
    <w:rsid w:val="00CC668B"/>
    <w:rsid w:val="00CC787D"/>
    <w:rsid w:val="00CD0694"/>
    <w:rsid w:val="00CD0B69"/>
    <w:rsid w:val="00CD1127"/>
    <w:rsid w:val="00CD1A5C"/>
    <w:rsid w:val="00CD1B2C"/>
    <w:rsid w:val="00CD2A16"/>
    <w:rsid w:val="00CD3EB8"/>
    <w:rsid w:val="00CD4D04"/>
    <w:rsid w:val="00CD4ED1"/>
    <w:rsid w:val="00CD5227"/>
    <w:rsid w:val="00CD5A17"/>
    <w:rsid w:val="00CD6CF5"/>
    <w:rsid w:val="00CD6D2B"/>
    <w:rsid w:val="00CD7D48"/>
    <w:rsid w:val="00CE0B7D"/>
    <w:rsid w:val="00CE36C6"/>
    <w:rsid w:val="00CE3715"/>
    <w:rsid w:val="00CE37F8"/>
    <w:rsid w:val="00CE3CB1"/>
    <w:rsid w:val="00CE4165"/>
    <w:rsid w:val="00CE4A4A"/>
    <w:rsid w:val="00CE6B7D"/>
    <w:rsid w:val="00CF272A"/>
    <w:rsid w:val="00CF3780"/>
    <w:rsid w:val="00CF5969"/>
    <w:rsid w:val="00CF62AA"/>
    <w:rsid w:val="00CF6B40"/>
    <w:rsid w:val="00CF7387"/>
    <w:rsid w:val="00D00397"/>
    <w:rsid w:val="00D01DB7"/>
    <w:rsid w:val="00D03D73"/>
    <w:rsid w:val="00D040B2"/>
    <w:rsid w:val="00D041BB"/>
    <w:rsid w:val="00D04395"/>
    <w:rsid w:val="00D0502B"/>
    <w:rsid w:val="00D055DA"/>
    <w:rsid w:val="00D05765"/>
    <w:rsid w:val="00D0652F"/>
    <w:rsid w:val="00D0730C"/>
    <w:rsid w:val="00D07FFB"/>
    <w:rsid w:val="00D10E98"/>
    <w:rsid w:val="00D11AAB"/>
    <w:rsid w:val="00D1275F"/>
    <w:rsid w:val="00D15323"/>
    <w:rsid w:val="00D160BC"/>
    <w:rsid w:val="00D16B43"/>
    <w:rsid w:val="00D16F24"/>
    <w:rsid w:val="00D175E1"/>
    <w:rsid w:val="00D176B8"/>
    <w:rsid w:val="00D212C2"/>
    <w:rsid w:val="00D21D6E"/>
    <w:rsid w:val="00D226F7"/>
    <w:rsid w:val="00D23C1B"/>
    <w:rsid w:val="00D23E8A"/>
    <w:rsid w:val="00D24551"/>
    <w:rsid w:val="00D27488"/>
    <w:rsid w:val="00D27CFA"/>
    <w:rsid w:val="00D30136"/>
    <w:rsid w:val="00D304F3"/>
    <w:rsid w:val="00D30DDA"/>
    <w:rsid w:val="00D334B2"/>
    <w:rsid w:val="00D3365A"/>
    <w:rsid w:val="00D345C1"/>
    <w:rsid w:val="00D35265"/>
    <w:rsid w:val="00D35A65"/>
    <w:rsid w:val="00D36099"/>
    <w:rsid w:val="00D40037"/>
    <w:rsid w:val="00D401D2"/>
    <w:rsid w:val="00D41078"/>
    <w:rsid w:val="00D42145"/>
    <w:rsid w:val="00D4398F"/>
    <w:rsid w:val="00D4427D"/>
    <w:rsid w:val="00D44AEC"/>
    <w:rsid w:val="00D44FC4"/>
    <w:rsid w:val="00D451F1"/>
    <w:rsid w:val="00D457A2"/>
    <w:rsid w:val="00D46DBA"/>
    <w:rsid w:val="00D47726"/>
    <w:rsid w:val="00D5072F"/>
    <w:rsid w:val="00D51487"/>
    <w:rsid w:val="00D51601"/>
    <w:rsid w:val="00D51633"/>
    <w:rsid w:val="00D53236"/>
    <w:rsid w:val="00D559FF"/>
    <w:rsid w:val="00D573D4"/>
    <w:rsid w:val="00D604D0"/>
    <w:rsid w:val="00D625F4"/>
    <w:rsid w:val="00D62A3C"/>
    <w:rsid w:val="00D652AB"/>
    <w:rsid w:val="00D65616"/>
    <w:rsid w:val="00D65784"/>
    <w:rsid w:val="00D65811"/>
    <w:rsid w:val="00D66049"/>
    <w:rsid w:val="00D6606B"/>
    <w:rsid w:val="00D6697D"/>
    <w:rsid w:val="00D672FA"/>
    <w:rsid w:val="00D716B1"/>
    <w:rsid w:val="00D73BA4"/>
    <w:rsid w:val="00D74722"/>
    <w:rsid w:val="00D74E6F"/>
    <w:rsid w:val="00D75F11"/>
    <w:rsid w:val="00D76197"/>
    <w:rsid w:val="00D7620B"/>
    <w:rsid w:val="00D77225"/>
    <w:rsid w:val="00D773BD"/>
    <w:rsid w:val="00D800D0"/>
    <w:rsid w:val="00D81446"/>
    <w:rsid w:val="00D81D92"/>
    <w:rsid w:val="00D82C13"/>
    <w:rsid w:val="00D82E09"/>
    <w:rsid w:val="00D84C0B"/>
    <w:rsid w:val="00D84D06"/>
    <w:rsid w:val="00D84D37"/>
    <w:rsid w:val="00D86736"/>
    <w:rsid w:val="00D8719A"/>
    <w:rsid w:val="00D90455"/>
    <w:rsid w:val="00D90D51"/>
    <w:rsid w:val="00D91678"/>
    <w:rsid w:val="00D91EEA"/>
    <w:rsid w:val="00D931BF"/>
    <w:rsid w:val="00D95004"/>
    <w:rsid w:val="00D955DB"/>
    <w:rsid w:val="00D9629D"/>
    <w:rsid w:val="00D97737"/>
    <w:rsid w:val="00D97969"/>
    <w:rsid w:val="00DA2A1A"/>
    <w:rsid w:val="00DA2F25"/>
    <w:rsid w:val="00DA3ED0"/>
    <w:rsid w:val="00DA4976"/>
    <w:rsid w:val="00DA5FEF"/>
    <w:rsid w:val="00DA6A32"/>
    <w:rsid w:val="00DB05B9"/>
    <w:rsid w:val="00DB07D1"/>
    <w:rsid w:val="00DB0D7F"/>
    <w:rsid w:val="00DB0E1A"/>
    <w:rsid w:val="00DB1312"/>
    <w:rsid w:val="00DB2372"/>
    <w:rsid w:val="00DB301F"/>
    <w:rsid w:val="00DB5876"/>
    <w:rsid w:val="00DB5FAB"/>
    <w:rsid w:val="00DB736B"/>
    <w:rsid w:val="00DC06C0"/>
    <w:rsid w:val="00DC0827"/>
    <w:rsid w:val="00DC42C5"/>
    <w:rsid w:val="00DC6970"/>
    <w:rsid w:val="00DC7794"/>
    <w:rsid w:val="00DD0C1B"/>
    <w:rsid w:val="00DD17E8"/>
    <w:rsid w:val="00DD1C5D"/>
    <w:rsid w:val="00DD2512"/>
    <w:rsid w:val="00DD2A02"/>
    <w:rsid w:val="00DD2D3F"/>
    <w:rsid w:val="00DD2ECA"/>
    <w:rsid w:val="00DD3A8A"/>
    <w:rsid w:val="00DD3FEC"/>
    <w:rsid w:val="00DD555C"/>
    <w:rsid w:val="00DD6FD6"/>
    <w:rsid w:val="00DD7312"/>
    <w:rsid w:val="00DD7C6F"/>
    <w:rsid w:val="00DE2029"/>
    <w:rsid w:val="00DE2CA5"/>
    <w:rsid w:val="00DE2E67"/>
    <w:rsid w:val="00DE3326"/>
    <w:rsid w:val="00DE368F"/>
    <w:rsid w:val="00DE516D"/>
    <w:rsid w:val="00DE602A"/>
    <w:rsid w:val="00DE60FA"/>
    <w:rsid w:val="00DE64F7"/>
    <w:rsid w:val="00DE724B"/>
    <w:rsid w:val="00DE7C3F"/>
    <w:rsid w:val="00DF00EF"/>
    <w:rsid w:val="00DF2559"/>
    <w:rsid w:val="00DF2686"/>
    <w:rsid w:val="00DF34FC"/>
    <w:rsid w:val="00DF5AC5"/>
    <w:rsid w:val="00DF61C6"/>
    <w:rsid w:val="00DF6225"/>
    <w:rsid w:val="00DF6333"/>
    <w:rsid w:val="00DF7A84"/>
    <w:rsid w:val="00E0014D"/>
    <w:rsid w:val="00E00BD1"/>
    <w:rsid w:val="00E01AE3"/>
    <w:rsid w:val="00E01EDC"/>
    <w:rsid w:val="00E0217B"/>
    <w:rsid w:val="00E0367B"/>
    <w:rsid w:val="00E042BB"/>
    <w:rsid w:val="00E06199"/>
    <w:rsid w:val="00E0630B"/>
    <w:rsid w:val="00E06575"/>
    <w:rsid w:val="00E070B1"/>
    <w:rsid w:val="00E105BD"/>
    <w:rsid w:val="00E11A0A"/>
    <w:rsid w:val="00E13246"/>
    <w:rsid w:val="00E13B0C"/>
    <w:rsid w:val="00E13B13"/>
    <w:rsid w:val="00E1505B"/>
    <w:rsid w:val="00E16275"/>
    <w:rsid w:val="00E17870"/>
    <w:rsid w:val="00E17D23"/>
    <w:rsid w:val="00E20C98"/>
    <w:rsid w:val="00E2116F"/>
    <w:rsid w:val="00E21C0E"/>
    <w:rsid w:val="00E21DA7"/>
    <w:rsid w:val="00E21ED7"/>
    <w:rsid w:val="00E22528"/>
    <w:rsid w:val="00E22858"/>
    <w:rsid w:val="00E233A5"/>
    <w:rsid w:val="00E23582"/>
    <w:rsid w:val="00E235BE"/>
    <w:rsid w:val="00E238CE"/>
    <w:rsid w:val="00E275F6"/>
    <w:rsid w:val="00E27DB2"/>
    <w:rsid w:val="00E30382"/>
    <w:rsid w:val="00E3097D"/>
    <w:rsid w:val="00E30A71"/>
    <w:rsid w:val="00E3170A"/>
    <w:rsid w:val="00E31DCB"/>
    <w:rsid w:val="00E32FA6"/>
    <w:rsid w:val="00E33646"/>
    <w:rsid w:val="00E34E85"/>
    <w:rsid w:val="00E3632E"/>
    <w:rsid w:val="00E37090"/>
    <w:rsid w:val="00E370F5"/>
    <w:rsid w:val="00E3756E"/>
    <w:rsid w:val="00E37B95"/>
    <w:rsid w:val="00E402E5"/>
    <w:rsid w:val="00E407C7"/>
    <w:rsid w:val="00E4096E"/>
    <w:rsid w:val="00E41225"/>
    <w:rsid w:val="00E42A71"/>
    <w:rsid w:val="00E4303B"/>
    <w:rsid w:val="00E43A4F"/>
    <w:rsid w:val="00E43DCF"/>
    <w:rsid w:val="00E43F9E"/>
    <w:rsid w:val="00E4455D"/>
    <w:rsid w:val="00E45083"/>
    <w:rsid w:val="00E46228"/>
    <w:rsid w:val="00E469DB"/>
    <w:rsid w:val="00E5000B"/>
    <w:rsid w:val="00E51737"/>
    <w:rsid w:val="00E51ED7"/>
    <w:rsid w:val="00E5257C"/>
    <w:rsid w:val="00E5380A"/>
    <w:rsid w:val="00E55C0D"/>
    <w:rsid w:val="00E561CF"/>
    <w:rsid w:val="00E56504"/>
    <w:rsid w:val="00E56E11"/>
    <w:rsid w:val="00E56FFA"/>
    <w:rsid w:val="00E577CC"/>
    <w:rsid w:val="00E57B6A"/>
    <w:rsid w:val="00E627F8"/>
    <w:rsid w:val="00E62979"/>
    <w:rsid w:val="00E63443"/>
    <w:rsid w:val="00E66A04"/>
    <w:rsid w:val="00E717CD"/>
    <w:rsid w:val="00E718E9"/>
    <w:rsid w:val="00E720FB"/>
    <w:rsid w:val="00E726AE"/>
    <w:rsid w:val="00E72B49"/>
    <w:rsid w:val="00E72E26"/>
    <w:rsid w:val="00E740DA"/>
    <w:rsid w:val="00E74158"/>
    <w:rsid w:val="00E749AE"/>
    <w:rsid w:val="00E74E26"/>
    <w:rsid w:val="00E759A7"/>
    <w:rsid w:val="00E75E7B"/>
    <w:rsid w:val="00E7619E"/>
    <w:rsid w:val="00E76328"/>
    <w:rsid w:val="00E7677B"/>
    <w:rsid w:val="00E8085C"/>
    <w:rsid w:val="00E81433"/>
    <w:rsid w:val="00E81563"/>
    <w:rsid w:val="00E87039"/>
    <w:rsid w:val="00E87041"/>
    <w:rsid w:val="00E87E9B"/>
    <w:rsid w:val="00E91438"/>
    <w:rsid w:val="00E934A8"/>
    <w:rsid w:val="00E94564"/>
    <w:rsid w:val="00E954B8"/>
    <w:rsid w:val="00E9763C"/>
    <w:rsid w:val="00E97CC2"/>
    <w:rsid w:val="00EA04A3"/>
    <w:rsid w:val="00EA0D4F"/>
    <w:rsid w:val="00EA0DC3"/>
    <w:rsid w:val="00EA102E"/>
    <w:rsid w:val="00EA1119"/>
    <w:rsid w:val="00EA1C24"/>
    <w:rsid w:val="00EA2D6B"/>
    <w:rsid w:val="00EA3E55"/>
    <w:rsid w:val="00EA5BEF"/>
    <w:rsid w:val="00EA71DB"/>
    <w:rsid w:val="00EA7E92"/>
    <w:rsid w:val="00EB0C3E"/>
    <w:rsid w:val="00EB27C5"/>
    <w:rsid w:val="00EB2852"/>
    <w:rsid w:val="00EB2EA5"/>
    <w:rsid w:val="00EB3352"/>
    <w:rsid w:val="00EB39E4"/>
    <w:rsid w:val="00EB3EB9"/>
    <w:rsid w:val="00EB4BC5"/>
    <w:rsid w:val="00EB5C99"/>
    <w:rsid w:val="00EB5DB0"/>
    <w:rsid w:val="00EB6AB2"/>
    <w:rsid w:val="00EB7C10"/>
    <w:rsid w:val="00EC0D3C"/>
    <w:rsid w:val="00EC105A"/>
    <w:rsid w:val="00EC209D"/>
    <w:rsid w:val="00EC37D9"/>
    <w:rsid w:val="00EC3844"/>
    <w:rsid w:val="00EC3DBA"/>
    <w:rsid w:val="00EC4DFD"/>
    <w:rsid w:val="00EC622C"/>
    <w:rsid w:val="00ED1426"/>
    <w:rsid w:val="00ED3757"/>
    <w:rsid w:val="00ED4030"/>
    <w:rsid w:val="00ED596B"/>
    <w:rsid w:val="00ED681E"/>
    <w:rsid w:val="00ED6B28"/>
    <w:rsid w:val="00ED71B1"/>
    <w:rsid w:val="00ED74EF"/>
    <w:rsid w:val="00ED7B8C"/>
    <w:rsid w:val="00EE0557"/>
    <w:rsid w:val="00EE0E9A"/>
    <w:rsid w:val="00EE168B"/>
    <w:rsid w:val="00EE22AD"/>
    <w:rsid w:val="00EE3BE1"/>
    <w:rsid w:val="00EE3EBB"/>
    <w:rsid w:val="00EE44BA"/>
    <w:rsid w:val="00EE44D2"/>
    <w:rsid w:val="00EE4A07"/>
    <w:rsid w:val="00EE4B70"/>
    <w:rsid w:val="00EE4B85"/>
    <w:rsid w:val="00EE50A7"/>
    <w:rsid w:val="00EE55B2"/>
    <w:rsid w:val="00EE5F13"/>
    <w:rsid w:val="00EE65E1"/>
    <w:rsid w:val="00EE79E1"/>
    <w:rsid w:val="00EF1494"/>
    <w:rsid w:val="00EF1507"/>
    <w:rsid w:val="00EF18D6"/>
    <w:rsid w:val="00EF41AB"/>
    <w:rsid w:val="00EF4905"/>
    <w:rsid w:val="00EF4932"/>
    <w:rsid w:val="00EF5059"/>
    <w:rsid w:val="00EF64CB"/>
    <w:rsid w:val="00EF65D4"/>
    <w:rsid w:val="00EF73DE"/>
    <w:rsid w:val="00EF747A"/>
    <w:rsid w:val="00EF779D"/>
    <w:rsid w:val="00F0234A"/>
    <w:rsid w:val="00F029DD"/>
    <w:rsid w:val="00F039D7"/>
    <w:rsid w:val="00F03AAA"/>
    <w:rsid w:val="00F05D26"/>
    <w:rsid w:val="00F06236"/>
    <w:rsid w:val="00F0717F"/>
    <w:rsid w:val="00F0732D"/>
    <w:rsid w:val="00F10B9B"/>
    <w:rsid w:val="00F11107"/>
    <w:rsid w:val="00F11206"/>
    <w:rsid w:val="00F1256E"/>
    <w:rsid w:val="00F1272B"/>
    <w:rsid w:val="00F13697"/>
    <w:rsid w:val="00F1383C"/>
    <w:rsid w:val="00F13ECE"/>
    <w:rsid w:val="00F14616"/>
    <w:rsid w:val="00F16572"/>
    <w:rsid w:val="00F166D3"/>
    <w:rsid w:val="00F16EF3"/>
    <w:rsid w:val="00F21569"/>
    <w:rsid w:val="00F21DF6"/>
    <w:rsid w:val="00F22E3F"/>
    <w:rsid w:val="00F22F2B"/>
    <w:rsid w:val="00F23440"/>
    <w:rsid w:val="00F27A34"/>
    <w:rsid w:val="00F27D8E"/>
    <w:rsid w:val="00F30FF9"/>
    <w:rsid w:val="00F31EF5"/>
    <w:rsid w:val="00F321A1"/>
    <w:rsid w:val="00F32621"/>
    <w:rsid w:val="00F32F63"/>
    <w:rsid w:val="00F338C2"/>
    <w:rsid w:val="00F35BB3"/>
    <w:rsid w:val="00F369F6"/>
    <w:rsid w:val="00F3710E"/>
    <w:rsid w:val="00F374FB"/>
    <w:rsid w:val="00F4015A"/>
    <w:rsid w:val="00F40B05"/>
    <w:rsid w:val="00F40F68"/>
    <w:rsid w:val="00F410C7"/>
    <w:rsid w:val="00F41C0A"/>
    <w:rsid w:val="00F422EF"/>
    <w:rsid w:val="00F428FA"/>
    <w:rsid w:val="00F42C69"/>
    <w:rsid w:val="00F43048"/>
    <w:rsid w:val="00F43776"/>
    <w:rsid w:val="00F439C9"/>
    <w:rsid w:val="00F44C36"/>
    <w:rsid w:val="00F44F8B"/>
    <w:rsid w:val="00F46ABF"/>
    <w:rsid w:val="00F50CD6"/>
    <w:rsid w:val="00F51340"/>
    <w:rsid w:val="00F52314"/>
    <w:rsid w:val="00F5612C"/>
    <w:rsid w:val="00F576DA"/>
    <w:rsid w:val="00F57F66"/>
    <w:rsid w:val="00F6114C"/>
    <w:rsid w:val="00F61A6A"/>
    <w:rsid w:val="00F61ED2"/>
    <w:rsid w:val="00F61EF7"/>
    <w:rsid w:val="00F62F30"/>
    <w:rsid w:val="00F644C9"/>
    <w:rsid w:val="00F65F9B"/>
    <w:rsid w:val="00F66542"/>
    <w:rsid w:val="00F70537"/>
    <w:rsid w:val="00F729BF"/>
    <w:rsid w:val="00F7354C"/>
    <w:rsid w:val="00F73768"/>
    <w:rsid w:val="00F74F99"/>
    <w:rsid w:val="00F75023"/>
    <w:rsid w:val="00F7598D"/>
    <w:rsid w:val="00F77887"/>
    <w:rsid w:val="00F77E58"/>
    <w:rsid w:val="00F77F23"/>
    <w:rsid w:val="00F80D6C"/>
    <w:rsid w:val="00F8326D"/>
    <w:rsid w:val="00F83F08"/>
    <w:rsid w:val="00F8419C"/>
    <w:rsid w:val="00F84EC5"/>
    <w:rsid w:val="00F8529B"/>
    <w:rsid w:val="00F87F5A"/>
    <w:rsid w:val="00F90CEC"/>
    <w:rsid w:val="00F91145"/>
    <w:rsid w:val="00F92270"/>
    <w:rsid w:val="00F93339"/>
    <w:rsid w:val="00F96C20"/>
    <w:rsid w:val="00F96D5C"/>
    <w:rsid w:val="00F97BC7"/>
    <w:rsid w:val="00FA07D0"/>
    <w:rsid w:val="00FA0A4E"/>
    <w:rsid w:val="00FA2A24"/>
    <w:rsid w:val="00FA470E"/>
    <w:rsid w:val="00FA4B3F"/>
    <w:rsid w:val="00FA5236"/>
    <w:rsid w:val="00FA5CC8"/>
    <w:rsid w:val="00FA5E06"/>
    <w:rsid w:val="00FA5F06"/>
    <w:rsid w:val="00FA6BB0"/>
    <w:rsid w:val="00FA7015"/>
    <w:rsid w:val="00FA7345"/>
    <w:rsid w:val="00FA7B77"/>
    <w:rsid w:val="00FB0A42"/>
    <w:rsid w:val="00FB12CD"/>
    <w:rsid w:val="00FB3B2F"/>
    <w:rsid w:val="00FB41E7"/>
    <w:rsid w:val="00FB542A"/>
    <w:rsid w:val="00FB5A2F"/>
    <w:rsid w:val="00FB6479"/>
    <w:rsid w:val="00FC01A6"/>
    <w:rsid w:val="00FC05A4"/>
    <w:rsid w:val="00FC1BD5"/>
    <w:rsid w:val="00FC2AE8"/>
    <w:rsid w:val="00FC2B3F"/>
    <w:rsid w:val="00FC3191"/>
    <w:rsid w:val="00FC3336"/>
    <w:rsid w:val="00FC54E2"/>
    <w:rsid w:val="00FC5DA9"/>
    <w:rsid w:val="00FC75D6"/>
    <w:rsid w:val="00FC78A2"/>
    <w:rsid w:val="00FD0547"/>
    <w:rsid w:val="00FD0620"/>
    <w:rsid w:val="00FD1019"/>
    <w:rsid w:val="00FD10FB"/>
    <w:rsid w:val="00FD182E"/>
    <w:rsid w:val="00FD22A9"/>
    <w:rsid w:val="00FD2ECE"/>
    <w:rsid w:val="00FD3FD9"/>
    <w:rsid w:val="00FD4C15"/>
    <w:rsid w:val="00FD59A3"/>
    <w:rsid w:val="00FD5AA6"/>
    <w:rsid w:val="00FE05C4"/>
    <w:rsid w:val="00FE165C"/>
    <w:rsid w:val="00FE1817"/>
    <w:rsid w:val="00FE2D32"/>
    <w:rsid w:val="00FE349F"/>
    <w:rsid w:val="00FE36E2"/>
    <w:rsid w:val="00FE3E28"/>
    <w:rsid w:val="00FE5358"/>
    <w:rsid w:val="00FE5A06"/>
    <w:rsid w:val="00FE7784"/>
    <w:rsid w:val="00FE7B96"/>
    <w:rsid w:val="00FF0797"/>
    <w:rsid w:val="00FF2007"/>
    <w:rsid w:val="00FF36DC"/>
    <w:rsid w:val="00FF49B9"/>
    <w:rsid w:val="00FF4A02"/>
    <w:rsid w:val="00FF4FA5"/>
    <w:rsid w:val="00FF52AA"/>
    <w:rsid w:val="00FF53FB"/>
    <w:rsid w:val="00FF54EC"/>
    <w:rsid w:val="00FF587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lsdException w:name="heading 5" w:uiPriority="9"/>
    <w:lsdException w:name="heading 6" w:uiPriority="9"/>
    <w:lsdException w:name="heading 7" w:uiPriority="9"/>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unhideWhenUsed="0"/>
    <w:lsdException w:name="Quote"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uiPriority="31" w:unhideWhenUsed="0"/>
    <w:lsdException w:name="Intense Reference" w:uiPriority="32" w:unhideWhenUsed="0"/>
    <w:lsdException w:name="Book Title" w:uiPriority="33" w:unhideWhenUsed="0"/>
    <w:lsdException w:name="Bibliography" w:uiPriority="37" w:unhideWhenUsed="0"/>
    <w:lsdException w:name="TOC Heading" w:uiPriority="39" w:qFormat="1"/>
  </w:latentStyles>
  <w:style w:type="paragraph" w:default="1" w:styleId="Normal">
    <w:name w:val="Normal"/>
    <w:semiHidden/>
    <w:rsid w:val="002C38C3"/>
    <w:pPr>
      <w:spacing w:after="220" w:line="240" w:lineRule="atLeast"/>
    </w:pPr>
    <w:rPr>
      <w:rFonts w:ascii="Arial" w:hAnsi="Arial"/>
      <w:sz w:val="20"/>
      <w:lang w:val="en-AU"/>
    </w:rPr>
  </w:style>
  <w:style w:type="paragraph" w:styleId="Heading1">
    <w:name w:val="heading 1"/>
    <w:basedOn w:val="Para0"/>
    <w:next w:val="Para0"/>
    <w:link w:val="Heading1Char"/>
    <w:uiPriority w:val="9"/>
    <w:qFormat/>
    <w:rsid w:val="00170FDB"/>
    <w:pPr>
      <w:keepNext/>
      <w:keepLines/>
      <w:pageBreakBefore/>
      <w:numPr>
        <w:numId w:val="1"/>
      </w:numPr>
      <w:spacing w:line="360" w:lineRule="exact"/>
      <w:outlineLvl w:val="0"/>
    </w:pPr>
    <w:rPr>
      <w:rFonts w:ascii="Arial Narrow" w:eastAsiaTheme="majorEastAsia" w:hAnsi="Arial Narrow" w:cstheme="majorBidi"/>
      <w:b/>
      <w:bCs/>
      <w:color w:val="42145F"/>
      <w:sz w:val="32"/>
      <w:szCs w:val="32"/>
    </w:rPr>
  </w:style>
  <w:style w:type="paragraph" w:styleId="Heading2">
    <w:name w:val="heading 2"/>
    <w:basedOn w:val="Para0"/>
    <w:next w:val="Para0"/>
    <w:link w:val="Heading2Char"/>
    <w:uiPriority w:val="9"/>
    <w:qFormat/>
    <w:rsid w:val="00D625F4"/>
    <w:pPr>
      <w:keepNext/>
      <w:keepLines/>
      <w:numPr>
        <w:ilvl w:val="1"/>
        <w:numId w:val="1"/>
      </w:numPr>
      <w:outlineLvl w:val="1"/>
    </w:pPr>
    <w:rPr>
      <w:rFonts w:ascii="Arial Narrow" w:eastAsiaTheme="majorEastAsia" w:hAnsi="Arial Narrow" w:cstheme="majorBidi"/>
      <w:b/>
      <w:bCs/>
      <w:color w:val="42145F"/>
      <w:sz w:val="24"/>
      <w:szCs w:val="26"/>
    </w:rPr>
  </w:style>
  <w:style w:type="paragraph" w:styleId="Heading3">
    <w:name w:val="heading 3"/>
    <w:basedOn w:val="Para0"/>
    <w:next w:val="Para0"/>
    <w:link w:val="Heading3Char"/>
    <w:uiPriority w:val="9"/>
    <w:qFormat/>
    <w:rsid w:val="00D625F4"/>
    <w:pPr>
      <w:keepNext/>
      <w:keepLines/>
      <w:numPr>
        <w:ilvl w:val="2"/>
        <w:numId w:val="1"/>
      </w:numPr>
      <w:outlineLvl w:val="2"/>
    </w:pPr>
    <w:rPr>
      <w:rFonts w:ascii="Arial Narrow" w:eastAsiaTheme="majorEastAsia" w:hAnsi="Arial Narrow" w:cstheme="majorBidi"/>
      <w:b/>
      <w:bCs/>
      <w:color w:val="42145F"/>
    </w:rPr>
  </w:style>
  <w:style w:type="paragraph" w:styleId="Heading4">
    <w:name w:val="heading 4"/>
    <w:basedOn w:val="Para0"/>
    <w:next w:val="Para0"/>
    <w:link w:val="Heading4Char"/>
    <w:uiPriority w:val="9"/>
    <w:semiHidden/>
    <w:rsid w:val="00D625F4"/>
    <w:pPr>
      <w:keepNext/>
      <w:keepLines/>
      <w:numPr>
        <w:ilvl w:val="3"/>
        <w:numId w:val="1"/>
      </w:numPr>
      <w:outlineLvl w:val="3"/>
    </w:pPr>
    <w:rPr>
      <w:rFonts w:ascii="Arial Narrow" w:eastAsiaTheme="majorEastAsia" w:hAnsi="Arial Narrow" w:cstheme="majorBidi"/>
      <w:b/>
      <w:bCs/>
      <w:iCs/>
      <w:color w:val="42145F"/>
    </w:rPr>
  </w:style>
  <w:style w:type="paragraph" w:styleId="Heading5">
    <w:name w:val="heading 5"/>
    <w:basedOn w:val="Para0"/>
    <w:next w:val="Para0"/>
    <w:link w:val="Heading5Char"/>
    <w:uiPriority w:val="9"/>
    <w:semiHidden/>
    <w:rsid w:val="00D625F4"/>
    <w:pPr>
      <w:keepNext/>
      <w:keepLines/>
      <w:numPr>
        <w:ilvl w:val="4"/>
        <w:numId w:val="1"/>
      </w:numPr>
      <w:outlineLvl w:val="4"/>
    </w:pPr>
    <w:rPr>
      <w:rFonts w:ascii="Arial Narrow" w:eastAsiaTheme="majorEastAsia" w:hAnsi="Arial Narrow" w:cstheme="majorBidi"/>
      <w:b/>
      <w:color w:val="42145F"/>
    </w:rPr>
  </w:style>
  <w:style w:type="paragraph" w:styleId="Heading6">
    <w:name w:val="heading 6"/>
    <w:basedOn w:val="Para0"/>
    <w:next w:val="Para0"/>
    <w:link w:val="Heading6Char"/>
    <w:uiPriority w:val="9"/>
    <w:semiHidden/>
    <w:rsid w:val="00D625F4"/>
    <w:pPr>
      <w:keepNext/>
      <w:keepLines/>
      <w:numPr>
        <w:ilvl w:val="5"/>
        <w:numId w:val="1"/>
      </w:numPr>
      <w:outlineLvl w:val="5"/>
    </w:pPr>
    <w:rPr>
      <w:rFonts w:ascii="Arial Narrow" w:eastAsiaTheme="majorEastAsia" w:hAnsi="Arial Narrow" w:cstheme="majorBidi"/>
      <w:b/>
      <w:iCs/>
      <w:color w:val="42145F" w:themeColor="text1"/>
    </w:rPr>
  </w:style>
  <w:style w:type="paragraph" w:styleId="Heading7">
    <w:name w:val="heading 7"/>
    <w:basedOn w:val="Normal"/>
    <w:next w:val="Para0"/>
    <w:link w:val="Heading7Char"/>
    <w:uiPriority w:val="9"/>
    <w:rsid w:val="00D625F4"/>
    <w:pPr>
      <w:numPr>
        <w:ilvl w:val="6"/>
        <w:numId w:val="1"/>
      </w:numPr>
      <w:spacing w:before="240" w:after="120" w:line="360" w:lineRule="exact"/>
      <w:outlineLvl w:val="6"/>
    </w:pPr>
    <w:rPr>
      <w:rFonts w:ascii="Arial Narrow" w:hAnsi="Arial Narrow"/>
      <w:b/>
      <w:color w:val="42145F"/>
    </w:rPr>
  </w:style>
  <w:style w:type="paragraph" w:styleId="Heading8">
    <w:name w:val="heading 8"/>
    <w:basedOn w:val="Heading2"/>
    <w:next w:val="Para0"/>
    <w:link w:val="Heading8Char"/>
    <w:qFormat/>
    <w:rsid w:val="002C38C3"/>
    <w:pPr>
      <w:numPr>
        <w:ilvl w:val="7"/>
      </w:numPr>
      <w:outlineLvl w:val="7"/>
    </w:pPr>
    <w:rPr>
      <w:color w:val="42145F" w:themeColor="text1"/>
    </w:rPr>
  </w:style>
  <w:style w:type="paragraph" w:styleId="Heading9">
    <w:name w:val="heading 9"/>
    <w:aliases w:val="Appendix"/>
    <w:basedOn w:val="Para0"/>
    <w:next w:val="Para0"/>
    <w:link w:val="Heading9Char"/>
    <w:qFormat/>
    <w:rsid w:val="00170FDB"/>
    <w:pPr>
      <w:pageBreakBefore/>
      <w:numPr>
        <w:numId w:val="13"/>
      </w:numPr>
      <w:spacing w:line="360" w:lineRule="exact"/>
      <w:outlineLvl w:val="8"/>
    </w:pPr>
    <w:rPr>
      <w:rFonts w:ascii="Arial Narrow" w:hAnsi="Arial Narrow"/>
      <w:b/>
      <w:color w:val="42145F"/>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170FDB"/>
    <w:pPr>
      <w:spacing w:before="240" w:after="120"/>
    </w:pPr>
  </w:style>
  <w:style w:type="character" w:customStyle="1" w:styleId="Heading1Char">
    <w:name w:val="Heading 1 Char"/>
    <w:basedOn w:val="DefaultParagraphFont"/>
    <w:link w:val="Heading1"/>
    <w:uiPriority w:val="9"/>
    <w:rsid w:val="00170FDB"/>
    <w:rPr>
      <w:rFonts w:ascii="Arial Narrow" w:eastAsiaTheme="majorEastAsia" w:hAnsi="Arial Narrow" w:cstheme="majorBidi"/>
      <w:b/>
      <w:bCs/>
      <w:color w:val="42145F"/>
      <w:sz w:val="32"/>
      <w:szCs w:val="32"/>
      <w:lang w:val="en-AU"/>
    </w:rPr>
  </w:style>
  <w:style w:type="character" w:customStyle="1" w:styleId="Heading2Char">
    <w:name w:val="Heading 2 Char"/>
    <w:basedOn w:val="DefaultParagraphFont"/>
    <w:link w:val="Heading2"/>
    <w:uiPriority w:val="9"/>
    <w:rsid w:val="00D625F4"/>
    <w:rPr>
      <w:rFonts w:ascii="Arial Narrow" w:eastAsiaTheme="majorEastAsia" w:hAnsi="Arial Narrow" w:cstheme="majorBidi"/>
      <w:b/>
      <w:bCs/>
      <w:color w:val="42145F"/>
      <w:szCs w:val="26"/>
      <w:lang w:val="en-AU"/>
    </w:rPr>
  </w:style>
  <w:style w:type="character" w:customStyle="1" w:styleId="Heading3Char">
    <w:name w:val="Heading 3 Char"/>
    <w:basedOn w:val="DefaultParagraphFont"/>
    <w:link w:val="Heading3"/>
    <w:uiPriority w:val="9"/>
    <w:rsid w:val="00D625F4"/>
    <w:rPr>
      <w:rFonts w:ascii="Arial Narrow" w:eastAsiaTheme="majorEastAsia" w:hAnsi="Arial Narrow" w:cstheme="majorBidi"/>
      <w:b/>
      <w:bCs/>
      <w:color w:val="42145F"/>
      <w:sz w:val="20"/>
      <w:lang w:val="en-AU"/>
    </w:rPr>
  </w:style>
  <w:style w:type="character" w:customStyle="1" w:styleId="Heading4Char">
    <w:name w:val="Heading 4 Char"/>
    <w:basedOn w:val="DefaultParagraphFont"/>
    <w:link w:val="Heading4"/>
    <w:uiPriority w:val="9"/>
    <w:semiHidden/>
    <w:rsid w:val="00D625F4"/>
    <w:rPr>
      <w:rFonts w:ascii="Arial Narrow" w:eastAsiaTheme="majorEastAsia" w:hAnsi="Arial Narrow" w:cstheme="majorBidi"/>
      <w:b/>
      <w:bCs/>
      <w:iCs/>
      <w:color w:val="42145F"/>
      <w:sz w:val="20"/>
      <w:lang w:val="en-AU"/>
    </w:rPr>
  </w:style>
  <w:style w:type="character" w:customStyle="1" w:styleId="Heading5Char">
    <w:name w:val="Heading 5 Char"/>
    <w:basedOn w:val="DefaultParagraphFont"/>
    <w:link w:val="Heading5"/>
    <w:uiPriority w:val="9"/>
    <w:semiHidden/>
    <w:rsid w:val="00D625F4"/>
    <w:rPr>
      <w:rFonts w:ascii="Arial Narrow" w:eastAsiaTheme="majorEastAsia" w:hAnsi="Arial Narrow" w:cstheme="majorBidi"/>
      <w:b/>
      <w:color w:val="42145F"/>
      <w:sz w:val="20"/>
      <w:lang w:val="en-AU"/>
    </w:rPr>
  </w:style>
  <w:style w:type="character" w:customStyle="1" w:styleId="Heading6Char">
    <w:name w:val="Heading 6 Char"/>
    <w:basedOn w:val="DefaultParagraphFont"/>
    <w:link w:val="Heading6"/>
    <w:uiPriority w:val="9"/>
    <w:semiHidden/>
    <w:rsid w:val="00D625F4"/>
    <w:rPr>
      <w:rFonts w:ascii="Arial Narrow" w:eastAsiaTheme="majorEastAsia" w:hAnsi="Arial Narrow" w:cstheme="majorBidi"/>
      <w:b/>
      <w:iCs/>
      <w:color w:val="42145F" w:themeColor="text1"/>
      <w:sz w:val="20"/>
      <w:lang w:val="en-AU"/>
    </w:rPr>
  </w:style>
  <w:style w:type="character" w:customStyle="1" w:styleId="Heading7Char">
    <w:name w:val="Heading 7 Char"/>
    <w:basedOn w:val="DefaultParagraphFont"/>
    <w:link w:val="Heading7"/>
    <w:uiPriority w:val="9"/>
    <w:rsid w:val="00D625F4"/>
    <w:rPr>
      <w:rFonts w:ascii="Arial Narrow" w:hAnsi="Arial Narrow"/>
      <w:b/>
      <w:color w:val="42145F"/>
      <w:sz w:val="20"/>
      <w:lang w:val="en-AU"/>
    </w:rPr>
  </w:style>
  <w:style w:type="character" w:customStyle="1" w:styleId="Heading8Char">
    <w:name w:val="Heading 8 Char"/>
    <w:basedOn w:val="DefaultParagraphFont"/>
    <w:link w:val="Heading8"/>
    <w:rsid w:val="002C38C3"/>
    <w:rPr>
      <w:rFonts w:ascii="Arial Narrow" w:eastAsiaTheme="majorEastAsia" w:hAnsi="Arial Narrow" w:cstheme="majorBidi"/>
      <w:b/>
      <w:bCs/>
      <w:color w:val="42145F" w:themeColor="text1"/>
      <w:szCs w:val="26"/>
      <w:lang w:val="en-AU"/>
    </w:rPr>
  </w:style>
  <w:style w:type="character" w:customStyle="1" w:styleId="Heading9Char">
    <w:name w:val="Heading 9 Char"/>
    <w:aliases w:val="Appendix Char"/>
    <w:basedOn w:val="DefaultParagraphFont"/>
    <w:link w:val="Heading9"/>
    <w:rsid w:val="00170FDB"/>
    <w:rPr>
      <w:rFonts w:ascii="Arial Narrow" w:hAnsi="Arial Narrow"/>
      <w:b/>
      <w:color w:val="42145F"/>
      <w:sz w:val="32"/>
      <w:lang w:val="en-AU"/>
    </w:rPr>
  </w:style>
  <w:style w:type="paragraph" w:customStyle="1" w:styleId="ContentBold">
    <w:name w:val="Content Bold"/>
    <w:basedOn w:val="Para0"/>
    <w:next w:val="Para0"/>
    <w:semiHidden/>
    <w:qFormat/>
    <w:rsid w:val="00311964"/>
    <w:rPr>
      <w:b/>
    </w:rPr>
  </w:style>
  <w:style w:type="paragraph" w:customStyle="1" w:styleId="CoverHeading">
    <w:name w:val="Cover Heading"/>
    <w:basedOn w:val="Normal"/>
    <w:next w:val="CoverSubheading"/>
    <w:rsid w:val="00DE60FA"/>
    <w:pPr>
      <w:spacing w:after="200" w:line="360" w:lineRule="exact"/>
      <w:ind w:right="851"/>
      <w:jc w:val="right"/>
    </w:pPr>
    <w:rPr>
      <w:rFonts w:ascii="Arial Black" w:hAnsi="Arial Black"/>
      <w:color w:val="FFFFFF" w:themeColor="background2"/>
      <w:sz w:val="32"/>
    </w:rPr>
  </w:style>
  <w:style w:type="paragraph" w:customStyle="1" w:styleId="CoverSubheading">
    <w:name w:val="Cover Subheading"/>
    <w:basedOn w:val="CoverHeading"/>
    <w:next w:val="CoverDate"/>
    <w:rsid w:val="00EE50A7"/>
    <w:pPr>
      <w:spacing w:line="280" w:lineRule="exact"/>
    </w:pPr>
    <w:rPr>
      <w:rFonts w:ascii="Arial" w:hAnsi="Arial"/>
      <w:caps/>
      <w:sz w:val="22"/>
      <w:szCs w:val="22"/>
    </w:rPr>
  </w:style>
  <w:style w:type="paragraph" w:customStyle="1" w:styleId="CoverDate">
    <w:name w:val="Cover Date"/>
    <w:basedOn w:val="CoverHeading"/>
    <w:next w:val="Para0"/>
    <w:rsid w:val="00EE50A7"/>
    <w:pPr>
      <w:spacing w:line="280" w:lineRule="exact"/>
    </w:pPr>
    <w:rPr>
      <w:rFonts w:ascii="Arial" w:hAnsi="Arial"/>
      <w:sz w:val="22"/>
    </w:rPr>
  </w:style>
  <w:style w:type="paragraph" w:customStyle="1" w:styleId="PageTitle">
    <w:name w:val="Page Title"/>
    <w:basedOn w:val="Para0"/>
    <w:unhideWhenUsed/>
    <w:rsid w:val="00F83F08"/>
    <w:pPr>
      <w:spacing w:before="0" w:after="0" w:line="240" w:lineRule="auto"/>
      <w:ind w:left="3402"/>
    </w:pPr>
    <w:rPr>
      <w:rFonts w:ascii="Arial Black" w:hAnsi="Arial Black"/>
      <w:color w:val="808080"/>
      <w:sz w:val="24"/>
    </w:rPr>
  </w:style>
  <w:style w:type="paragraph" w:customStyle="1" w:styleId="CopyrightInfo">
    <w:name w:val="Copyright Info"/>
    <w:basedOn w:val="CoverHeading"/>
    <w:next w:val="Para0"/>
    <w:semiHidden/>
    <w:rsid w:val="00DE60FA"/>
    <w:pPr>
      <w:spacing w:before="200" w:after="30" w:line="180" w:lineRule="exact"/>
      <w:jc w:val="both"/>
    </w:pPr>
    <w:rPr>
      <w:rFonts w:ascii="Arial" w:hAnsi="Arial"/>
      <w:color w:val="auto"/>
      <w:sz w:val="14"/>
    </w:rPr>
  </w:style>
  <w:style w:type="paragraph" w:customStyle="1" w:styleId="FooterText">
    <w:name w:val="Footer Text"/>
    <w:basedOn w:val="Para0"/>
    <w:semiHidden/>
    <w:qFormat/>
    <w:rsid w:val="008229E6"/>
    <w:pPr>
      <w:spacing w:after="0" w:line="200" w:lineRule="exact"/>
      <w:ind w:left="567" w:right="284"/>
    </w:pPr>
    <w:rPr>
      <w:rFonts w:ascii="Arial Narrow" w:hAnsi="Arial Narrow"/>
      <w:b/>
      <w:sz w:val="16"/>
    </w:rPr>
  </w:style>
  <w:style w:type="paragraph" w:customStyle="1" w:styleId="Tablebullet">
    <w:name w:val="Table bullet"/>
    <w:basedOn w:val="Tabletext"/>
    <w:qFormat/>
    <w:rsid w:val="003552CE"/>
    <w:pPr>
      <w:numPr>
        <w:numId w:val="31"/>
      </w:numPr>
    </w:pPr>
  </w:style>
  <w:style w:type="paragraph" w:customStyle="1" w:styleId="Tableheading">
    <w:name w:val="Table heading"/>
    <w:basedOn w:val="Normal"/>
    <w:qFormat/>
    <w:rsid w:val="00A3712A"/>
    <w:pPr>
      <w:spacing w:before="100" w:after="100"/>
    </w:pPr>
    <w:rPr>
      <w:rFonts w:ascii="Arial Black" w:hAnsi="Arial Black"/>
      <w:sz w:val="16"/>
    </w:rPr>
  </w:style>
  <w:style w:type="paragraph" w:styleId="BalloonText">
    <w:name w:val="Balloon Text"/>
    <w:basedOn w:val="Normal"/>
    <w:link w:val="BalloonTextChar"/>
    <w:uiPriority w:val="99"/>
    <w:semiHidden/>
    <w:unhideWhenUsed/>
    <w:rsid w:val="00EF779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F779D"/>
    <w:rPr>
      <w:rFonts w:ascii="Lucida Grande" w:hAnsi="Lucida Grande" w:cs="Lucida Grande"/>
      <w:sz w:val="18"/>
      <w:szCs w:val="18"/>
    </w:rPr>
  </w:style>
  <w:style w:type="paragraph" w:customStyle="1" w:styleId="ContentBulletsLetter">
    <w:name w:val="Content Bullets Letter"/>
    <w:basedOn w:val="Para0"/>
    <w:semiHidden/>
    <w:qFormat/>
    <w:rsid w:val="008229E6"/>
    <w:pPr>
      <w:numPr>
        <w:numId w:val="2"/>
      </w:numPr>
      <w:tabs>
        <w:tab w:val="num" w:pos="360"/>
      </w:tabs>
      <w:ind w:left="851" w:firstLine="0"/>
    </w:pPr>
  </w:style>
  <w:style w:type="paragraph" w:customStyle="1" w:styleId="ContentBulletsRound">
    <w:name w:val="Content Bullets Round"/>
    <w:basedOn w:val="Para0"/>
    <w:semiHidden/>
    <w:qFormat/>
    <w:rsid w:val="008229E6"/>
    <w:pPr>
      <w:numPr>
        <w:numId w:val="7"/>
      </w:numPr>
      <w:tabs>
        <w:tab w:val="num" w:pos="360"/>
      </w:tabs>
      <w:ind w:left="851" w:firstLine="0"/>
    </w:pPr>
    <w:rPr>
      <w:color w:val="000000"/>
    </w:rPr>
  </w:style>
  <w:style w:type="paragraph" w:styleId="Caption">
    <w:name w:val="caption"/>
    <w:basedOn w:val="Tableheading"/>
    <w:next w:val="Para0"/>
    <w:uiPriority w:val="35"/>
    <w:qFormat/>
    <w:rsid w:val="00170FDB"/>
    <w:pPr>
      <w:keepNext/>
      <w:spacing w:before="240"/>
    </w:pPr>
    <w:rPr>
      <w:rFonts w:ascii="Arial Narrow" w:hAnsi="Arial Narrow"/>
      <w:b/>
      <w:sz w:val="20"/>
    </w:rPr>
  </w:style>
  <w:style w:type="paragraph" w:customStyle="1" w:styleId="ContentBulletsArrow">
    <w:name w:val="Content Bullets Arrow"/>
    <w:basedOn w:val="Para0"/>
    <w:semiHidden/>
    <w:qFormat/>
    <w:rsid w:val="008229E6"/>
    <w:pPr>
      <w:numPr>
        <w:numId w:val="4"/>
      </w:numPr>
      <w:ind w:left="851"/>
    </w:pPr>
    <w:rPr>
      <w:color w:val="42145F"/>
    </w:rPr>
  </w:style>
  <w:style w:type="paragraph" w:customStyle="1" w:styleId="ContentBulletsNumber">
    <w:name w:val="Content Bullets Number"/>
    <w:basedOn w:val="Para0"/>
    <w:semiHidden/>
    <w:qFormat/>
    <w:rsid w:val="008229E6"/>
    <w:pPr>
      <w:numPr>
        <w:numId w:val="5"/>
      </w:numPr>
      <w:ind w:left="851"/>
    </w:pPr>
  </w:style>
  <w:style w:type="paragraph" w:styleId="FootnoteText">
    <w:name w:val="footnote text"/>
    <w:basedOn w:val="Normal"/>
    <w:link w:val="FootnoteTextChar"/>
    <w:uiPriority w:val="99"/>
    <w:semiHidden/>
    <w:rsid w:val="008229E6"/>
    <w:pPr>
      <w:spacing w:after="60" w:line="210" w:lineRule="exact"/>
      <w:ind w:left="136" w:hanging="136"/>
    </w:pPr>
    <w:rPr>
      <w:color w:val="000000"/>
      <w:sz w:val="17"/>
    </w:rPr>
  </w:style>
  <w:style w:type="character" w:customStyle="1" w:styleId="FootnoteTextChar">
    <w:name w:val="Footnote Text Char"/>
    <w:basedOn w:val="DefaultParagraphFont"/>
    <w:link w:val="FootnoteText"/>
    <w:uiPriority w:val="99"/>
    <w:semiHidden/>
    <w:rsid w:val="000B07EA"/>
    <w:rPr>
      <w:rFonts w:ascii="Arial" w:hAnsi="Arial"/>
      <w:color w:val="000000"/>
      <w:sz w:val="17"/>
    </w:rPr>
  </w:style>
  <w:style w:type="paragraph" w:customStyle="1" w:styleId="Tabletext">
    <w:name w:val="Table text"/>
    <w:basedOn w:val="Normal"/>
    <w:qFormat/>
    <w:rsid w:val="00CC41B0"/>
    <w:pPr>
      <w:spacing w:before="60" w:after="60"/>
    </w:pPr>
  </w:style>
  <w:style w:type="table" w:styleId="TableGrid">
    <w:name w:val="Table Grid"/>
    <w:basedOn w:val="TableNormal"/>
    <w:uiPriority w:val="59"/>
    <w:rsid w:val="00EA3E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400B48"/>
  </w:style>
  <w:style w:type="paragraph" w:customStyle="1" w:styleId="ProjectName">
    <w:name w:val="Project Name"/>
    <w:basedOn w:val="CoverHeading"/>
    <w:next w:val="Para0"/>
    <w:semiHidden/>
    <w:rsid w:val="0044537D"/>
    <w:pPr>
      <w:spacing w:after="0" w:line="240" w:lineRule="auto"/>
      <w:ind w:right="0"/>
      <w:jc w:val="left"/>
    </w:pPr>
    <w:rPr>
      <w:color w:val="808080"/>
      <w:sz w:val="22"/>
    </w:rPr>
  </w:style>
  <w:style w:type="paragraph" w:customStyle="1" w:styleId="PageHeading">
    <w:name w:val="Page Heading"/>
    <w:basedOn w:val="PageTitle"/>
    <w:next w:val="Para0"/>
    <w:semiHidden/>
    <w:rsid w:val="008229E6"/>
    <w:pPr>
      <w:spacing w:after="240"/>
    </w:pPr>
    <w:rPr>
      <w:sz w:val="22"/>
    </w:rPr>
  </w:style>
  <w:style w:type="paragraph" w:customStyle="1" w:styleId="Tableletter">
    <w:name w:val="Table letter"/>
    <w:basedOn w:val="Tablebullet"/>
    <w:qFormat/>
    <w:rsid w:val="00520778"/>
    <w:pPr>
      <w:numPr>
        <w:numId w:val="22"/>
      </w:numPr>
    </w:pPr>
  </w:style>
  <w:style w:type="paragraph" w:styleId="TOC1">
    <w:name w:val="toc 1"/>
    <w:basedOn w:val="Normal"/>
    <w:next w:val="Normal"/>
    <w:autoRedefine/>
    <w:uiPriority w:val="39"/>
    <w:rsid w:val="003204CD"/>
    <w:pPr>
      <w:tabs>
        <w:tab w:val="right" w:leader="dot" w:pos="9923"/>
      </w:tabs>
      <w:spacing w:after="100" w:line="240" w:lineRule="auto"/>
      <w:ind w:left="675" w:right="454" w:hanging="675"/>
    </w:pPr>
    <w:rPr>
      <w:rFonts w:ascii="Arial Narrow" w:hAnsi="Arial Narrow"/>
      <w:b/>
      <w:noProof/>
    </w:rPr>
  </w:style>
  <w:style w:type="paragraph" w:styleId="TOC2">
    <w:name w:val="toc 2"/>
    <w:basedOn w:val="Normal"/>
    <w:next w:val="Normal"/>
    <w:autoRedefine/>
    <w:uiPriority w:val="39"/>
    <w:rsid w:val="003252EA"/>
    <w:pPr>
      <w:tabs>
        <w:tab w:val="right" w:leader="dot" w:pos="9923"/>
      </w:tabs>
      <w:spacing w:after="100" w:line="240" w:lineRule="auto"/>
      <w:ind w:left="675" w:right="454" w:hanging="675"/>
    </w:pPr>
    <w:rPr>
      <w:rFonts w:ascii="Arial Narrow" w:hAnsi="Arial Narrow"/>
      <w:noProof/>
      <w:szCs w:val="20"/>
    </w:rPr>
  </w:style>
  <w:style w:type="character" w:styleId="FootnoteReference">
    <w:name w:val="footnote reference"/>
    <w:basedOn w:val="DefaultParagraphFont"/>
    <w:uiPriority w:val="99"/>
    <w:semiHidden/>
    <w:rsid w:val="00567977"/>
    <w:rPr>
      <w:rFonts w:ascii="Arial" w:hAnsi="Arial"/>
      <w:sz w:val="17"/>
      <w:vertAlign w:val="superscript"/>
    </w:rPr>
  </w:style>
  <w:style w:type="paragraph" w:styleId="TOC3">
    <w:name w:val="toc 3"/>
    <w:basedOn w:val="Normal"/>
    <w:next w:val="Normal"/>
    <w:autoRedefine/>
    <w:uiPriority w:val="39"/>
    <w:semiHidden/>
    <w:unhideWhenUsed/>
    <w:rsid w:val="001C45CF"/>
    <w:pPr>
      <w:tabs>
        <w:tab w:val="right" w:leader="dot" w:pos="9923"/>
      </w:tabs>
      <w:spacing w:after="100"/>
      <w:ind w:left="675" w:right="454" w:hanging="675"/>
    </w:pPr>
    <w:rPr>
      <w:rFonts w:ascii="Arial Narrow" w:hAnsi="Arial Narrow"/>
      <w:noProof/>
    </w:rPr>
  </w:style>
  <w:style w:type="paragraph" w:customStyle="1" w:styleId="FooterNumbering">
    <w:name w:val="Footer Numbering"/>
    <w:basedOn w:val="FooterText"/>
    <w:next w:val="Para0"/>
    <w:semiHidden/>
    <w:unhideWhenUsed/>
    <w:qFormat/>
    <w:rsid w:val="00C76DD8"/>
    <w:pPr>
      <w:ind w:left="0"/>
      <w:jc w:val="right"/>
    </w:pPr>
  </w:style>
  <w:style w:type="paragraph" w:customStyle="1" w:styleId="ContentBulletsDash">
    <w:name w:val="Content Bullets Dash"/>
    <w:basedOn w:val="Para0"/>
    <w:semiHidden/>
    <w:qFormat/>
    <w:rsid w:val="008229E6"/>
    <w:pPr>
      <w:numPr>
        <w:numId w:val="3"/>
      </w:numPr>
      <w:ind w:left="851"/>
    </w:pPr>
  </w:style>
  <w:style w:type="paragraph" w:customStyle="1" w:styleId="ContentBulletsRomanNumeral">
    <w:name w:val="Content Bullets Roman Numeral"/>
    <w:basedOn w:val="Para0"/>
    <w:semiHidden/>
    <w:qFormat/>
    <w:rsid w:val="008229E6"/>
    <w:pPr>
      <w:numPr>
        <w:numId w:val="6"/>
      </w:numPr>
      <w:ind w:left="851"/>
    </w:pPr>
  </w:style>
  <w:style w:type="paragraph" w:customStyle="1" w:styleId="Tablenumber">
    <w:name w:val="Table number"/>
    <w:basedOn w:val="Tablebullet"/>
    <w:qFormat/>
    <w:rsid w:val="00520778"/>
    <w:pPr>
      <w:numPr>
        <w:numId w:val="21"/>
      </w:numPr>
    </w:pPr>
  </w:style>
  <w:style w:type="paragraph" w:customStyle="1" w:styleId="Tablesmalltext">
    <w:name w:val="Table small text"/>
    <w:basedOn w:val="Normal"/>
    <w:qFormat/>
    <w:rsid w:val="00CC41B0"/>
    <w:pPr>
      <w:spacing w:before="40" w:after="40"/>
    </w:pPr>
    <w:rPr>
      <w:sz w:val="16"/>
    </w:rPr>
  </w:style>
  <w:style w:type="paragraph" w:customStyle="1" w:styleId="Tablesmallbullet">
    <w:name w:val="Table small bullet"/>
    <w:basedOn w:val="Tablesmalltext"/>
    <w:qFormat/>
    <w:rsid w:val="00E57B6A"/>
    <w:pPr>
      <w:numPr>
        <w:numId w:val="30"/>
      </w:numPr>
    </w:pPr>
  </w:style>
  <w:style w:type="paragraph" w:customStyle="1" w:styleId="Tablesmallheading">
    <w:name w:val="Table small heading"/>
    <w:basedOn w:val="Tableheading"/>
    <w:qFormat/>
    <w:rsid w:val="00A3712A"/>
    <w:pPr>
      <w:spacing w:before="60" w:after="60"/>
    </w:pPr>
    <w:rPr>
      <w:rFonts w:ascii="Arial" w:hAnsi="Arial"/>
      <w:b/>
    </w:rPr>
  </w:style>
  <w:style w:type="paragraph" w:customStyle="1" w:styleId="Tablesmallletter">
    <w:name w:val="Table small letter"/>
    <w:basedOn w:val="Tablesmallbullet"/>
    <w:qFormat/>
    <w:rsid w:val="00463857"/>
    <w:pPr>
      <w:numPr>
        <w:numId w:val="26"/>
      </w:numPr>
    </w:pPr>
  </w:style>
  <w:style w:type="paragraph" w:customStyle="1" w:styleId="Tablesmallnumber">
    <w:name w:val="Table small number"/>
    <w:basedOn w:val="Tablesmallbullet"/>
    <w:qFormat/>
    <w:rsid w:val="003C057C"/>
    <w:pPr>
      <w:numPr>
        <w:numId w:val="25"/>
      </w:numPr>
    </w:pPr>
  </w:style>
  <w:style w:type="paragraph" w:customStyle="1" w:styleId="Sectionheading">
    <w:name w:val="Section heading"/>
    <w:basedOn w:val="Summary"/>
    <w:next w:val="Para0"/>
    <w:qFormat/>
    <w:rsid w:val="00BC09FA"/>
    <w:pPr>
      <w:pageBreakBefore/>
      <w:spacing w:line="360" w:lineRule="exact"/>
      <w:ind w:left="357" w:hanging="357"/>
    </w:pPr>
  </w:style>
  <w:style w:type="paragraph" w:styleId="Header">
    <w:name w:val="header"/>
    <w:basedOn w:val="PageTitle"/>
    <w:link w:val="HeaderChar"/>
    <w:unhideWhenUsed/>
    <w:rsid w:val="0044537D"/>
    <w:pPr>
      <w:spacing w:before="30" w:after="30" w:line="280" w:lineRule="exact"/>
      <w:ind w:left="227"/>
    </w:pPr>
    <w:rPr>
      <w:sz w:val="18"/>
    </w:rPr>
  </w:style>
  <w:style w:type="character" w:customStyle="1" w:styleId="HeaderChar">
    <w:name w:val="Header Char"/>
    <w:basedOn w:val="DefaultParagraphFont"/>
    <w:link w:val="Header"/>
    <w:rsid w:val="00236A21"/>
    <w:rPr>
      <w:rFonts w:ascii="Arial Black" w:hAnsi="Arial Black"/>
      <w:color w:val="808080"/>
      <w:sz w:val="18"/>
    </w:rPr>
  </w:style>
  <w:style w:type="paragraph" w:styleId="Footer">
    <w:name w:val="footer"/>
    <w:basedOn w:val="Normal"/>
    <w:link w:val="FooterChar"/>
    <w:uiPriority w:val="99"/>
    <w:unhideWhenUsed/>
    <w:rsid w:val="007A09BE"/>
    <w:pPr>
      <w:pBdr>
        <w:top w:val="single" w:sz="4" w:space="1" w:color="CECECE"/>
      </w:pBdr>
      <w:tabs>
        <w:tab w:val="right" w:pos="9923"/>
        <w:tab w:val="right" w:pos="14742"/>
        <w:tab w:val="right" w:pos="21830"/>
      </w:tabs>
      <w:spacing w:before="240" w:after="80"/>
      <w:ind w:left="11"/>
    </w:pPr>
    <w:rPr>
      <w:rFonts w:ascii="Arial Narrow" w:eastAsia="Times" w:hAnsi="Arial Narrow" w:cs="Times New Roman"/>
      <w:b/>
      <w:color w:val="808080"/>
      <w:sz w:val="16"/>
      <w:szCs w:val="20"/>
    </w:rPr>
  </w:style>
  <w:style w:type="character" w:customStyle="1" w:styleId="FooterChar">
    <w:name w:val="Footer Char"/>
    <w:basedOn w:val="DefaultParagraphFont"/>
    <w:link w:val="Footer"/>
    <w:uiPriority w:val="99"/>
    <w:rsid w:val="007A09BE"/>
    <w:rPr>
      <w:rFonts w:ascii="Arial Narrow" w:eastAsia="Times" w:hAnsi="Arial Narrow" w:cs="Times New Roman"/>
      <w:b/>
      <w:color w:val="808080"/>
      <w:sz w:val="16"/>
      <w:szCs w:val="20"/>
      <w:lang w:val="en-GB"/>
    </w:rPr>
  </w:style>
  <w:style w:type="paragraph" w:styleId="TOCHeading">
    <w:name w:val="TOC Heading"/>
    <w:basedOn w:val="Heading1"/>
    <w:next w:val="Normal"/>
    <w:uiPriority w:val="39"/>
    <w:semiHidden/>
    <w:qFormat/>
    <w:rsid w:val="00FA6BB0"/>
    <w:pPr>
      <w:pageBreakBefore w:val="0"/>
      <w:numPr>
        <w:numId w:val="0"/>
      </w:numPr>
      <w:spacing w:before="480" w:after="0" w:line="276" w:lineRule="auto"/>
      <w:outlineLvl w:val="9"/>
    </w:pPr>
    <w:rPr>
      <w:rFonts w:asciiTheme="majorHAnsi" w:hAnsiTheme="majorHAnsi"/>
      <w:color w:val="AFACA6" w:themeColor="accent1" w:themeShade="BF"/>
      <w:sz w:val="28"/>
      <w:szCs w:val="28"/>
    </w:rPr>
  </w:style>
  <w:style w:type="character" w:styleId="Hyperlink">
    <w:name w:val="Hyperlink"/>
    <w:basedOn w:val="DefaultParagraphFont"/>
    <w:uiPriority w:val="99"/>
    <w:semiHidden/>
    <w:rsid w:val="00FA6BB0"/>
    <w:rPr>
      <w:color w:val="0000FF" w:themeColor="hyperlink"/>
      <w:u w:val="single"/>
    </w:rPr>
  </w:style>
  <w:style w:type="paragraph" w:customStyle="1" w:styleId="Sidebarheading">
    <w:name w:val="Sidebar heading"/>
    <w:basedOn w:val="Normal"/>
    <w:next w:val="Sidebartext"/>
    <w:unhideWhenUsed/>
    <w:qFormat/>
    <w:rsid w:val="003202A7"/>
    <w:pPr>
      <w:framePr w:hSpace="181" w:wrap="around" w:hAnchor="margin" w:x="109" w:y="182"/>
      <w:spacing w:before="40" w:after="120"/>
      <w:ind w:left="113"/>
    </w:pPr>
    <w:rPr>
      <w:rFonts w:ascii="Arial Narrow" w:hAnsi="Arial Narrow"/>
      <w:b/>
      <w:caps/>
      <w:color w:val="42145F"/>
      <w:sz w:val="18"/>
    </w:rPr>
  </w:style>
  <w:style w:type="paragraph" w:customStyle="1" w:styleId="Sidebartext">
    <w:name w:val="Sidebar text"/>
    <w:basedOn w:val="Sidebarheading"/>
    <w:unhideWhenUsed/>
    <w:qFormat/>
    <w:rsid w:val="003202A7"/>
    <w:pPr>
      <w:framePr w:wrap="around"/>
    </w:pPr>
    <w:rPr>
      <w:b w:val="0"/>
      <w:caps w:val="0"/>
      <w:color w:val="auto"/>
    </w:rPr>
  </w:style>
  <w:style w:type="paragraph" w:customStyle="1" w:styleId="ContactDetails">
    <w:name w:val="Contact Details"/>
    <w:basedOn w:val="Normal"/>
    <w:semiHidden/>
    <w:rsid w:val="005E4FA9"/>
    <w:pPr>
      <w:tabs>
        <w:tab w:val="left" w:pos="170"/>
      </w:tabs>
      <w:autoSpaceDE w:val="0"/>
      <w:autoSpaceDN w:val="0"/>
      <w:adjustRightInd w:val="0"/>
      <w:spacing w:before="60" w:after="28" w:line="220" w:lineRule="atLeast"/>
      <w:jc w:val="center"/>
      <w:textAlignment w:val="baseline"/>
    </w:pPr>
    <w:rPr>
      <w:rFonts w:ascii="Verdana" w:eastAsia="Times" w:hAnsi="Verdana" w:cs="Frutiger 45 Light"/>
      <w:color w:val="333F7F"/>
      <w:szCs w:val="22"/>
      <w:lang w:eastAsia="en-AU"/>
    </w:rPr>
  </w:style>
  <w:style w:type="paragraph" w:customStyle="1" w:styleId="Sidebarbullet">
    <w:name w:val="Sidebar bullet"/>
    <w:basedOn w:val="Sidebartext"/>
    <w:qFormat/>
    <w:rsid w:val="006C293D"/>
    <w:pPr>
      <w:framePr w:wrap="around"/>
      <w:numPr>
        <w:numId w:val="29"/>
      </w:numPr>
      <w:spacing w:after="60"/>
    </w:pPr>
  </w:style>
  <w:style w:type="paragraph" w:customStyle="1" w:styleId="Collateralheading">
    <w:name w:val="Collateral heading"/>
    <w:basedOn w:val="Normal"/>
    <w:next w:val="Normal"/>
    <w:semiHidden/>
    <w:unhideWhenUsed/>
    <w:rsid w:val="00975178"/>
    <w:pPr>
      <w:keepNext/>
      <w:spacing w:before="80" w:after="120"/>
    </w:pPr>
    <w:rPr>
      <w:rFonts w:ascii="Arial Black" w:hAnsi="Arial Black"/>
      <w:color w:val="42145F"/>
      <w:sz w:val="18"/>
    </w:rPr>
  </w:style>
  <w:style w:type="paragraph" w:customStyle="1" w:styleId="Collateralsubheading">
    <w:name w:val="Collateral sub heading"/>
    <w:basedOn w:val="Collateralheading"/>
    <w:next w:val="Normal"/>
    <w:semiHidden/>
    <w:unhideWhenUsed/>
    <w:rsid w:val="003F106A"/>
    <w:pPr>
      <w:widowControl w:val="0"/>
      <w:spacing w:after="160"/>
    </w:pPr>
    <w:rPr>
      <w:rFonts w:ascii="Arial Narrow" w:hAnsi="Arial Narrow"/>
      <w:b/>
      <w:color w:val="42145F" w:themeColor="text1"/>
      <w:sz w:val="19"/>
    </w:rPr>
  </w:style>
  <w:style w:type="paragraph" w:customStyle="1" w:styleId="Name1">
    <w:name w:val="Name 1"/>
    <w:basedOn w:val="Normal"/>
    <w:semiHidden/>
    <w:unhideWhenUsed/>
    <w:rsid w:val="005749F6"/>
    <w:pPr>
      <w:spacing w:after="160" w:line="320" w:lineRule="exact"/>
      <w:jc w:val="right"/>
    </w:pPr>
    <w:rPr>
      <w:rFonts w:ascii="Arial Black" w:hAnsi="Arial Black"/>
      <w:color w:val="42145F"/>
      <w:sz w:val="36"/>
    </w:rPr>
  </w:style>
  <w:style w:type="paragraph" w:styleId="ListBullet">
    <w:name w:val="List Bullet"/>
    <w:basedOn w:val="Normal"/>
    <w:uiPriority w:val="99"/>
    <w:semiHidden/>
    <w:unhideWhenUsed/>
    <w:rsid w:val="005E4FA9"/>
    <w:pPr>
      <w:tabs>
        <w:tab w:val="num" w:pos="370"/>
      </w:tabs>
      <w:ind w:left="370" w:hanging="360"/>
      <w:contextualSpacing/>
    </w:pPr>
  </w:style>
  <w:style w:type="paragraph" w:customStyle="1" w:styleId="Name2">
    <w:name w:val="Name 2"/>
    <w:basedOn w:val="Name1"/>
    <w:semiHidden/>
    <w:unhideWhenUsed/>
    <w:rsid w:val="005749F6"/>
    <w:rPr>
      <w:sz w:val="28"/>
    </w:rPr>
  </w:style>
  <w:style w:type="paragraph" w:customStyle="1" w:styleId="Projectrole1">
    <w:name w:val="Project role 1"/>
    <w:basedOn w:val="Normal"/>
    <w:semiHidden/>
    <w:unhideWhenUsed/>
    <w:rsid w:val="005749F6"/>
    <w:pPr>
      <w:spacing w:after="160"/>
      <w:jc w:val="right"/>
    </w:pPr>
    <w:rPr>
      <w:rFonts w:ascii="Arial Narrow" w:hAnsi="Arial Narrow"/>
      <w:caps/>
      <w:color w:val="42145F"/>
    </w:rPr>
  </w:style>
  <w:style w:type="paragraph" w:customStyle="1" w:styleId="Projectrole2">
    <w:name w:val="Project role 2"/>
    <w:basedOn w:val="Projectrole1"/>
    <w:semiHidden/>
    <w:unhideWhenUsed/>
    <w:rsid w:val="005749F6"/>
    <w:rPr>
      <w:sz w:val="16"/>
      <w:szCs w:val="16"/>
    </w:rPr>
  </w:style>
  <w:style w:type="paragraph" w:customStyle="1" w:styleId="Bodynarrow">
    <w:name w:val="Body narrow"/>
    <w:basedOn w:val="Para0narrow"/>
    <w:qFormat/>
    <w:rsid w:val="00491B38"/>
  </w:style>
  <w:style w:type="paragraph" w:customStyle="1" w:styleId="Bodynarrowbullet">
    <w:name w:val="Body narrow bullet"/>
    <w:basedOn w:val="Bodynarrow"/>
    <w:unhideWhenUsed/>
    <w:qFormat/>
    <w:rsid w:val="0053463E"/>
    <w:pPr>
      <w:numPr>
        <w:numId w:val="27"/>
      </w:numPr>
      <w:tabs>
        <w:tab w:val="left" w:pos="198"/>
      </w:tabs>
      <w:spacing w:after="60"/>
    </w:pPr>
  </w:style>
  <w:style w:type="paragraph" w:customStyle="1" w:styleId="Bodynarrowarrow">
    <w:name w:val="Body narrow arrow"/>
    <w:basedOn w:val="Para1narrowarrow"/>
    <w:semiHidden/>
    <w:unhideWhenUsed/>
    <w:rsid w:val="0053463E"/>
    <w:pPr>
      <w:numPr>
        <w:numId w:val="27"/>
      </w:numPr>
      <w:tabs>
        <w:tab w:val="clear" w:pos="198"/>
      </w:tabs>
    </w:pPr>
  </w:style>
  <w:style w:type="paragraph" w:customStyle="1" w:styleId="Disclaimer1">
    <w:name w:val="Disclaimer 1"/>
    <w:basedOn w:val="Normal"/>
    <w:semiHidden/>
    <w:unhideWhenUsed/>
    <w:rsid w:val="003202A7"/>
    <w:pPr>
      <w:framePr w:hSpace="181" w:wrap="around" w:vAnchor="page" w:hAnchor="margin" w:y="12811"/>
      <w:spacing w:after="200" w:line="200" w:lineRule="exact"/>
    </w:pPr>
    <w:rPr>
      <w:rFonts w:ascii="Arial Narrow" w:hAnsi="Arial Narrow"/>
      <w:b/>
      <w:color w:val="A6A6A6"/>
      <w:sz w:val="17"/>
    </w:rPr>
  </w:style>
  <w:style w:type="paragraph" w:customStyle="1" w:styleId="Disclaimer2">
    <w:name w:val="Disclaimer 2"/>
    <w:basedOn w:val="Disclaimer1"/>
    <w:semiHidden/>
    <w:unhideWhenUsed/>
    <w:rsid w:val="003202A7"/>
    <w:pPr>
      <w:framePr w:wrap="around"/>
      <w:spacing w:before="80" w:after="40" w:line="180" w:lineRule="atLeast"/>
    </w:pPr>
    <w:rPr>
      <w:sz w:val="14"/>
    </w:rPr>
  </w:style>
  <w:style w:type="paragraph" w:customStyle="1" w:styleId="Para0narrow">
    <w:name w:val="Para 0 narrow"/>
    <w:basedOn w:val="Normal"/>
    <w:unhideWhenUsed/>
    <w:qFormat/>
    <w:rsid w:val="00BE03E9"/>
    <w:pPr>
      <w:spacing w:before="40" w:after="120"/>
    </w:pPr>
    <w:rPr>
      <w:rFonts w:ascii="Arial Narrow" w:hAnsi="Arial Narrow"/>
      <w:sz w:val="19"/>
    </w:rPr>
  </w:style>
  <w:style w:type="paragraph" w:customStyle="1" w:styleId="Para0narrowbullet">
    <w:name w:val="Para 0 narrow bullet"/>
    <w:basedOn w:val="Para0narrow"/>
    <w:qFormat/>
    <w:rsid w:val="00FE7784"/>
    <w:pPr>
      <w:numPr>
        <w:numId w:val="28"/>
      </w:numPr>
      <w:tabs>
        <w:tab w:val="left" w:pos="198"/>
      </w:tabs>
      <w:spacing w:after="60"/>
    </w:pPr>
  </w:style>
  <w:style w:type="paragraph" w:customStyle="1" w:styleId="SummaryHeading">
    <w:name w:val="SummaryHeading"/>
    <w:basedOn w:val="Sectionheading"/>
    <w:semiHidden/>
    <w:qFormat/>
    <w:rsid w:val="00C74B97"/>
  </w:style>
  <w:style w:type="paragraph" w:customStyle="1" w:styleId="Para0bold">
    <w:name w:val="Para 0 bold"/>
    <w:basedOn w:val="Para0"/>
    <w:qFormat/>
    <w:rsid w:val="00170FDB"/>
    <w:rPr>
      <w:b/>
    </w:rPr>
  </w:style>
  <w:style w:type="paragraph" w:customStyle="1" w:styleId="Para0number">
    <w:name w:val="Para 0 number"/>
    <w:basedOn w:val="Para0"/>
    <w:qFormat/>
    <w:rsid w:val="00A076C0"/>
    <w:pPr>
      <w:numPr>
        <w:numId w:val="32"/>
      </w:numPr>
      <w:tabs>
        <w:tab w:val="left" w:pos="851"/>
      </w:tabs>
      <w:spacing w:before="0"/>
    </w:pPr>
  </w:style>
  <w:style w:type="paragraph" w:customStyle="1" w:styleId="Para0arrow">
    <w:name w:val="Para 0 arrow"/>
    <w:basedOn w:val="Para0"/>
    <w:qFormat/>
    <w:rsid w:val="00F41C0A"/>
    <w:pPr>
      <w:numPr>
        <w:numId w:val="19"/>
      </w:numPr>
      <w:tabs>
        <w:tab w:val="left" w:pos="851"/>
      </w:tabs>
      <w:spacing w:before="0"/>
    </w:pPr>
    <w:rPr>
      <w:color w:val="42145F" w:themeColor="text1"/>
    </w:rPr>
  </w:style>
  <w:style w:type="paragraph" w:customStyle="1" w:styleId="Para0dash">
    <w:name w:val="Para 0 dash"/>
    <w:basedOn w:val="Para0"/>
    <w:qFormat/>
    <w:rsid w:val="00AE6C85"/>
    <w:pPr>
      <w:numPr>
        <w:numId w:val="34"/>
      </w:numPr>
      <w:tabs>
        <w:tab w:val="left" w:pos="851"/>
      </w:tabs>
      <w:spacing w:before="0"/>
    </w:pPr>
  </w:style>
  <w:style w:type="paragraph" w:customStyle="1" w:styleId="Para0roman">
    <w:name w:val="Para 0 roman"/>
    <w:basedOn w:val="Para0"/>
    <w:qFormat/>
    <w:rsid w:val="00C21EF5"/>
    <w:pPr>
      <w:numPr>
        <w:numId w:val="33"/>
      </w:numPr>
      <w:tabs>
        <w:tab w:val="left" w:pos="851"/>
      </w:tabs>
      <w:spacing w:before="0"/>
    </w:pPr>
  </w:style>
  <w:style w:type="paragraph" w:customStyle="1" w:styleId="Para0letter">
    <w:name w:val="Para 0 letter"/>
    <w:basedOn w:val="Para0"/>
    <w:qFormat/>
    <w:rsid w:val="00AE6C85"/>
    <w:pPr>
      <w:numPr>
        <w:numId w:val="35"/>
      </w:numPr>
      <w:tabs>
        <w:tab w:val="left" w:pos="851"/>
      </w:tabs>
      <w:spacing w:before="0"/>
    </w:pPr>
  </w:style>
  <w:style w:type="paragraph" w:customStyle="1" w:styleId="Para0bullet">
    <w:name w:val="Para 0 bullet"/>
    <w:basedOn w:val="Para0"/>
    <w:link w:val="Para0bulletChar"/>
    <w:qFormat/>
    <w:rsid w:val="006A7869"/>
    <w:pPr>
      <w:numPr>
        <w:numId w:val="36"/>
      </w:numPr>
      <w:tabs>
        <w:tab w:val="left" w:pos="851"/>
      </w:tabs>
      <w:spacing w:before="0"/>
    </w:pPr>
  </w:style>
  <w:style w:type="paragraph" w:styleId="TOC9">
    <w:name w:val="toc 9"/>
    <w:basedOn w:val="Normal"/>
    <w:next w:val="Normal"/>
    <w:autoRedefine/>
    <w:uiPriority w:val="39"/>
    <w:rsid w:val="001C45CF"/>
    <w:pPr>
      <w:tabs>
        <w:tab w:val="right" w:leader="dot" w:pos="9923"/>
      </w:tabs>
      <w:spacing w:after="100"/>
    </w:pPr>
    <w:rPr>
      <w:rFonts w:ascii="Arial Narrow" w:hAnsi="Arial Narrow"/>
      <w:b/>
      <w:noProof/>
    </w:rPr>
  </w:style>
  <w:style w:type="paragraph" w:customStyle="1" w:styleId="CVName">
    <w:name w:val="CVName"/>
    <w:basedOn w:val="Name1"/>
    <w:semiHidden/>
    <w:unhideWhenUsed/>
    <w:rsid w:val="003F106A"/>
  </w:style>
  <w:style w:type="paragraph" w:customStyle="1" w:styleId="Content">
    <w:name w:val="Content"/>
    <w:basedOn w:val="Normal"/>
    <w:semiHidden/>
    <w:unhideWhenUsed/>
    <w:qFormat/>
    <w:rsid w:val="000524AE"/>
    <w:pPr>
      <w:spacing w:line="280" w:lineRule="exact"/>
    </w:pPr>
  </w:style>
  <w:style w:type="paragraph" w:styleId="TOC4">
    <w:name w:val="toc 4"/>
    <w:basedOn w:val="Normal"/>
    <w:next w:val="Normal"/>
    <w:autoRedefine/>
    <w:uiPriority w:val="39"/>
    <w:semiHidden/>
    <w:unhideWhenUsed/>
    <w:rsid w:val="001C45CF"/>
    <w:pPr>
      <w:tabs>
        <w:tab w:val="right" w:leader="dot" w:pos="9906"/>
      </w:tabs>
      <w:spacing w:after="100"/>
      <w:ind w:left="1315" w:hanging="1315"/>
    </w:pPr>
    <w:rPr>
      <w:rFonts w:ascii="Arial Narrow" w:hAnsi="Arial Narrow"/>
    </w:rPr>
  </w:style>
  <w:style w:type="paragraph" w:styleId="TOC5">
    <w:name w:val="toc 5"/>
    <w:basedOn w:val="Normal"/>
    <w:next w:val="Normal"/>
    <w:autoRedefine/>
    <w:uiPriority w:val="39"/>
    <w:semiHidden/>
    <w:unhideWhenUsed/>
    <w:rsid w:val="001C45CF"/>
    <w:pPr>
      <w:tabs>
        <w:tab w:val="right" w:leader="dot" w:pos="9923"/>
      </w:tabs>
      <w:spacing w:after="100"/>
      <w:ind w:left="1315" w:hanging="1315"/>
    </w:pPr>
    <w:rPr>
      <w:rFonts w:ascii="Arial Narrow" w:hAnsi="Arial Narrow"/>
    </w:rPr>
  </w:style>
  <w:style w:type="paragraph" w:styleId="TOC6">
    <w:name w:val="toc 6"/>
    <w:basedOn w:val="Normal"/>
    <w:next w:val="Normal"/>
    <w:autoRedefine/>
    <w:uiPriority w:val="39"/>
    <w:semiHidden/>
    <w:unhideWhenUsed/>
    <w:rsid w:val="001C45CF"/>
    <w:pPr>
      <w:tabs>
        <w:tab w:val="left" w:pos="1315"/>
        <w:tab w:val="right" w:leader="dot" w:pos="9923"/>
      </w:tabs>
      <w:spacing w:after="100"/>
      <w:ind w:left="675" w:hanging="675"/>
    </w:pPr>
    <w:rPr>
      <w:rFonts w:ascii="Arial Narrow" w:hAnsi="Arial Narrow"/>
    </w:rPr>
  </w:style>
  <w:style w:type="paragraph" w:styleId="TOC7">
    <w:name w:val="toc 7"/>
    <w:basedOn w:val="Normal"/>
    <w:next w:val="Normal"/>
    <w:autoRedefine/>
    <w:uiPriority w:val="39"/>
    <w:semiHidden/>
    <w:unhideWhenUsed/>
    <w:rsid w:val="003252EA"/>
    <w:pPr>
      <w:tabs>
        <w:tab w:val="left" w:pos="1315"/>
        <w:tab w:val="right" w:leader="dot" w:pos="9923"/>
      </w:tabs>
      <w:spacing w:after="100"/>
      <w:ind w:left="675" w:hanging="675"/>
    </w:pPr>
    <w:rPr>
      <w:rFonts w:ascii="Arial Narrow" w:hAnsi="Arial Narrow"/>
    </w:rPr>
  </w:style>
  <w:style w:type="paragraph" w:styleId="TOC8">
    <w:name w:val="toc 8"/>
    <w:basedOn w:val="Normal"/>
    <w:next w:val="Normal"/>
    <w:autoRedefine/>
    <w:uiPriority w:val="39"/>
    <w:semiHidden/>
    <w:unhideWhenUsed/>
    <w:rsid w:val="003252EA"/>
    <w:pPr>
      <w:tabs>
        <w:tab w:val="left" w:pos="1315"/>
        <w:tab w:val="right" w:leader="dot" w:pos="9923"/>
      </w:tabs>
      <w:spacing w:after="100"/>
      <w:ind w:left="675" w:hanging="675"/>
    </w:pPr>
    <w:rPr>
      <w:rFonts w:ascii="Arial Narrow" w:hAnsi="Arial Narrow"/>
    </w:rPr>
  </w:style>
  <w:style w:type="paragraph" w:customStyle="1" w:styleId="Para1narrowarrow">
    <w:name w:val="Para 1 narrow arrow"/>
    <w:basedOn w:val="Para0narrowbullet"/>
    <w:semiHidden/>
    <w:rsid w:val="00FE7784"/>
    <w:pPr>
      <w:numPr>
        <w:ilvl w:val="1"/>
      </w:numPr>
    </w:pPr>
    <w:rPr>
      <w:sz w:val="20"/>
    </w:rPr>
  </w:style>
  <w:style w:type="paragraph" w:customStyle="1" w:styleId="Bodyheading">
    <w:name w:val="Body heading"/>
    <w:basedOn w:val="Collateralheading"/>
    <w:next w:val="Para0narrow"/>
    <w:unhideWhenUsed/>
    <w:qFormat/>
    <w:rsid w:val="00975178"/>
  </w:style>
  <w:style w:type="paragraph" w:customStyle="1" w:styleId="Bodysubheading">
    <w:name w:val="Body sub heading"/>
    <w:basedOn w:val="Collateralsubheading"/>
    <w:next w:val="Para0narrow"/>
    <w:unhideWhenUsed/>
    <w:qFormat/>
    <w:rsid w:val="00975178"/>
  </w:style>
  <w:style w:type="paragraph" w:customStyle="1" w:styleId="CVTitle">
    <w:name w:val="CVTitle"/>
    <w:basedOn w:val="Projectrole1"/>
    <w:semiHidden/>
    <w:unhideWhenUsed/>
    <w:rsid w:val="003F106A"/>
  </w:style>
  <w:style w:type="paragraph" w:customStyle="1" w:styleId="CVHead">
    <w:name w:val="CVHead"/>
    <w:basedOn w:val="Collateralheading"/>
    <w:semiHidden/>
    <w:unhideWhenUsed/>
    <w:rsid w:val="003F106A"/>
  </w:style>
  <w:style w:type="paragraph" w:customStyle="1" w:styleId="PHHeading1">
    <w:name w:val="PHHeading 1"/>
    <w:basedOn w:val="CVHead"/>
    <w:semiHidden/>
    <w:unhideWhenUsed/>
    <w:rsid w:val="003F106A"/>
  </w:style>
  <w:style w:type="paragraph" w:customStyle="1" w:styleId="PHHeading2">
    <w:name w:val="PHHeading 2"/>
    <w:basedOn w:val="Collateralsubheading"/>
    <w:semiHidden/>
    <w:unhideWhenUsed/>
    <w:rsid w:val="0044077F"/>
  </w:style>
  <w:style w:type="paragraph" w:customStyle="1" w:styleId="PHHeading3">
    <w:name w:val="PHHeading 3"/>
    <w:basedOn w:val="PHHeading2"/>
    <w:semiHidden/>
    <w:unhideWhenUsed/>
    <w:rsid w:val="0044077F"/>
  </w:style>
  <w:style w:type="paragraph" w:customStyle="1" w:styleId="Para1">
    <w:name w:val="Para 1"/>
    <w:basedOn w:val="Para0"/>
    <w:unhideWhenUsed/>
    <w:rsid w:val="003B5A3C"/>
    <w:pPr>
      <w:ind w:left="425"/>
    </w:pPr>
  </w:style>
  <w:style w:type="paragraph" w:customStyle="1" w:styleId="Para1bullet">
    <w:name w:val="Para 1 bullet"/>
    <w:basedOn w:val="Para1"/>
    <w:unhideWhenUsed/>
    <w:rsid w:val="00A332BD"/>
    <w:pPr>
      <w:numPr>
        <w:numId w:val="8"/>
      </w:numPr>
      <w:spacing w:before="0"/>
      <w:ind w:left="850" w:hanging="425"/>
    </w:pPr>
  </w:style>
  <w:style w:type="paragraph" w:customStyle="1" w:styleId="Para1dash">
    <w:name w:val="Para 1 dash"/>
    <w:basedOn w:val="Para1bullet"/>
    <w:unhideWhenUsed/>
    <w:rsid w:val="006A7869"/>
    <w:pPr>
      <w:numPr>
        <w:ilvl w:val="1"/>
        <w:numId w:val="36"/>
      </w:numPr>
    </w:pPr>
  </w:style>
  <w:style w:type="paragraph" w:customStyle="1" w:styleId="Para1letter">
    <w:name w:val="Para 1 letter"/>
    <w:basedOn w:val="Para1bullet"/>
    <w:unhideWhenUsed/>
    <w:rsid w:val="00A076C0"/>
    <w:pPr>
      <w:numPr>
        <w:ilvl w:val="1"/>
        <w:numId w:val="32"/>
      </w:numPr>
    </w:pPr>
  </w:style>
  <w:style w:type="paragraph" w:customStyle="1" w:styleId="Para1number">
    <w:name w:val="Para 1 number"/>
    <w:basedOn w:val="Para1bullet"/>
    <w:unhideWhenUsed/>
    <w:rsid w:val="00A332BD"/>
    <w:pPr>
      <w:numPr>
        <w:numId w:val="9"/>
      </w:numPr>
      <w:ind w:left="850" w:hanging="425"/>
    </w:pPr>
  </w:style>
  <w:style w:type="paragraph" w:customStyle="1" w:styleId="Summary">
    <w:name w:val="Summary"/>
    <w:basedOn w:val="Normal"/>
    <w:next w:val="Para0"/>
    <w:qFormat/>
    <w:rsid w:val="00170FDB"/>
    <w:pPr>
      <w:spacing w:after="120" w:line="320" w:lineRule="exact"/>
    </w:pPr>
    <w:rPr>
      <w:rFonts w:ascii="Arial Narrow" w:hAnsi="Arial Narrow"/>
      <w:b/>
      <w:color w:val="42145F"/>
      <w:sz w:val="32"/>
    </w:rPr>
  </w:style>
  <w:style w:type="paragraph" w:customStyle="1" w:styleId="SectionSubheading1">
    <w:name w:val="Section Sub heading 1"/>
    <w:basedOn w:val="Heading2"/>
    <w:next w:val="Para0"/>
    <w:qFormat/>
    <w:rsid w:val="00D51601"/>
    <w:pPr>
      <w:numPr>
        <w:ilvl w:val="0"/>
        <w:numId w:val="0"/>
      </w:numPr>
    </w:pPr>
  </w:style>
  <w:style w:type="paragraph" w:customStyle="1" w:styleId="SectionSubheading2">
    <w:name w:val="Section Sub heading 2"/>
    <w:basedOn w:val="Heading3"/>
    <w:next w:val="Para0"/>
    <w:qFormat/>
    <w:rsid w:val="00D51601"/>
    <w:pPr>
      <w:numPr>
        <w:ilvl w:val="0"/>
        <w:numId w:val="0"/>
      </w:numPr>
    </w:pPr>
  </w:style>
  <w:style w:type="paragraph" w:customStyle="1" w:styleId="DocumentTitle">
    <w:name w:val="Document Title"/>
    <w:basedOn w:val="Normal"/>
    <w:rsid w:val="009B0F0B"/>
    <w:pPr>
      <w:spacing w:before="60" w:after="60"/>
    </w:pPr>
  </w:style>
  <w:style w:type="paragraph" w:customStyle="1" w:styleId="Para2">
    <w:name w:val="Para 2"/>
    <w:basedOn w:val="Para1"/>
    <w:rsid w:val="003B5A3C"/>
    <w:pPr>
      <w:ind w:left="851"/>
    </w:pPr>
  </w:style>
  <w:style w:type="paragraph" w:customStyle="1" w:styleId="Para2bullet">
    <w:name w:val="Para 2 bullet"/>
    <w:basedOn w:val="Para2"/>
    <w:rsid w:val="00A332BD"/>
    <w:pPr>
      <w:numPr>
        <w:numId w:val="10"/>
      </w:numPr>
      <w:spacing w:before="0"/>
      <w:ind w:left="1276" w:hanging="425"/>
    </w:pPr>
  </w:style>
  <w:style w:type="paragraph" w:customStyle="1" w:styleId="Para2dash">
    <w:name w:val="Para 2 dash"/>
    <w:basedOn w:val="Para2"/>
    <w:rsid w:val="00A332BD"/>
    <w:pPr>
      <w:numPr>
        <w:numId w:val="11"/>
      </w:numPr>
      <w:spacing w:before="0"/>
      <w:ind w:left="1276" w:hanging="425"/>
    </w:pPr>
  </w:style>
  <w:style w:type="paragraph" w:customStyle="1" w:styleId="Para2letter">
    <w:name w:val="Para 2 letter"/>
    <w:basedOn w:val="Para2"/>
    <w:rsid w:val="00A332BD"/>
    <w:pPr>
      <w:numPr>
        <w:numId w:val="12"/>
      </w:numPr>
      <w:spacing w:before="0"/>
      <w:ind w:left="1276" w:hanging="425"/>
    </w:pPr>
  </w:style>
  <w:style w:type="paragraph" w:customStyle="1" w:styleId="Contents">
    <w:name w:val="Contents"/>
    <w:basedOn w:val="PageHeading"/>
    <w:next w:val="Para0"/>
    <w:rsid w:val="00170FDB"/>
    <w:pPr>
      <w:pageBreakBefore/>
      <w:spacing w:after="100"/>
      <w:ind w:left="0"/>
    </w:pPr>
  </w:style>
  <w:style w:type="paragraph" w:customStyle="1" w:styleId="Tablecaption">
    <w:name w:val="Table caption"/>
    <w:basedOn w:val="Caption"/>
    <w:next w:val="Para0"/>
    <w:rsid w:val="00CC41B0"/>
  </w:style>
  <w:style w:type="paragraph" w:customStyle="1" w:styleId="Figurecaption">
    <w:name w:val="Figure caption"/>
    <w:basedOn w:val="Caption"/>
    <w:next w:val="Para0"/>
    <w:rsid w:val="00717A2B"/>
  </w:style>
  <w:style w:type="paragraph" w:customStyle="1" w:styleId="Appendixsubheading1">
    <w:name w:val="Appendix subheading 1"/>
    <w:basedOn w:val="Normal"/>
    <w:next w:val="Para0"/>
    <w:qFormat/>
    <w:rsid w:val="00384844"/>
    <w:pPr>
      <w:numPr>
        <w:ilvl w:val="1"/>
        <w:numId w:val="13"/>
      </w:numPr>
      <w:spacing w:before="240" w:after="120" w:line="280" w:lineRule="exact"/>
    </w:pPr>
    <w:rPr>
      <w:rFonts w:ascii="Arial Narrow" w:hAnsi="Arial Narrow"/>
      <w:b/>
      <w:color w:val="42145F"/>
      <w:sz w:val="24"/>
    </w:rPr>
  </w:style>
  <w:style w:type="paragraph" w:customStyle="1" w:styleId="Appendixsubheading2">
    <w:name w:val="Appendix subheading 2"/>
    <w:basedOn w:val="Normal"/>
    <w:next w:val="Para0"/>
    <w:qFormat/>
    <w:rsid w:val="00384844"/>
    <w:pPr>
      <w:numPr>
        <w:ilvl w:val="2"/>
        <w:numId w:val="13"/>
      </w:numPr>
      <w:spacing w:before="240" w:after="120"/>
    </w:pPr>
    <w:rPr>
      <w:rFonts w:ascii="Arial Narrow" w:hAnsi="Arial Narrow"/>
      <w:b/>
      <w:color w:val="42145F"/>
    </w:rPr>
  </w:style>
  <w:style w:type="paragraph" w:customStyle="1" w:styleId="Image">
    <w:name w:val="Image"/>
    <w:basedOn w:val="Normal"/>
    <w:semiHidden/>
    <w:rsid w:val="00BF4375"/>
    <w:pPr>
      <w:spacing w:after="0" w:line="240" w:lineRule="auto"/>
    </w:pPr>
  </w:style>
  <w:style w:type="paragraph" w:customStyle="1" w:styleId="Para1bold">
    <w:name w:val="Para 1 bold"/>
    <w:basedOn w:val="Para1"/>
    <w:rsid w:val="003E59A6"/>
    <w:rPr>
      <w:b/>
    </w:rPr>
  </w:style>
  <w:style w:type="paragraph" w:customStyle="1" w:styleId="Para1roman">
    <w:name w:val="Para 1 roman"/>
    <w:basedOn w:val="Para1number"/>
    <w:rsid w:val="00AE6C85"/>
    <w:pPr>
      <w:numPr>
        <w:ilvl w:val="1"/>
        <w:numId w:val="35"/>
      </w:numPr>
    </w:pPr>
  </w:style>
  <w:style w:type="paragraph" w:customStyle="1" w:styleId="Para2bold">
    <w:name w:val="Para 2 bold"/>
    <w:basedOn w:val="Para2"/>
    <w:rsid w:val="003E59A6"/>
    <w:rPr>
      <w:b/>
    </w:rPr>
  </w:style>
  <w:style w:type="paragraph" w:customStyle="1" w:styleId="Para2number">
    <w:name w:val="Para 2 number"/>
    <w:basedOn w:val="Para2bullet"/>
    <w:rsid w:val="00A332BD"/>
    <w:pPr>
      <w:numPr>
        <w:numId w:val="14"/>
      </w:numPr>
      <w:ind w:left="1276" w:hanging="425"/>
    </w:pPr>
  </w:style>
  <w:style w:type="paragraph" w:customStyle="1" w:styleId="Para2roman">
    <w:name w:val="Para 2 roman"/>
    <w:basedOn w:val="Para2number"/>
    <w:rsid w:val="00A076C0"/>
    <w:pPr>
      <w:numPr>
        <w:ilvl w:val="2"/>
        <w:numId w:val="32"/>
      </w:numPr>
    </w:pPr>
  </w:style>
  <w:style w:type="paragraph" w:customStyle="1" w:styleId="TableContent">
    <w:name w:val="Table Content"/>
    <w:basedOn w:val="Normal"/>
    <w:qFormat/>
    <w:rsid w:val="00CC41B0"/>
    <w:pPr>
      <w:spacing w:before="60" w:after="60" w:line="240" w:lineRule="exact"/>
    </w:pPr>
    <w:rPr>
      <w:lang w:val="en-US"/>
    </w:rPr>
  </w:style>
  <w:style w:type="character" w:customStyle="1" w:styleId="Bodynarrowbold">
    <w:name w:val="Body narrow bold"/>
    <w:uiPriority w:val="1"/>
    <w:rsid w:val="00A97F8A"/>
    <w:rPr>
      <w:rFonts w:ascii="Arial Narrow" w:hAnsi="Arial Narrow" w:hint="default"/>
      <w:b/>
      <w:bCs w:val="0"/>
      <w:sz w:val="19"/>
    </w:rPr>
  </w:style>
  <w:style w:type="numbering" w:customStyle="1" w:styleId="SKMNumberedList1">
    <w:name w:val="SKM Numbered List 1"/>
    <w:uiPriority w:val="99"/>
    <w:rsid w:val="00A076C0"/>
    <w:pPr>
      <w:numPr>
        <w:numId w:val="23"/>
      </w:numPr>
    </w:pPr>
  </w:style>
  <w:style w:type="numbering" w:customStyle="1" w:styleId="SKMNumberedList2">
    <w:name w:val="SKM Numbered List 2"/>
    <w:uiPriority w:val="99"/>
    <w:rsid w:val="00AE6C85"/>
    <w:pPr>
      <w:numPr>
        <w:numId w:val="15"/>
      </w:numPr>
    </w:pPr>
  </w:style>
  <w:style w:type="numbering" w:customStyle="1" w:styleId="SKMNumberedList3">
    <w:name w:val="SKM Numbered List 3"/>
    <w:uiPriority w:val="99"/>
    <w:rsid w:val="00C21EF5"/>
    <w:pPr>
      <w:numPr>
        <w:numId w:val="16"/>
      </w:numPr>
    </w:pPr>
  </w:style>
  <w:style w:type="numbering" w:customStyle="1" w:styleId="SKMBulletList1">
    <w:name w:val="SKM Bullet List 1"/>
    <w:uiPriority w:val="99"/>
    <w:rsid w:val="006A7869"/>
    <w:pPr>
      <w:numPr>
        <w:numId w:val="17"/>
      </w:numPr>
    </w:pPr>
  </w:style>
  <w:style w:type="numbering" w:customStyle="1" w:styleId="SKMBulletList2">
    <w:name w:val="SKM Bullet List 2"/>
    <w:uiPriority w:val="99"/>
    <w:rsid w:val="00AE6C85"/>
    <w:pPr>
      <w:numPr>
        <w:numId w:val="18"/>
      </w:numPr>
    </w:pPr>
  </w:style>
  <w:style w:type="paragraph" w:customStyle="1" w:styleId="PurpleHeading">
    <w:name w:val="Purple Heading"/>
    <w:basedOn w:val="Normal"/>
    <w:rsid w:val="00B27BC1"/>
    <w:pPr>
      <w:framePr w:hSpace="181" w:wrap="around" w:vAnchor="text" w:hAnchor="margin" w:x="142" w:y="456"/>
      <w:spacing w:before="80" w:after="0" w:line="320" w:lineRule="atLeast"/>
      <w:suppressOverlap/>
    </w:pPr>
    <w:rPr>
      <w:rFonts w:ascii="Arial Black" w:hAnsi="Arial Black"/>
      <w:b/>
      <w:color w:val="42145F"/>
      <w:sz w:val="24"/>
    </w:rPr>
  </w:style>
  <w:style w:type="paragraph" w:customStyle="1" w:styleId="Purplenarrow">
    <w:name w:val="Purple narrow"/>
    <w:basedOn w:val="PurpleHeading"/>
    <w:rsid w:val="00B27BC1"/>
    <w:pPr>
      <w:framePr w:wrap="around"/>
      <w:spacing w:before="0"/>
    </w:pPr>
    <w:rPr>
      <w:rFonts w:ascii="Arial Narrow" w:hAnsi="Arial Narrow"/>
      <w:b w:val="0"/>
      <w:caps/>
      <w:sz w:val="18"/>
    </w:rPr>
  </w:style>
  <w:style w:type="table" w:styleId="MediumList2">
    <w:name w:val="Medium List 2"/>
    <w:basedOn w:val="TableNormal"/>
    <w:uiPriority w:val="66"/>
    <w:rsid w:val="007E5920"/>
    <w:rPr>
      <w:rFonts w:asciiTheme="majorHAnsi" w:eastAsiaTheme="majorEastAsia" w:hAnsiTheme="majorHAnsi" w:cstheme="majorBidi"/>
      <w:color w:val="42145F" w:themeColor="text1"/>
    </w:rPr>
    <w:tblPr>
      <w:tblStyleRowBandSize w:val="1"/>
      <w:tblStyleColBandSize w:val="1"/>
      <w:tblBorders>
        <w:top w:val="single" w:sz="8" w:space="0" w:color="42145F" w:themeColor="text1"/>
        <w:left w:val="single" w:sz="8" w:space="0" w:color="42145F" w:themeColor="text1"/>
        <w:bottom w:val="single" w:sz="8" w:space="0" w:color="42145F" w:themeColor="text1"/>
        <w:right w:val="single" w:sz="8" w:space="0" w:color="42145F" w:themeColor="text1"/>
      </w:tblBorders>
    </w:tblPr>
    <w:tblStylePr w:type="firstRow">
      <w:rPr>
        <w:sz w:val="24"/>
        <w:szCs w:val="24"/>
      </w:rPr>
      <w:tblPr/>
      <w:tcPr>
        <w:tcBorders>
          <w:top w:val="nil"/>
          <w:left w:val="nil"/>
          <w:bottom w:val="single" w:sz="24" w:space="0" w:color="42145F" w:themeColor="text1"/>
          <w:right w:val="nil"/>
          <w:insideH w:val="nil"/>
          <w:insideV w:val="nil"/>
        </w:tcBorders>
        <w:shd w:val="clear" w:color="auto" w:fill="939598" w:themeFill="background1"/>
      </w:tcPr>
    </w:tblStylePr>
    <w:tblStylePr w:type="lastRow">
      <w:tblPr/>
      <w:tcPr>
        <w:tcBorders>
          <w:top w:val="single" w:sz="8" w:space="0" w:color="42145F" w:themeColor="text1"/>
          <w:left w:val="nil"/>
          <w:bottom w:val="nil"/>
          <w:right w:val="nil"/>
          <w:insideH w:val="nil"/>
          <w:insideV w:val="nil"/>
        </w:tcBorders>
        <w:shd w:val="clear" w:color="auto" w:fill="939598" w:themeFill="background1"/>
      </w:tcPr>
    </w:tblStylePr>
    <w:tblStylePr w:type="firstCol">
      <w:tblPr/>
      <w:tcPr>
        <w:tcBorders>
          <w:top w:val="nil"/>
          <w:left w:val="nil"/>
          <w:bottom w:val="nil"/>
          <w:right w:val="single" w:sz="8" w:space="0" w:color="42145F" w:themeColor="text1"/>
          <w:insideH w:val="nil"/>
          <w:insideV w:val="nil"/>
        </w:tcBorders>
        <w:shd w:val="clear" w:color="auto" w:fill="939598" w:themeFill="background1"/>
      </w:tcPr>
    </w:tblStylePr>
    <w:tblStylePr w:type="lastCol">
      <w:tblPr/>
      <w:tcPr>
        <w:tcBorders>
          <w:top w:val="nil"/>
          <w:left w:val="single" w:sz="8" w:space="0" w:color="42145F" w:themeColor="text1"/>
          <w:bottom w:val="nil"/>
          <w:right w:val="nil"/>
          <w:insideH w:val="nil"/>
          <w:insideV w:val="nil"/>
        </w:tcBorders>
        <w:shd w:val="clear" w:color="auto" w:fill="939598" w:themeFill="background1"/>
      </w:tcPr>
    </w:tblStylePr>
    <w:tblStylePr w:type="band1Vert">
      <w:tblPr/>
      <w:tcPr>
        <w:tcBorders>
          <w:left w:val="nil"/>
          <w:right w:val="nil"/>
          <w:insideH w:val="nil"/>
          <w:insideV w:val="nil"/>
        </w:tcBorders>
        <w:shd w:val="clear" w:color="auto" w:fill="D5AEEE" w:themeFill="text1" w:themeFillTint="3F"/>
      </w:tcPr>
    </w:tblStylePr>
    <w:tblStylePr w:type="band1Horz">
      <w:tblPr/>
      <w:tcPr>
        <w:tcBorders>
          <w:top w:val="nil"/>
          <w:bottom w:val="nil"/>
          <w:insideH w:val="nil"/>
          <w:insideV w:val="nil"/>
        </w:tcBorders>
        <w:shd w:val="clear" w:color="auto" w:fill="D5AEEE" w:themeFill="text1" w:themeFillTint="3F"/>
      </w:tcPr>
    </w:tblStylePr>
    <w:tblStylePr w:type="nwCell">
      <w:tblPr/>
      <w:tcPr>
        <w:shd w:val="clear" w:color="auto" w:fill="939598" w:themeFill="background1"/>
      </w:tcPr>
    </w:tblStylePr>
    <w:tblStylePr w:type="swCell">
      <w:tblPr/>
      <w:tcPr>
        <w:tcBorders>
          <w:top w:val="nil"/>
        </w:tcBorders>
      </w:tcPr>
    </w:tblStylePr>
  </w:style>
  <w:style w:type="table" w:styleId="MediumGrid1-Accent1">
    <w:name w:val="Medium Grid 1 Accent 1"/>
    <w:basedOn w:val="TableNormal"/>
    <w:uiPriority w:val="67"/>
    <w:rsid w:val="007E5920"/>
    <w:tblPr>
      <w:tblStyleRowBandSize w:val="1"/>
      <w:tblStyleColBandSize w:val="1"/>
      <w:tblBorders>
        <w:top w:val="single" w:sz="8" w:space="0" w:color="ECEBE9" w:themeColor="accent1" w:themeTint="BF"/>
        <w:left w:val="single" w:sz="8" w:space="0" w:color="ECEBE9" w:themeColor="accent1" w:themeTint="BF"/>
        <w:bottom w:val="single" w:sz="8" w:space="0" w:color="ECEBE9" w:themeColor="accent1" w:themeTint="BF"/>
        <w:right w:val="single" w:sz="8" w:space="0" w:color="ECEBE9" w:themeColor="accent1" w:themeTint="BF"/>
        <w:insideH w:val="single" w:sz="8" w:space="0" w:color="ECEBE9" w:themeColor="accent1" w:themeTint="BF"/>
        <w:insideV w:val="single" w:sz="8" w:space="0" w:color="ECEBE9" w:themeColor="accent1" w:themeTint="BF"/>
      </w:tblBorders>
    </w:tblPr>
    <w:tcPr>
      <w:shd w:val="clear" w:color="auto" w:fill="F8F8F7" w:themeFill="accent1" w:themeFillTint="3F"/>
    </w:tcPr>
    <w:tblStylePr w:type="firstRow">
      <w:rPr>
        <w:b/>
        <w:bCs/>
      </w:rPr>
    </w:tblStylePr>
    <w:tblStylePr w:type="lastRow">
      <w:rPr>
        <w:b/>
        <w:bCs/>
      </w:rPr>
      <w:tblPr/>
      <w:tcPr>
        <w:tcBorders>
          <w:top w:val="single" w:sz="18" w:space="0" w:color="ECEBE9" w:themeColor="accent1" w:themeTint="BF"/>
        </w:tcBorders>
      </w:tcPr>
    </w:tblStylePr>
    <w:tblStylePr w:type="firstCol">
      <w:rPr>
        <w:b/>
        <w:bCs/>
      </w:rPr>
    </w:tblStylePr>
    <w:tblStylePr w:type="lastCol">
      <w:rPr>
        <w:b/>
        <w:bCs/>
      </w:rPr>
    </w:tblStylePr>
    <w:tblStylePr w:type="band1Vert">
      <w:tblPr/>
      <w:tcPr>
        <w:shd w:val="clear" w:color="auto" w:fill="F2F1F0" w:themeFill="accent1" w:themeFillTint="7F"/>
      </w:tcPr>
    </w:tblStylePr>
    <w:tblStylePr w:type="band1Horz">
      <w:tblPr/>
      <w:tcPr>
        <w:shd w:val="clear" w:color="auto" w:fill="F2F1F0" w:themeFill="accent1" w:themeFillTint="7F"/>
      </w:tcPr>
    </w:tblStylePr>
  </w:style>
  <w:style w:type="table" w:customStyle="1" w:styleId="Table1">
    <w:name w:val="Table1"/>
    <w:basedOn w:val="TableNormal"/>
    <w:uiPriority w:val="99"/>
    <w:rsid w:val="00680A9B"/>
    <w:tblPr>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Pr>
    <w:tblStylePr w:type="firstRow">
      <w:rPr>
        <w:rFonts w:ascii="Arial Black" w:hAnsi="Arial Black"/>
        <w:b/>
        <w:color w:val="000000"/>
        <w:sz w:val="50"/>
      </w:rPr>
      <w:tblPr/>
      <w:tcPr>
        <w:shd w:val="clear" w:color="auto" w:fill="CFCAC7"/>
      </w:tcPr>
    </w:tblStylePr>
    <w:tblStylePr w:type="firstCol">
      <w:tblPr/>
      <w:tcPr>
        <w:shd w:val="clear" w:color="auto" w:fill="E6E5E3"/>
      </w:tcPr>
    </w:tblStylePr>
  </w:style>
  <w:style w:type="table" w:customStyle="1" w:styleId="Table2">
    <w:name w:val="Table2"/>
    <w:basedOn w:val="TableNormal"/>
    <w:uiPriority w:val="99"/>
    <w:rsid w:val="00680A9B"/>
    <w:rPr>
      <w:rFonts w:ascii="Arial" w:hAnsi="Arial"/>
      <w:sz w:val="20"/>
    </w:rPr>
    <w:tblPr>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Pr>
    <w:tblStylePr w:type="firstRow">
      <w:rPr>
        <w:rFonts w:ascii="Arial Black" w:hAnsi="Arial Black"/>
        <w:b/>
        <w:color w:val="000000"/>
        <w:sz w:val="50"/>
      </w:rPr>
      <w:tblPr/>
      <w:tcPr>
        <w:shd w:val="clear" w:color="auto" w:fill="CFCAC7"/>
      </w:tcPr>
    </w:tblStylePr>
  </w:style>
  <w:style w:type="paragraph" w:customStyle="1" w:styleId="PenPicBodyheading">
    <w:name w:val="Pen Pic Body heading"/>
    <w:basedOn w:val="Bodyheading"/>
    <w:rsid w:val="00B27BC1"/>
    <w:pPr>
      <w:ind w:left="284"/>
    </w:pPr>
  </w:style>
  <w:style w:type="paragraph" w:customStyle="1" w:styleId="PenPicSidebartext">
    <w:name w:val="Pen Pic Sidebar text"/>
    <w:basedOn w:val="Normal"/>
    <w:rsid w:val="00B27BC1"/>
    <w:pPr>
      <w:suppressAutoHyphens/>
      <w:autoSpaceDE w:val="0"/>
      <w:autoSpaceDN w:val="0"/>
      <w:adjustRightInd w:val="0"/>
      <w:spacing w:before="60" w:after="60"/>
      <w:ind w:left="284"/>
      <w:textAlignment w:val="center"/>
    </w:pPr>
    <w:rPr>
      <w:rFonts w:ascii="Arial Narrow" w:hAnsi="Arial Narrow" w:cs="Arial Narrow"/>
      <w:color w:val="000000"/>
      <w:sz w:val="19"/>
      <w:szCs w:val="19"/>
    </w:rPr>
  </w:style>
  <w:style w:type="paragraph" w:customStyle="1" w:styleId="PenPicSidebarbullet">
    <w:name w:val="Pen Pic Sidebar bullet"/>
    <w:basedOn w:val="Sidebarbullet"/>
    <w:rsid w:val="00B27BC1"/>
    <w:pPr>
      <w:framePr w:hSpace="0" w:wrap="auto" w:hAnchor="text" w:xAlign="left" w:yAlign="inline"/>
      <w:ind w:firstLine="0"/>
    </w:pPr>
    <w:rPr>
      <w:color w:val="000000"/>
      <w:sz w:val="19"/>
    </w:rPr>
  </w:style>
  <w:style w:type="numbering" w:customStyle="1" w:styleId="SKMBulletList3">
    <w:name w:val="SKM Bullet List 3"/>
    <w:uiPriority w:val="99"/>
    <w:rsid w:val="00F41C0A"/>
    <w:pPr>
      <w:numPr>
        <w:numId w:val="19"/>
      </w:numPr>
    </w:pPr>
  </w:style>
  <w:style w:type="numbering" w:customStyle="1" w:styleId="SKMTableList1">
    <w:name w:val="SKM Table List 1"/>
    <w:uiPriority w:val="99"/>
    <w:rsid w:val="003552CE"/>
    <w:pPr>
      <w:numPr>
        <w:numId w:val="20"/>
      </w:numPr>
    </w:pPr>
  </w:style>
  <w:style w:type="numbering" w:customStyle="1" w:styleId="SKMTableNumberedList1">
    <w:name w:val="SKM Table Numbered List 1"/>
    <w:uiPriority w:val="99"/>
    <w:rsid w:val="00520778"/>
    <w:pPr>
      <w:numPr>
        <w:numId w:val="21"/>
      </w:numPr>
    </w:pPr>
  </w:style>
  <w:style w:type="numbering" w:customStyle="1" w:styleId="SKMTableNumberedList2">
    <w:name w:val="SKM Table Numbered List 2"/>
    <w:uiPriority w:val="99"/>
    <w:rsid w:val="00520778"/>
    <w:pPr>
      <w:numPr>
        <w:numId w:val="22"/>
      </w:numPr>
    </w:pPr>
  </w:style>
  <w:style w:type="numbering" w:customStyle="1" w:styleId="SKMSmallTableList1">
    <w:name w:val="SKM Small Table List 1"/>
    <w:uiPriority w:val="99"/>
    <w:rsid w:val="00E57B6A"/>
    <w:pPr>
      <w:numPr>
        <w:numId w:val="24"/>
      </w:numPr>
    </w:pPr>
  </w:style>
  <w:style w:type="numbering" w:customStyle="1" w:styleId="SKMSmallTableNumberedList1">
    <w:name w:val="SKM Small Table Numbered List 1"/>
    <w:uiPriority w:val="99"/>
    <w:rsid w:val="003C057C"/>
    <w:pPr>
      <w:numPr>
        <w:numId w:val="25"/>
      </w:numPr>
    </w:pPr>
  </w:style>
  <w:style w:type="numbering" w:customStyle="1" w:styleId="SKMSmallTableNumberedList2">
    <w:name w:val="SKM Small Table Numbered List 2"/>
    <w:uiPriority w:val="99"/>
    <w:rsid w:val="00463857"/>
    <w:pPr>
      <w:numPr>
        <w:numId w:val="26"/>
      </w:numPr>
    </w:pPr>
  </w:style>
  <w:style w:type="numbering" w:customStyle="1" w:styleId="SKMBodyList">
    <w:name w:val="SKM Body List"/>
    <w:uiPriority w:val="99"/>
    <w:rsid w:val="0053463E"/>
    <w:pPr>
      <w:numPr>
        <w:numId w:val="27"/>
      </w:numPr>
    </w:pPr>
  </w:style>
  <w:style w:type="numbering" w:customStyle="1" w:styleId="SKMNarrowList">
    <w:name w:val="SKM Narrow List"/>
    <w:uiPriority w:val="99"/>
    <w:rsid w:val="00FE7784"/>
    <w:pPr>
      <w:numPr>
        <w:numId w:val="28"/>
      </w:numPr>
    </w:pPr>
  </w:style>
  <w:style w:type="numbering" w:customStyle="1" w:styleId="SKMSidebarList">
    <w:name w:val="SKM Sidebar List"/>
    <w:uiPriority w:val="99"/>
    <w:rsid w:val="006C293D"/>
    <w:pPr>
      <w:numPr>
        <w:numId w:val="29"/>
      </w:numPr>
    </w:pPr>
  </w:style>
  <w:style w:type="character" w:customStyle="1" w:styleId="Para0Char">
    <w:name w:val="Para 0 Char"/>
    <w:basedOn w:val="DefaultParagraphFont"/>
    <w:link w:val="Para0"/>
    <w:uiPriority w:val="99"/>
    <w:rsid w:val="00622A3C"/>
    <w:rPr>
      <w:rFonts w:ascii="Arial" w:hAnsi="Arial"/>
      <w:sz w:val="20"/>
      <w:lang w:val="en-AU"/>
    </w:rPr>
  </w:style>
  <w:style w:type="character" w:customStyle="1" w:styleId="Para0bulletChar">
    <w:name w:val="Para 0 bullet Char"/>
    <w:basedOn w:val="DefaultParagraphFont"/>
    <w:link w:val="Para0bullet"/>
    <w:rsid w:val="001E24E8"/>
    <w:rPr>
      <w:rFonts w:ascii="Arial" w:hAnsi="Arial"/>
      <w:sz w:val="20"/>
      <w:lang w:val="en-AU"/>
    </w:rPr>
  </w:style>
  <w:style w:type="paragraph" w:customStyle="1" w:styleId="TableFontbullet">
    <w:name w:val="TableFont bullet"/>
    <w:basedOn w:val="Normal"/>
    <w:rsid w:val="001E24E8"/>
    <w:pPr>
      <w:numPr>
        <w:numId w:val="37"/>
      </w:numPr>
      <w:spacing w:before="20" w:after="0" w:line="240" w:lineRule="auto"/>
    </w:pPr>
    <w:rPr>
      <w:rFonts w:eastAsia="Times New Roman" w:cs="Times New Roman"/>
      <w:color w:val="000000"/>
      <w:sz w:val="18"/>
      <w:szCs w:val="20"/>
      <w:lang w:val="en-GB"/>
    </w:rPr>
  </w:style>
  <w:style w:type="character" w:styleId="CommentReference">
    <w:name w:val="annotation reference"/>
    <w:basedOn w:val="DefaultParagraphFont"/>
    <w:uiPriority w:val="99"/>
    <w:semiHidden/>
    <w:unhideWhenUsed/>
    <w:rsid w:val="00C06949"/>
    <w:rPr>
      <w:sz w:val="16"/>
      <w:szCs w:val="16"/>
    </w:rPr>
  </w:style>
  <w:style w:type="paragraph" w:styleId="CommentText">
    <w:name w:val="annotation text"/>
    <w:basedOn w:val="Normal"/>
    <w:link w:val="CommentTextChar"/>
    <w:uiPriority w:val="99"/>
    <w:semiHidden/>
    <w:unhideWhenUsed/>
    <w:rsid w:val="00C06949"/>
    <w:pPr>
      <w:spacing w:line="240" w:lineRule="auto"/>
    </w:pPr>
    <w:rPr>
      <w:szCs w:val="20"/>
    </w:rPr>
  </w:style>
  <w:style w:type="character" w:customStyle="1" w:styleId="CommentTextChar">
    <w:name w:val="Comment Text Char"/>
    <w:basedOn w:val="DefaultParagraphFont"/>
    <w:link w:val="CommentText"/>
    <w:uiPriority w:val="99"/>
    <w:semiHidden/>
    <w:rsid w:val="00C06949"/>
    <w:rPr>
      <w:rFonts w:ascii="Arial" w:hAnsi="Arial"/>
      <w:sz w:val="20"/>
      <w:szCs w:val="20"/>
      <w:lang w:val="en-AU"/>
    </w:rPr>
  </w:style>
  <w:style w:type="paragraph" w:styleId="CommentSubject">
    <w:name w:val="annotation subject"/>
    <w:basedOn w:val="CommentText"/>
    <w:next w:val="CommentText"/>
    <w:link w:val="CommentSubjectChar"/>
    <w:uiPriority w:val="99"/>
    <w:semiHidden/>
    <w:unhideWhenUsed/>
    <w:rsid w:val="0060658C"/>
    <w:rPr>
      <w:b/>
      <w:bCs/>
    </w:rPr>
  </w:style>
  <w:style w:type="character" w:customStyle="1" w:styleId="CommentSubjectChar">
    <w:name w:val="Comment Subject Char"/>
    <w:basedOn w:val="CommentTextChar"/>
    <w:link w:val="CommentSubject"/>
    <w:uiPriority w:val="99"/>
    <w:semiHidden/>
    <w:rsid w:val="0060658C"/>
    <w:rPr>
      <w:rFonts w:ascii="Arial" w:hAnsi="Arial"/>
      <w:b/>
      <w:bCs/>
      <w:sz w:val="20"/>
      <w:szCs w:val="20"/>
      <w:lang w:val="en-AU"/>
    </w:rPr>
  </w:style>
  <w:style w:type="paragraph" w:customStyle="1" w:styleId="DocStatusH">
    <w:name w:val="DocStatusH"/>
    <w:basedOn w:val="DocStatus"/>
    <w:rsid w:val="004F72B4"/>
    <w:pPr>
      <w:spacing w:before="60" w:after="60"/>
    </w:pPr>
    <w:rPr>
      <w:b/>
    </w:rPr>
  </w:style>
  <w:style w:type="paragraph" w:customStyle="1" w:styleId="DocStatus">
    <w:name w:val="DocStatus"/>
    <w:basedOn w:val="Normal"/>
    <w:rsid w:val="004F72B4"/>
    <w:pPr>
      <w:spacing w:before="40" w:after="40" w:line="240" w:lineRule="auto"/>
    </w:pPr>
    <w:rPr>
      <w:rFonts w:eastAsia="Times New Roman" w:cs="Times New Roman"/>
      <w:color w:val="000000"/>
      <w:sz w:val="16"/>
      <w:szCs w:val="20"/>
      <w:lang w:val="en-GB"/>
    </w:rPr>
  </w:style>
  <w:style w:type="paragraph" w:customStyle="1" w:styleId="CoverSubject">
    <w:name w:val="CoverSubject"/>
    <w:basedOn w:val="Para0"/>
    <w:next w:val="Para0"/>
    <w:uiPriority w:val="99"/>
    <w:rsid w:val="004F72B4"/>
    <w:pPr>
      <w:numPr>
        <w:numId w:val="38"/>
      </w:numPr>
      <w:spacing w:before="0" w:line="240" w:lineRule="auto"/>
    </w:pPr>
    <w:rPr>
      <w:rFonts w:ascii="Arial Narrow" w:eastAsia="Times New Roman" w:hAnsi="Arial Narrow" w:cs="Times New Roman"/>
      <w:color w:val="808080"/>
      <w:sz w:val="24"/>
      <w:szCs w:val="20"/>
      <w:lang w:val="en-GB"/>
    </w:rPr>
  </w:style>
  <w:style w:type="paragraph" w:styleId="Revision">
    <w:name w:val="Revision"/>
    <w:hidden/>
    <w:uiPriority w:val="99"/>
    <w:semiHidden/>
    <w:rsid w:val="007C192C"/>
    <w:rPr>
      <w:rFonts w:ascii="Arial" w:hAnsi="Arial"/>
      <w:sz w:val="20"/>
      <w:lang w:val="en-AU"/>
    </w:rPr>
  </w:style>
  <w:style w:type="paragraph" w:styleId="ListParagraph">
    <w:name w:val="List Paragraph"/>
    <w:basedOn w:val="Normal"/>
    <w:uiPriority w:val="34"/>
    <w:semiHidden/>
    <w:rsid w:val="00CC2584"/>
    <w:pPr>
      <w:ind w:left="720"/>
      <w:contextualSpacing/>
    </w:pPr>
  </w:style>
  <w:style w:type="paragraph" w:styleId="NormalWeb">
    <w:name w:val="Normal (Web)"/>
    <w:basedOn w:val="Normal"/>
    <w:uiPriority w:val="99"/>
    <w:unhideWhenUsed/>
    <w:rsid w:val="00906537"/>
    <w:pPr>
      <w:spacing w:before="100" w:beforeAutospacing="1" w:after="100" w:afterAutospacing="1" w:line="240" w:lineRule="auto"/>
    </w:pPr>
    <w:rPr>
      <w:rFonts w:ascii="Times New Roman" w:eastAsia="Times New Roman" w:hAnsi="Times New Roman" w:cs="Times New Roman"/>
      <w:sz w:val="24"/>
      <w:lang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lsdException w:name="heading 5" w:uiPriority="9"/>
    <w:lsdException w:name="heading 6" w:uiPriority="9"/>
    <w:lsdException w:name="heading 7" w:uiPriority="9"/>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unhideWhenUsed="0"/>
    <w:lsdException w:name="Default Paragraph Font" w:uiPriority="1"/>
    <w:lsdException w:name="Subtitle" w:uiPriority="11" w:unhideWhenUsed="0"/>
    <w:lsdException w:name="Strong" w:uiPriority="22" w:unhideWhenUsed="0"/>
    <w:lsdException w:name="Emphasis" w:uiPriority="20" w:unhideWhenUsed="0"/>
    <w:lsdException w:name="Table Grid" w:semiHidden="0" w:uiPriority="59" w:unhideWhenUsed="0"/>
    <w:lsdException w:name="Placeholder Text" w:unhideWhenUsed="0"/>
    <w:lsdException w:name="No Spacing"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uiPriority="34" w:unhideWhenUsed="0"/>
    <w:lsdException w:name="Quote" w:uiPriority="29" w:unhideWhenUsed="0"/>
    <w:lsdException w:name="Intense Quote"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unhideWhenUsed="0"/>
    <w:lsdException w:name="Intense Emphasis" w:uiPriority="21" w:unhideWhenUsed="0"/>
    <w:lsdException w:name="Subtle Reference" w:uiPriority="31" w:unhideWhenUsed="0"/>
    <w:lsdException w:name="Intense Reference" w:uiPriority="32" w:unhideWhenUsed="0"/>
    <w:lsdException w:name="Book Title" w:uiPriority="33" w:unhideWhenUsed="0"/>
    <w:lsdException w:name="Bibliography" w:uiPriority="37" w:unhideWhenUsed="0"/>
    <w:lsdException w:name="TOC Heading" w:uiPriority="39" w:qFormat="1"/>
  </w:latentStyles>
  <w:style w:type="paragraph" w:default="1" w:styleId="Normal">
    <w:name w:val="Normal"/>
    <w:semiHidden/>
    <w:rsid w:val="002C38C3"/>
    <w:pPr>
      <w:spacing w:after="220" w:line="240" w:lineRule="atLeast"/>
    </w:pPr>
    <w:rPr>
      <w:rFonts w:ascii="Arial" w:hAnsi="Arial"/>
      <w:sz w:val="20"/>
      <w:lang w:val="en-AU"/>
    </w:rPr>
  </w:style>
  <w:style w:type="paragraph" w:styleId="Heading1">
    <w:name w:val="heading 1"/>
    <w:basedOn w:val="Para0"/>
    <w:next w:val="Para0"/>
    <w:link w:val="Heading1Char"/>
    <w:uiPriority w:val="9"/>
    <w:qFormat/>
    <w:rsid w:val="00170FDB"/>
    <w:pPr>
      <w:keepNext/>
      <w:keepLines/>
      <w:pageBreakBefore/>
      <w:numPr>
        <w:numId w:val="1"/>
      </w:numPr>
      <w:spacing w:line="360" w:lineRule="exact"/>
      <w:outlineLvl w:val="0"/>
    </w:pPr>
    <w:rPr>
      <w:rFonts w:ascii="Arial Narrow" w:eastAsiaTheme="majorEastAsia" w:hAnsi="Arial Narrow" w:cstheme="majorBidi"/>
      <w:b/>
      <w:bCs/>
      <w:color w:val="42145F"/>
      <w:sz w:val="32"/>
      <w:szCs w:val="32"/>
    </w:rPr>
  </w:style>
  <w:style w:type="paragraph" w:styleId="Heading2">
    <w:name w:val="heading 2"/>
    <w:basedOn w:val="Para0"/>
    <w:next w:val="Para0"/>
    <w:link w:val="Heading2Char"/>
    <w:uiPriority w:val="9"/>
    <w:qFormat/>
    <w:rsid w:val="00D625F4"/>
    <w:pPr>
      <w:keepNext/>
      <w:keepLines/>
      <w:numPr>
        <w:ilvl w:val="1"/>
        <w:numId w:val="1"/>
      </w:numPr>
      <w:outlineLvl w:val="1"/>
    </w:pPr>
    <w:rPr>
      <w:rFonts w:ascii="Arial Narrow" w:eastAsiaTheme="majorEastAsia" w:hAnsi="Arial Narrow" w:cstheme="majorBidi"/>
      <w:b/>
      <w:bCs/>
      <w:color w:val="42145F"/>
      <w:sz w:val="24"/>
      <w:szCs w:val="26"/>
    </w:rPr>
  </w:style>
  <w:style w:type="paragraph" w:styleId="Heading3">
    <w:name w:val="heading 3"/>
    <w:basedOn w:val="Para0"/>
    <w:next w:val="Para0"/>
    <w:link w:val="Heading3Char"/>
    <w:uiPriority w:val="9"/>
    <w:qFormat/>
    <w:rsid w:val="00D625F4"/>
    <w:pPr>
      <w:keepNext/>
      <w:keepLines/>
      <w:numPr>
        <w:ilvl w:val="2"/>
        <w:numId w:val="1"/>
      </w:numPr>
      <w:outlineLvl w:val="2"/>
    </w:pPr>
    <w:rPr>
      <w:rFonts w:ascii="Arial Narrow" w:eastAsiaTheme="majorEastAsia" w:hAnsi="Arial Narrow" w:cstheme="majorBidi"/>
      <w:b/>
      <w:bCs/>
      <w:color w:val="42145F"/>
    </w:rPr>
  </w:style>
  <w:style w:type="paragraph" w:styleId="Heading4">
    <w:name w:val="heading 4"/>
    <w:basedOn w:val="Para0"/>
    <w:next w:val="Para0"/>
    <w:link w:val="Heading4Char"/>
    <w:uiPriority w:val="9"/>
    <w:semiHidden/>
    <w:rsid w:val="00D625F4"/>
    <w:pPr>
      <w:keepNext/>
      <w:keepLines/>
      <w:numPr>
        <w:ilvl w:val="3"/>
        <w:numId w:val="1"/>
      </w:numPr>
      <w:outlineLvl w:val="3"/>
    </w:pPr>
    <w:rPr>
      <w:rFonts w:ascii="Arial Narrow" w:eastAsiaTheme="majorEastAsia" w:hAnsi="Arial Narrow" w:cstheme="majorBidi"/>
      <w:b/>
      <w:bCs/>
      <w:iCs/>
      <w:color w:val="42145F"/>
    </w:rPr>
  </w:style>
  <w:style w:type="paragraph" w:styleId="Heading5">
    <w:name w:val="heading 5"/>
    <w:basedOn w:val="Para0"/>
    <w:next w:val="Para0"/>
    <w:link w:val="Heading5Char"/>
    <w:uiPriority w:val="9"/>
    <w:semiHidden/>
    <w:rsid w:val="00D625F4"/>
    <w:pPr>
      <w:keepNext/>
      <w:keepLines/>
      <w:numPr>
        <w:ilvl w:val="4"/>
        <w:numId w:val="1"/>
      </w:numPr>
      <w:outlineLvl w:val="4"/>
    </w:pPr>
    <w:rPr>
      <w:rFonts w:ascii="Arial Narrow" w:eastAsiaTheme="majorEastAsia" w:hAnsi="Arial Narrow" w:cstheme="majorBidi"/>
      <w:b/>
      <w:color w:val="42145F"/>
    </w:rPr>
  </w:style>
  <w:style w:type="paragraph" w:styleId="Heading6">
    <w:name w:val="heading 6"/>
    <w:basedOn w:val="Para0"/>
    <w:next w:val="Para0"/>
    <w:link w:val="Heading6Char"/>
    <w:uiPriority w:val="9"/>
    <w:semiHidden/>
    <w:rsid w:val="00D625F4"/>
    <w:pPr>
      <w:keepNext/>
      <w:keepLines/>
      <w:numPr>
        <w:ilvl w:val="5"/>
        <w:numId w:val="1"/>
      </w:numPr>
      <w:outlineLvl w:val="5"/>
    </w:pPr>
    <w:rPr>
      <w:rFonts w:ascii="Arial Narrow" w:eastAsiaTheme="majorEastAsia" w:hAnsi="Arial Narrow" w:cstheme="majorBidi"/>
      <w:b/>
      <w:iCs/>
      <w:color w:val="42145F" w:themeColor="text1"/>
    </w:rPr>
  </w:style>
  <w:style w:type="paragraph" w:styleId="Heading7">
    <w:name w:val="heading 7"/>
    <w:basedOn w:val="Normal"/>
    <w:next w:val="Para0"/>
    <w:link w:val="Heading7Char"/>
    <w:uiPriority w:val="9"/>
    <w:rsid w:val="00D625F4"/>
    <w:pPr>
      <w:numPr>
        <w:ilvl w:val="6"/>
        <w:numId w:val="1"/>
      </w:numPr>
      <w:spacing w:before="240" w:after="120" w:line="360" w:lineRule="exact"/>
      <w:outlineLvl w:val="6"/>
    </w:pPr>
    <w:rPr>
      <w:rFonts w:ascii="Arial Narrow" w:hAnsi="Arial Narrow"/>
      <w:b/>
      <w:color w:val="42145F"/>
    </w:rPr>
  </w:style>
  <w:style w:type="paragraph" w:styleId="Heading8">
    <w:name w:val="heading 8"/>
    <w:basedOn w:val="Heading2"/>
    <w:next w:val="Para0"/>
    <w:link w:val="Heading8Char"/>
    <w:qFormat/>
    <w:rsid w:val="002C38C3"/>
    <w:pPr>
      <w:numPr>
        <w:ilvl w:val="7"/>
      </w:numPr>
      <w:outlineLvl w:val="7"/>
    </w:pPr>
    <w:rPr>
      <w:color w:val="42145F" w:themeColor="text1"/>
    </w:rPr>
  </w:style>
  <w:style w:type="paragraph" w:styleId="Heading9">
    <w:name w:val="heading 9"/>
    <w:aliases w:val="Appendix"/>
    <w:basedOn w:val="Para0"/>
    <w:next w:val="Para0"/>
    <w:link w:val="Heading9Char"/>
    <w:qFormat/>
    <w:rsid w:val="00170FDB"/>
    <w:pPr>
      <w:pageBreakBefore/>
      <w:numPr>
        <w:numId w:val="13"/>
      </w:numPr>
      <w:spacing w:line="360" w:lineRule="exact"/>
      <w:outlineLvl w:val="8"/>
    </w:pPr>
    <w:rPr>
      <w:rFonts w:ascii="Arial Narrow" w:hAnsi="Arial Narrow"/>
      <w:b/>
      <w:color w:val="42145F"/>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0">
    <w:name w:val="Para 0"/>
    <w:aliases w:val="Auto,After:  3 pt"/>
    <w:basedOn w:val="Normal"/>
    <w:link w:val="Para0Char"/>
    <w:uiPriority w:val="99"/>
    <w:qFormat/>
    <w:rsid w:val="00170FDB"/>
    <w:pPr>
      <w:spacing w:before="240" w:after="120"/>
    </w:pPr>
  </w:style>
  <w:style w:type="character" w:customStyle="1" w:styleId="Heading1Char">
    <w:name w:val="Heading 1 Char"/>
    <w:basedOn w:val="DefaultParagraphFont"/>
    <w:link w:val="Heading1"/>
    <w:uiPriority w:val="9"/>
    <w:rsid w:val="00170FDB"/>
    <w:rPr>
      <w:rFonts w:ascii="Arial Narrow" w:eastAsiaTheme="majorEastAsia" w:hAnsi="Arial Narrow" w:cstheme="majorBidi"/>
      <w:b/>
      <w:bCs/>
      <w:color w:val="42145F"/>
      <w:sz w:val="32"/>
      <w:szCs w:val="32"/>
      <w:lang w:val="en-AU"/>
    </w:rPr>
  </w:style>
  <w:style w:type="character" w:customStyle="1" w:styleId="Heading2Char">
    <w:name w:val="Heading 2 Char"/>
    <w:basedOn w:val="DefaultParagraphFont"/>
    <w:link w:val="Heading2"/>
    <w:uiPriority w:val="9"/>
    <w:rsid w:val="00D625F4"/>
    <w:rPr>
      <w:rFonts w:ascii="Arial Narrow" w:eastAsiaTheme="majorEastAsia" w:hAnsi="Arial Narrow" w:cstheme="majorBidi"/>
      <w:b/>
      <w:bCs/>
      <w:color w:val="42145F"/>
      <w:szCs w:val="26"/>
      <w:lang w:val="en-AU"/>
    </w:rPr>
  </w:style>
  <w:style w:type="character" w:customStyle="1" w:styleId="Heading3Char">
    <w:name w:val="Heading 3 Char"/>
    <w:basedOn w:val="DefaultParagraphFont"/>
    <w:link w:val="Heading3"/>
    <w:uiPriority w:val="9"/>
    <w:rsid w:val="00D625F4"/>
    <w:rPr>
      <w:rFonts w:ascii="Arial Narrow" w:eastAsiaTheme="majorEastAsia" w:hAnsi="Arial Narrow" w:cstheme="majorBidi"/>
      <w:b/>
      <w:bCs/>
      <w:color w:val="42145F"/>
      <w:sz w:val="20"/>
      <w:lang w:val="en-AU"/>
    </w:rPr>
  </w:style>
  <w:style w:type="character" w:customStyle="1" w:styleId="Heading4Char">
    <w:name w:val="Heading 4 Char"/>
    <w:basedOn w:val="DefaultParagraphFont"/>
    <w:link w:val="Heading4"/>
    <w:uiPriority w:val="9"/>
    <w:semiHidden/>
    <w:rsid w:val="00D625F4"/>
    <w:rPr>
      <w:rFonts w:ascii="Arial Narrow" w:eastAsiaTheme="majorEastAsia" w:hAnsi="Arial Narrow" w:cstheme="majorBidi"/>
      <w:b/>
      <w:bCs/>
      <w:iCs/>
      <w:color w:val="42145F"/>
      <w:sz w:val="20"/>
      <w:lang w:val="en-AU"/>
    </w:rPr>
  </w:style>
  <w:style w:type="character" w:customStyle="1" w:styleId="Heading5Char">
    <w:name w:val="Heading 5 Char"/>
    <w:basedOn w:val="DefaultParagraphFont"/>
    <w:link w:val="Heading5"/>
    <w:uiPriority w:val="9"/>
    <w:semiHidden/>
    <w:rsid w:val="00D625F4"/>
    <w:rPr>
      <w:rFonts w:ascii="Arial Narrow" w:eastAsiaTheme="majorEastAsia" w:hAnsi="Arial Narrow" w:cstheme="majorBidi"/>
      <w:b/>
      <w:color w:val="42145F"/>
      <w:sz w:val="20"/>
      <w:lang w:val="en-AU"/>
    </w:rPr>
  </w:style>
  <w:style w:type="character" w:customStyle="1" w:styleId="Heading6Char">
    <w:name w:val="Heading 6 Char"/>
    <w:basedOn w:val="DefaultParagraphFont"/>
    <w:link w:val="Heading6"/>
    <w:uiPriority w:val="9"/>
    <w:semiHidden/>
    <w:rsid w:val="00D625F4"/>
    <w:rPr>
      <w:rFonts w:ascii="Arial Narrow" w:eastAsiaTheme="majorEastAsia" w:hAnsi="Arial Narrow" w:cstheme="majorBidi"/>
      <w:b/>
      <w:iCs/>
      <w:color w:val="42145F" w:themeColor="text1"/>
      <w:sz w:val="20"/>
      <w:lang w:val="en-AU"/>
    </w:rPr>
  </w:style>
  <w:style w:type="character" w:customStyle="1" w:styleId="Heading7Char">
    <w:name w:val="Heading 7 Char"/>
    <w:basedOn w:val="DefaultParagraphFont"/>
    <w:link w:val="Heading7"/>
    <w:uiPriority w:val="9"/>
    <w:rsid w:val="00D625F4"/>
    <w:rPr>
      <w:rFonts w:ascii="Arial Narrow" w:hAnsi="Arial Narrow"/>
      <w:b/>
      <w:color w:val="42145F"/>
      <w:sz w:val="20"/>
      <w:lang w:val="en-AU"/>
    </w:rPr>
  </w:style>
  <w:style w:type="character" w:customStyle="1" w:styleId="Heading8Char">
    <w:name w:val="Heading 8 Char"/>
    <w:basedOn w:val="DefaultParagraphFont"/>
    <w:link w:val="Heading8"/>
    <w:rsid w:val="002C38C3"/>
    <w:rPr>
      <w:rFonts w:ascii="Arial Narrow" w:eastAsiaTheme="majorEastAsia" w:hAnsi="Arial Narrow" w:cstheme="majorBidi"/>
      <w:b/>
      <w:bCs/>
      <w:color w:val="42145F" w:themeColor="text1"/>
      <w:szCs w:val="26"/>
      <w:lang w:val="en-AU"/>
    </w:rPr>
  </w:style>
  <w:style w:type="character" w:customStyle="1" w:styleId="Heading9Char">
    <w:name w:val="Heading 9 Char"/>
    <w:aliases w:val="Appendix Char"/>
    <w:basedOn w:val="DefaultParagraphFont"/>
    <w:link w:val="Heading9"/>
    <w:rsid w:val="00170FDB"/>
    <w:rPr>
      <w:rFonts w:ascii="Arial Narrow" w:hAnsi="Arial Narrow"/>
      <w:b/>
      <w:color w:val="42145F"/>
      <w:sz w:val="32"/>
      <w:lang w:val="en-AU"/>
    </w:rPr>
  </w:style>
  <w:style w:type="paragraph" w:customStyle="1" w:styleId="ContentBold">
    <w:name w:val="Content Bold"/>
    <w:basedOn w:val="Para0"/>
    <w:next w:val="Para0"/>
    <w:semiHidden/>
    <w:qFormat/>
    <w:rsid w:val="00311964"/>
    <w:rPr>
      <w:b/>
    </w:rPr>
  </w:style>
  <w:style w:type="paragraph" w:customStyle="1" w:styleId="CoverHeading">
    <w:name w:val="Cover Heading"/>
    <w:basedOn w:val="Normal"/>
    <w:next w:val="CoverSubheading"/>
    <w:rsid w:val="00DE60FA"/>
    <w:pPr>
      <w:spacing w:after="200" w:line="360" w:lineRule="exact"/>
      <w:ind w:right="851"/>
      <w:jc w:val="right"/>
    </w:pPr>
    <w:rPr>
      <w:rFonts w:ascii="Arial Black" w:hAnsi="Arial Black"/>
      <w:color w:val="FFFFFF" w:themeColor="background2"/>
      <w:sz w:val="32"/>
    </w:rPr>
  </w:style>
  <w:style w:type="paragraph" w:customStyle="1" w:styleId="CoverSubheading">
    <w:name w:val="Cover Subheading"/>
    <w:basedOn w:val="CoverHeading"/>
    <w:next w:val="CoverDate"/>
    <w:rsid w:val="00EE50A7"/>
    <w:pPr>
      <w:spacing w:line="280" w:lineRule="exact"/>
    </w:pPr>
    <w:rPr>
      <w:rFonts w:ascii="Arial" w:hAnsi="Arial"/>
      <w:caps/>
      <w:sz w:val="22"/>
      <w:szCs w:val="22"/>
    </w:rPr>
  </w:style>
  <w:style w:type="paragraph" w:customStyle="1" w:styleId="CoverDate">
    <w:name w:val="Cover Date"/>
    <w:basedOn w:val="CoverHeading"/>
    <w:next w:val="Para0"/>
    <w:rsid w:val="00EE50A7"/>
    <w:pPr>
      <w:spacing w:line="280" w:lineRule="exact"/>
    </w:pPr>
    <w:rPr>
      <w:rFonts w:ascii="Arial" w:hAnsi="Arial"/>
      <w:sz w:val="22"/>
    </w:rPr>
  </w:style>
  <w:style w:type="paragraph" w:customStyle="1" w:styleId="PageTitle">
    <w:name w:val="Page Title"/>
    <w:basedOn w:val="Para0"/>
    <w:unhideWhenUsed/>
    <w:rsid w:val="00F83F08"/>
    <w:pPr>
      <w:spacing w:before="0" w:after="0" w:line="240" w:lineRule="auto"/>
      <w:ind w:left="3402"/>
    </w:pPr>
    <w:rPr>
      <w:rFonts w:ascii="Arial Black" w:hAnsi="Arial Black"/>
      <w:color w:val="808080"/>
      <w:sz w:val="24"/>
    </w:rPr>
  </w:style>
  <w:style w:type="paragraph" w:customStyle="1" w:styleId="CopyrightInfo">
    <w:name w:val="Copyright Info"/>
    <w:basedOn w:val="CoverHeading"/>
    <w:next w:val="Para0"/>
    <w:semiHidden/>
    <w:rsid w:val="00DE60FA"/>
    <w:pPr>
      <w:spacing w:before="200" w:after="30" w:line="180" w:lineRule="exact"/>
      <w:jc w:val="both"/>
    </w:pPr>
    <w:rPr>
      <w:rFonts w:ascii="Arial" w:hAnsi="Arial"/>
      <w:color w:val="auto"/>
      <w:sz w:val="14"/>
    </w:rPr>
  </w:style>
  <w:style w:type="paragraph" w:customStyle="1" w:styleId="FooterText">
    <w:name w:val="Footer Text"/>
    <w:basedOn w:val="Para0"/>
    <w:semiHidden/>
    <w:qFormat/>
    <w:rsid w:val="008229E6"/>
    <w:pPr>
      <w:spacing w:after="0" w:line="200" w:lineRule="exact"/>
      <w:ind w:left="567" w:right="284"/>
    </w:pPr>
    <w:rPr>
      <w:rFonts w:ascii="Arial Narrow" w:hAnsi="Arial Narrow"/>
      <w:b/>
      <w:sz w:val="16"/>
    </w:rPr>
  </w:style>
  <w:style w:type="paragraph" w:customStyle="1" w:styleId="Tablebullet">
    <w:name w:val="Table bullet"/>
    <w:basedOn w:val="Tabletext"/>
    <w:qFormat/>
    <w:rsid w:val="003552CE"/>
    <w:pPr>
      <w:numPr>
        <w:numId w:val="31"/>
      </w:numPr>
    </w:pPr>
  </w:style>
  <w:style w:type="paragraph" w:customStyle="1" w:styleId="Tableheading">
    <w:name w:val="Table heading"/>
    <w:basedOn w:val="Normal"/>
    <w:qFormat/>
    <w:rsid w:val="00A3712A"/>
    <w:pPr>
      <w:spacing w:before="100" w:after="100"/>
    </w:pPr>
    <w:rPr>
      <w:rFonts w:ascii="Arial Black" w:hAnsi="Arial Black"/>
      <w:sz w:val="16"/>
    </w:rPr>
  </w:style>
  <w:style w:type="paragraph" w:styleId="BalloonText">
    <w:name w:val="Balloon Text"/>
    <w:basedOn w:val="Normal"/>
    <w:link w:val="BalloonTextChar"/>
    <w:uiPriority w:val="99"/>
    <w:semiHidden/>
    <w:unhideWhenUsed/>
    <w:rsid w:val="00EF779D"/>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F779D"/>
    <w:rPr>
      <w:rFonts w:ascii="Lucida Grande" w:hAnsi="Lucida Grande" w:cs="Lucida Grande"/>
      <w:sz w:val="18"/>
      <w:szCs w:val="18"/>
    </w:rPr>
  </w:style>
  <w:style w:type="paragraph" w:customStyle="1" w:styleId="ContentBulletsLetter">
    <w:name w:val="Content Bullets Letter"/>
    <w:basedOn w:val="Para0"/>
    <w:semiHidden/>
    <w:qFormat/>
    <w:rsid w:val="008229E6"/>
    <w:pPr>
      <w:numPr>
        <w:numId w:val="2"/>
      </w:numPr>
      <w:tabs>
        <w:tab w:val="num" w:pos="360"/>
      </w:tabs>
      <w:ind w:left="851" w:firstLine="0"/>
    </w:pPr>
  </w:style>
  <w:style w:type="paragraph" w:customStyle="1" w:styleId="ContentBulletsRound">
    <w:name w:val="Content Bullets Round"/>
    <w:basedOn w:val="Para0"/>
    <w:semiHidden/>
    <w:qFormat/>
    <w:rsid w:val="008229E6"/>
    <w:pPr>
      <w:numPr>
        <w:numId w:val="7"/>
      </w:numPr>
      <w:tabs>
        <w:tab w:val="num" w:pos="360"/>
      </w:tabs>
      <w:ind w:left="851" w:firstLine="0"/>
    </w:pPr>
    <w:rPr>
      <w:color w:val="000000"/>
    </w:rPr>
  </w:style>
  <w:style w:type="paragraph" w:styleId="Caption">
    <w:name w:val="caption"/>
    <w:basedOn w:val="Tableheading"/>
    <w:next w:val="Para0"/>
    <w:uiPriority w:val="35"/>
    <w:qFormat/>
    <w:rsid w:val="00170FDB"/>
    <w:pPr>
      <w:keepNext/>
      <w:spacing w:before="240"/>
    </w:pPr>
    <w:rPr>
      <w:rFonts w:ascii="Arial Narrow" w:hAnsi="Arial Narrow"/>
      <w:b/>
      <w:sz w:val="20"/>
    </w:rPr>
  </w:style>
  <w:style w:type="paragraph" w:customStyle="1" w:styleId="ContentBulletsArrow">
    <w:name w:val="Content Bullets Arrow"/>
    <w:basedOn w:val="Para0"/>
    <w:semiHidden/>
    <w:qFormat/>
    <w:rsid w:val="008229E6"/>
    <w:pPr>
      <w:numPr>
        <w:numId w:val="4"/>
      </w:numPr>
      <w:ind w:left="851"/>
    </w:pPr>
    <w:rPr>
      <w:color w:val="42145F"/>
    </w:rPr>
  </w:style>
  <w:style w:type="paragraph" w:customStyle="1" w:styleId="ContentBulletsNumber">
    <w:name w:val="Content Bullets Number"/>
    <w:basedOn w:val="Para0"/>
    <w:semiHidden/>
    <w:qFormat/>
    <w:rsid w:val="008229E6"/>
    <w:pPr>
      <w:numPr>
        <w:numId w:val="5"/>
      </w:numPr>
      <w:ind w:left="851"/>
    </w:pPr>
  </w:style>
  <w:style w:type="paragraph" w:styleId="FootnoteText">
    <w:name w:val="footnote text"/>
    <w:basedOn w:val="Normal"/>
    <w:link w:val="FootnoteTextChar"/>
    <w:uiPriority w:val="99"/>
    <w:semiHidden/>
    <w:rsid w:val="008229E6"/>
    <w:pPr>
      <w:spacing w:after="60" w:line="210" w:lineRule="exact"/>
      <w:ind w:left="136" w:hanging="136"/>
    </w:pPr>
    <w:rPr>
      <w:color w:val="000000"/>
      <w:sz w:val="17"/>
    </w:rPr>
  </w:style>
  <w:style w:type="character" w:customStyle="1" w:styleId="FootnoteTextChar">
    <w:name w:val="Footnote Text Char"/>
    <w:basedOn w:val="DefaultParagraphFont"/>
    <w:link w:val="FootnoteText"/>
    <w:uiPriority w:val="99"/>
    <w:semiHidden/>
    <w:rsid w:val="000B07EA"/>
    <w:rPr>
      <w:rFonts w:ascii="Arial" w:hAnsi="Arial"/>
      <w:color w:val="000000"/>
      <w:sz w:val="17"/>
    </w:rPr>
  </w:style>
  <w:style w:type="paragraph" w:customStyle="1" w:styleId="Tabletext">
    <w:name w:val="Table text"/>
    <w:basedOn w:val="Normal"/>
    <w:qFormat/>
    <w:rsid w:val="00CC41B0"/>
    <w:pPr>
      <w:spacing w:before="60" w:after="60"/>
    </w:pPr>
  </w:style>
  <w:style w:type="table" w:styleId="TableGrid">
    <w:name w:val="Table Grid"/>
    <w:basedOn w:val="TableNormal"/>
    <w:uiPriority w:val="59"/>
    <w:rsid w:val="00EA3E5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400B48"/>
  </w:style>
  <w:style w:type="paragraph" w:customStyle="1" w:styleId="ProjectName">
    <w:name w:val="Project Name"/>
    <w:basedOn w:val="CoverHeading"/>
    <w:next w:val="Para0"/>
    <w:semiHidden/>
    <w:rsid w:val="0044537D"/>
    <w:pPr>
      <w:spacing w:after="0" w:line="240" w:lineRule="auto"/>
      <w:ind w:right="0"/>
      <w:jc w:val="left"/>
    </w:pPr>
    <w:rPr>
      <w:color w:val="808080"/>
      <w:sz w:val="22"/>
    </w:rPr>
  </w:style>
  <w:style w:type="paragraph" w:customStyle="1" w:styleId="PageHeading">
    <w:name w:val="Page Heading"/>
    <w:basedOn w:val="PageTitle"/>
    <w:next w:val="Para0"/>
    <w:semiHidden/>
    <w:rsid w:val="008229E6"/>
    <w:pPr>
      <w:spacing w:after="240"/>
    </w:pPr>
    <w:rPr>
      <w:sz w:val="22"/>
    </w:rPr>
  </w:style>
  <w:style w:type="paragraph" w:customStyle="1" w:styleId="Tableletter">
    <w:name w:val="Table letter"/>
    <w:basedOn w:val="Tablebullet"/>
    <w:qFormat/>
    <w:rsid w:val="00520778"/>
    <w:pPr>
      <w:numPr>
        <w:numId w:val="22"/>
      </w:numPr>
    </w:pPr>
  </w:style>
  <w:style w:type="paragraph" w:styleId="TOC1">
    <w:name w:val="toc 1"/>
    <w:basedOn w:val="Normal"/>
    <w:next w:val="Normal"/>
    <w:autoRedefine/>
    <w:uiPriority w:val="39"/>
    <w:rsid w:val="003204CD"/>
    <w:pPr>
      <w:tabs>
        <w:tab w:val="right" w:leader="dot" w:pos="9923"/>
      </w:tabs>
      <w:spacing w:after="100" w:line="240" w:lineRule="auto"/>
      <w:ind w:left="675" w:right="454" w:hanging="675"/>
    </w:pPr>
    <w:rPr>
      <w:rFonts w:ascii="Arial Narrow" w:hAnsi="Arial Narrow"/>
      <w:b/>
      <w:noProof/>
    </w:rPr>
  </w:style>
  <w:style w:type="paragraph" w:styleId="TOC2">
    <w:name w:val="toc 2"/>
    <w:basedOn w:val="Normal"/>
    <w:next w:val="Normal"/>
    <w:autoRedefine/>
    <w:uiPriority w:val="39"/>
    <w:rsid w:val="003252EA"/>
    <w:pPr>
      <w:tabs>
        <w:tab w:val="right" w:leader="dot" w:pos="9923"/>
      </w:tabs>
      <w:spacing w:after="100" w:line="240" w:lineRule="auto"/>
      <w:ind w:left="675" w:right="454" w:hanging="675"/>
    </w:pPr>
    <w:rPr>
      <w:rFonts w:ascii="Arial Narrow" w:hAnsi="Arial Narrow"/>
      <w:noProof/>
      <w:szCs w:val="20"/>
    </w:rPr>
  </w:style>
  <w:style w:type="character" w:styleId="FootnoteReference">
    <w:name w:val="footnote reference"/>
    <w:basedOn w:val="DefaultParagraphFont"/>
    <w:uiPriority w:val="99"/>
    <w:semiHidden/>
    <w:rsid w:val="00567977"/>
    <w:rPr>
      <w:rFonts w:ascii="Arial" w:hAnsi="Arial"/>
      <w:sz w:val="17"/>
      <w:vertAlign w:val="superscript"/>
    </w:rPr>
  </w:style>
  <w:style w:type="paragraph" w:styleId="TOC3">
    <w:name w:val="toc 3"/>
    <w:basedOn w:val="Normal"/>
    <w:next w:val="Normal"/>
    <w:autoRedefine/>
    <w:uiPriority w:val="39"/>
    <w:semiHidden/>
    <w:unhideWhenUsed/>
    <w:rsid w:val="001C45CF"/>
    <w:pPr>
      <w:tabs>
        <w:tab w:val="right" w:leader="dot" w:pos="9923"/>
      </w:tabs>
      <w:spacing w:after="100"/>
      <w:ind w:left="675" w:right="454" w:hanging="675"/>
    </w:pPr>
    <w:rPr>
      <w:rFonts w:ascii="Arial Narrow" w:hAnsi="Arial Narrow"/>
      <w:noProof/>
    </w:rPr>
  </w:style>
  <w:style w:type="paragraph" w:customStyle="1" w:styleId="FooterNumbering">
    <w:name w:val="Footer Numbering"/>
    <w:basedOn w:val="FooterText"/>
    <w:next w:val="Para0"/>
    <w:semiHidden/>
    <w:unhideWhenUsed/>
    <w:qFormat/>
    <w:rsid w:val="00C76DD8"/>
    <w:pPr>
      <w:ind w:left="0"/>
      <w:jc w:val="right"/>
    </w:pPr>
  </w:style>
  <w:style w:type="paragraph" w:customStyle="1" w:styleId="ContentBulletsDash">
    <w:name w:val="Content Bullets Dash"/>
    <w:basedOn w:val="Para0"/>
    <w:semiHidden/>
    <w:qFormat/>
    <w:rsid w:val="008229E6"/>
    <w:pPr>
      <w:numPr>
        <w:numId w:val="3"/>
      </w:numPr>
      <w:ind w:left="851"/>
    </w:pPr>
  </w:style>
  <w:style w:type="paragraph" w:customStyle="1" w:styleId="ContentBulletsRomanNumeral">
    <w:name w:val="Content Bullets Roman Numeral"/>
    <w:basedOn w:val="Para0"/>
    <w:semiHidden/>
    <w:qFormat/>
    <w:rsid w:val="008229E6"/>
    <w:pPr>
      <w:numPr>
        <w:numId w:val="6"/>
      </w:numPr>
      <w:ind w:left="851"/>
    </w:pPr>
  </w:style>
  <w:style w:type="paragraph" w:customStyle="1" w:styleId="Tablenumber">
    <w:name w:val="Table number"/>
    <w:basedOn w:val="Tablebullet"/>
    <w:qFormat/>
    <w:rsid w:val="00520778"/>
    <w:pPr>
      <w:numPr>
        <w:numId w:val="21"/>
      </w:numPr>
    </w:pPr>
  </w:style>
  <w:style w:type="paragraph" w:customStyle="1" w:styleId="Tablesmalltext">
    <w:name w:val="Table small text"/>
    <w:basedOn w:val="Normal"/>
    <w:qFormat/>
    <w:rsid w:val="00CC41B0"/>
    <w:pPr>
      <w:spacing w:before="40" w:after="40"/>
    </w:pPr>
    <w:rPr>
      <w:sz w:val="16"/>
    </w:rPr>
  </w:style>
  <w:style w:type="paragraph" w:customStyle="1" w:styleId="Tablesmallbullet">
    <w:name w:val="Table small bullet"/>
    <w:basedOn w:val="Tablesmalltext"/>
    <w:qFormat/>
    <w:rsid w:val="00E57B6A"/>
    <w:pPr>
      <w:numPr>
        <w:numId w:val="30"/>
      </w:numPr>
    </w:pPr>
  </w:style>
  <w:style w:type="paragraph" w:customStyle="1" w:styleId="Tablesmallheading">
    <w:name w:val="Table small heading"/>
    <w:basedOn w:val="Tableheading"/>
    <w:qFormat/>
    <w:rsid w:val="00A3712A"/>
    <w:pPr>
      <w:spacing w:before="60" w:after="60"/>
    </w:pPr>
    <w:rPr>
      <w:rFonts w:ascii="Arial" w:hAnsi="Arial"/>
      <w:b/>
    </w:rPr>
  </w:style>
  <w:style w:type="paragraph" w:customStyle="1" w:styleId="Tablesmallletter">
    <w:name w:val="Table small letter"/>
    <w:basedOn w:val="Tablesmallbullet"/>
    <w:qFormat/>
    <w:rsid w:val="00463857"/>
    <w:pPr>
      <w:numPr>
        <w:numId w:val="26"/>
      </w:numPr>
    </w:pPr>
  </w:style>
  <w:style w:type="paragraph" w:customStyle="1" w:styleId="Tablesmallnumber">
    <w:name w:val="Table small number"/>
    <w:basedOn w:val="Tablesmallbullet"/>
    <w:qFormat/>
    <w:rsid w:val="003C057C"/>
    <w:pPr>
      <w:numPr>
        <w:numId w:val="25"/>
      </w:numPr>
    </w:pPr>
  </w:style>
  <w:style w:type="paragraph" w:customStyle="1" w:styleId="Sectionheading">
    <w:name w:val="Section heading"/>
    <w:basedOn w:val="Summary"/>
    <w:next w:val="Para0"/>
    <w:qFormat/>
    <w:rsid w:val="00BC09FA"/>
    <w:pPr>
      <w:pageBreakBefore/>
      <w:spacing w:line="360" w:lineRule="exact"/>
      <w:ind w:left="357" w:hanging="357"/>
    </w:pPr>
  </w:style>
  <w:style w:type="paragraph" w:styleId="Header">
    <w:name w:val="header"/>
    <w:basedOn w:val="PageTitle"/>
    <w:link w:val="HeaderChar"/>
    <w:unhideWhenUsed/>
    <w:rsid w:val="0044537D"/>
    <w:pPr>
      <w:spacing w:before="30" w:after="30" w:line="280" w:lineRule="exact"/>
      <w:ind w:left="227"/>
    </w:pPr>
    <w:rPr>
      <w:sz w:val="18"/>
    </w:rPr>
  </w:style>
  <w:style w:type="character" w:customStyle="1" w:styleId="HeaderChar">
    <w:name w:val="Header Char"/>
    <w:basedOn w:val="DefaultParagraphFont"/>
    <w:link w:val="Header"/>
    <w:rsid w:val="00236A21"/>
    <w:rPr>
      <w:rFonts w:ascii="Arial Black" w:hAnsi="Arial Black"/>
      <w:color w:val="808080"/>
      <w:sz w:val="18"/>
    </w:rPr>
  </w:style>
  <w:style w:type="paragraph" w:styleId="Footer">
    <w:name w:val="footer"/>
    <w:basedOn w:val="Normal"/>
    <w:link w:val="FooterChar"/>
    <w:uiPriority w:val="99"/>
    <w:unhideWhenUsed/>
    <w:rsid w:val="007A09BE"/>
    <w:pPr>
      <w:pBdr>
        <w:top w:val="single" w:sz="4" w:space="1" w:color="CECECE"/>
      </w:pBdr>
      <w:tabs>
        <w:tab w:val="right" w:pos="9923"/>
        <w:tab w:val="right" w:pos="14742"/>
        <w:tab w:val="right" w:pos="21830"/>
      </w:tabs>
      <w:spacing w:before="240" w:after="80"/>
      <w:ind w:left="11"/>
    </w:pPr>
    <w:rPr>
      <w:rFonts w:ascii="Arial Narrow" w:eastAsia="Times" w:hAnsi="Arial Narrow" w:cs="Times New Roman"/>
      <w:b/>
      <w:color w:val="808080"/>
      <w:sz w:val="16"/>
      <w:szCs w:val="20"/>
    </w:rPr>
  </w:style>
  <w:style w:type="character" w:customStyle="1" w:styleId="FooterChar">
    <w:name w:val="Footer Char"/>
    <w:basedOn w:val="DefaultParagraphFont"/>
    <w:link w:val="Footer"/>
    <w:uiPriority w:val="99"/>
    <w:rsid w:val="007A09BE"/>
    <w:rPr>
      <w:rFonts w:ascii="Arial Narrow" w:eastAsia="Times" w:hAnsi="Arial Narrow" w:cs="Times New Roman"/>
      <w:b/>
      <w:color w:val="808080"/>
      <w:sz w:val="16"/>
      <w:szCs w:val="20"/>
      <w:lang w:val="en-GB"/>
    </w:rPr>
  </w:style>
  <w:style w:type="paragraph" w:styleId="TOCHeading">
    <w:name w:val="TOC Heading"/>
    <w:basedOn w:val="Heading1"/>
    <w:next w:val="Normal"/>
    <w:uiPriority w:val="39"/>
    <w:semiHidden/>
    <w:qFormat/>
    <w:rsid w:val="00FA6BB0"/>
    <w:pPr>
      <w:pageBreakBefore w:val="0"/>
      <w:numPr>
        <w:numId w:val="0"/>
      </w:numPr>
      <w:spacing w:before="480" w:after="0" w:line="276" w:lineRule="auto"/>
      <w:outlineLvl w:val="9"/>
    </w:pPr>
    <w:rPr>
      <w:rFonts w:asciiTheme="majorHAnsi" w:hAnsiTheme="majorHAnsi"/>
      <w:color w:val="AFACA6" w:themeColor="accent1" w:themeShade="BF"/>
      <w:sz w:val="28"/>
      <w:szCs w:val="28"/>
    </w:rPr>
  </w:style>
  <w:style w:type="character" w:styleId="Hyperlink">
    <w:name w:val="Hyperlink"/>
    <w:basedOn w:val="DefaultParagraphFont"/>
    <w:uiPriority w:val="99"/>
    <w:semiHidden/>
    <w:rsid w:val="00FA6BB0"/>
    <w:rPr>
      <w:color w:val="0000FF" w:themeColor="hyperlink"/>
      <w:u w:val="single"/>
    </w:rPr>
  </w:style>
  <w:style w:type="paragraph" w:customStyle="1" w:styleId="Sidebarheading">
    <w:name w:val="Sidebar heading"/>
    <w:basedOn w:val="Normal"/>
    <w:next w:val="Sidebartext"/>
    <w:unhideWhenUsed/>
    <w:qFormat/>
    <w:rsid w:val="003202A7"/>
    <w:pPr>
      <w:framePr w:hSpace="181" w:wrap="around" w:hAnchor="margin" w:x="109" w:y="182"/>
      <w:spacing w:before="40" w:after="120"/>
      <w:ind w:left="113"/>
    </w:pPr>
    <w:rPr>
      <w:rFonts w:ascii="Arial Narrow" w:hAnsi="Arial Narrow"/>
      <w:b/>
      <w:caps/>
      <w:color w:val="42145F"/>
      <w:sz w:val="18"/>
    </w:rPr>
  </w:style>
  <w:style w:type="paragraph" w:customStyle="1" w:styleId="Sidebartext">
    <w:name w:val="Sidebar text"/>
    <w:basedOn w:val="Sidebarheading"/>
    <w:unhideWhenUsed/>
    <w:qFormat/>
    <w:rsid w:val="003202A7"/>
    <w:pPr>
      <w:framePr w:wrap="around"/>
    </w:pPr>
    <w:rPr>
      <w:b w:val="0"/>
      <w:caps w:val="0"/>
      <w:color w:val="auto"/>
    </w:rPr>
  </w:style>
  <w:style w:type="paragraph" w:customStyle="1" w:styleId="ContactDetails">
    <w:name w:val="Contact Details"/>
    <w:basedOn w:val="Normal"/>
    <w:semiHidden/>
    <w:rsid w:val="005E4FA9"/>
    <w:pPr>
      <w:tabs>
        <w:tab w:val="left" w:pos="170"/>
      </w:tabs>
      <w:autoSpaceDE w:val="0"/>
      <w:autoSpaceDN w:val="0"/>
      <w:adjustRightInd w:val="0"/>
      <w:spacing w:before="60" w:after="28" w:line="220" w:lineRule="atLeast"/>
      <w:jc w:val="center"/>
      <w:textAlignment w:val="baseline"/>
    </w:pPr>
    <w:rPr>
      <w:rFonts w:ascii="Verdana" w:eastAsia="Times" w:hAnsi="Verdana" w:cs="Frutiger 45 Light"/>
      <w:color w:val="333F7F"/>
      <w:szCs w:val="22"/>
      <w:lang w:eastAsia="en-AU"/>
    </w:rPr>
  </w:style>
  <w:style w:type="paragraph" w:customStyle="1" w:styleId="Sidebarbullet">
    <w:name w:val="Sidebar bullet"/>
    <w:basedOn w:val="Sidebartext"/>
    <w:qFormat/>
    <w:rsid w:val="006C293D"/>
    <w:pPr>
      <w:framePr w:wrap="around"/>
      <w:numPr>
        <w:numId w:val="29"/>
      </w:numPr>
      <w:spacing w:after="60"/>
    </w:pPr>
  </w:style>
  <w:style w:type="paragraph" w:customStyle="1" w:styleId="Collateralheading">
    <w:name w:val="Collateral heading"/>
    <w:basedOn w:val="Normal"/>
    <w:next w:val="Normal"/>
    <w:semiHidden/>
    <w:unhideWhenUsed/>
    <w:rsid w:val="00975178"/>
    <w:pPr>
      <w:keepNext/>
      <w:spacing w:before="80" w:after="120"/>
    </w:pPr>
    <w:rPr>
      <w:rFonts w:ascii="Arial Black" w:hAnsi="Arial Black"/>
      <w:color w:val="42145F"/>
      <w:sz w:val="18"/>
    </w:rPr>
  </w:style>
  <w:style w:type="paragraph" w:customStyle="1" w:styleId="Collateralsubheading">
    <w:name w:val="Collateral sub heading"/>
    <w:basedOn w:val="Collateralheading"/>
    <w:next w:val="Normal"/>
    <w:semiHidden/>
    <w:unhideWhenUsed/>
    <w:rsid w:val="003F106A"/>
    <w:pPr>
      <w:widowControl w:val="0"/>
      <w:spacing w:after="160"/>
    </w:pPr>
    <w:rPr>
      <w:rFonts w:ascii="Arial Narrow" w:hAnsi="Arial Narrow"/>
      <w:b/>
      <w:color w:val="42145F" w:themeColor="text1"/>
      <w:sz w:val="19"/>
    </w:rPr>
  </w:style>
  <w:style w:type="paragraph" w:customStyle="1" w:styleId="Name1">
    <w:name w:val="Name 1"/>
    <w:basedOn w:val="Normal"/>
    <w:semiHidden/>
    <w:unhideWhenUsed/>
    <w:rsid w:val="005749F6"/>
    <w:pPr>
      <w:spacing w:after="160" w:line="320" w:lineRule="exact"/>
      <w:jc w:val="right"/>
    </w:pPr>
    <w:rPr>
      <w:rFonts w:ascii="Arial Black" w:hAnsi="Arial Black"/>
      <w:color w:val="42145F"/>
      <w:sz w:val="36"/>
    </w:rPr>
  </w:style>
  <w:style w:type="paragraph" w:styleId="ListBullet">
    <w:name w:val="List Bullet"/>
    <w:basedOn w:val="Normal"/>
    <w:uiPriority w:val="99"/>
    <w:semiHidden/>
    <w:unhideWhenUsed/>
    <w:rsid w:val="005E4FA9"/>
    <w:pPr>
      <w:tabs>
        <w:tab w:val="num" w:pos="370"/>
      </w:tabs>
      <w:ind w:left="370" w:hanging="360"/>
      <w:contextualSpacing/>
    </w:pPr>
  </w:style>
  <w:style w:type="paragraph" w:customStyle="1" w:styleId="Name2">
    <w:name w:val="Name 2"/>
    <w:basedOn w:val="Name1"/>
    <w:semiHidden/>
    <w:unhideWhenUsed/>
    <w:rsid w:val="005749F6"/>
    <w:rPr>
      <w:sz w:val="28"/>
    </w:rPr>
  </w:style>
  <w:style w:type="paragraph" w:customStyle="1" w:styleId="Projectrole1">
    <w:name w:val="Project role 1"/>
    <w:basedOn w:val="Normal"/>
    <w:semiHidden/>
    <w:unhideWhenUsed/>
    <w:rsid w:val="005749F6"/>
    <w:pPr>
      <w:spacing w:after="160"/>
      <w:jc w:val="right"/>
    </w:pPr>
    <w:rPr>
      <w:rFonts w:ascii="Arial Narrow" w:hAnsi="Arial Narrow"/>
      <w:caps/>
      <w:color w:val="42145F"/>
    </w:rPr>
  </w:style>
  <w:style w:type="paragraph" w:customStyle="1" w:styleId="Projectrole2">
    <w:name w:val="Project role 2"/>
    <w:basedOn w:val="Projectrole1"/>
    <w:semiHidden/>
    <w:unhideWhenUsed/>
    <w:rsid w:val="005749F6"/>
    <w:rPr>
      <w:sz w:val="16"/>
      <w:szCs w:val="16"/>
    </w:rPr>
  </w:style>
  <w:style w:type="paragraph" w:customStyle="1" w:styleId="Bodynarrow">
    <w:name w:val="Body narrow"/>
    <w:basedOn w:val="Para0narrow"/>
    <w:qFormat/>
    <w:rsid w:val="00491B38"/>
  </w:style>
  <w:style w:type="paragraph" w:customStyle="1" w:styleId="Bodynarrowbullet">
    <w:name w:val="Body narrow bullet"/>
    <w:basedOn w:val="Bodynarrow"/>
    <w:unhideWhenUsed/>
    <w:qFormat/>
    <w:rsid w:val="0053463E"/>
    <w:pPr>
      <w:numPr>
        <w:numId w:val="27"/>
      </w:numPr>
      <w:tabs>
        <w:tab w:val="left" w:pos="198"/>
      </w:tabs>
      <w:spacing w:after="60"/>
    </w:pPr>
  </w:style>
  <w:style w:type="paragraph" w:customStyle="1" w:styleId="Bodynarrowarrow">
    <w:name w:val="Body narrow arrow"/>
    <w:basedOn w:val="Para1narrowarrow"/>
    <w:semiHidden/>
    <w:unhideWhenUsed/>
    <w:rsid w:val="0053463E"/>
    <w:pPr>
      <w:numPr>
        <w:numId w:val="27"/>
      </w:numPr>
      <w:tabs>
        <w:tab w:val="clear" w:pos="198"/>
      </w:tabs>
    </w:pPr>
  </w:style>
  <w:style w:type="paragraph" w:customStyle="1" w:styleId="Disclaimer1">
    <w:name w:val="Disclaimer 1"/>
    <w:basedOn w:val="Normal"/>
    <w:semiHidden/>
    <w:unhideWhenUsed/>
    <w:rsid w:val="003202A7"/>
    <w:pPr>
      <w:framePr w:hSpace="181" w:wrap="around" w:vAnchor="page" w:hAnchor="margin" w:y="12811"/>
      <w:spacing w:after="200" w:line="200" w:lineRule="exact"/>
    </w:pPr>
    <w:rPr>
      <w:rFonts w:ascii="Arial Narrow" w:hAnsi="Arial Narrow"/>
      <w:b/>
      <w:color w:val="A6A6A6"/>
      <w:sz w:val="17"/>
    </w:rPr>
  </w:style>
  <w:style w:type="paragraph" w:customStyle="1" w:styleId="Disclaimer2">
    <w:name w:val="Disclaimer 2"/>
    <w:basedOn w:val="Disclaimer1"/>
    <w:semiHidden/>
    <w:unhideWhenUsed/>
    <w:rsid w:val="003202A7"/>
    <w:pPr>
      <w:framePr w:wrap="around"/>
      <w:spacing w:before="80" w:after="40" w:line="180" w:lineRule="atLeast"/>
    </w:pPr>
    <w:rPr>
      <w:sz w:val="14"/>
    </w:rPr>
  </w:style>
  <w:style w:type="paragraph" w:customStyle="1" w:styleId="Para0narrow">
    <w:name w:val="Para 0 narrow"/>
    <w:basedOn w:val="Normal"/>
    <w:unhideWhenUsed/>
    <w:qFormat/>
    <w:rsid w:val="00BE03E9"/>
    <w:pPr>
      <w:spacing w:before="40" w:after="120"/>
    </w:pPr>
    <w:rPr>
      <w:rFonts w:ascii="Arial Narrow" w:hAnsi="Arial Narrow"/>
      <w:sz w:val="19"/>
    </w:rPr>
  </w:style>
  <w:style w:type="paragraph" w:customStyle="1" w:styleId="Para0narrowbullet">
    <w:name w:val="Para 0 narrow bullet"/>
    <w:basedOn w:val="Para0narrow"/>
    <w:qFormat/>
    <w:rsid w:val="00FE7784"/>
    <w:pPr>
      <w:numPr>
        <w:numId w:val="28"/>
      </w:numPr>
      <w:tabs>
        <w:tab w:val="left" w:pos="198"/>
      </w:tabs>
      <w:spacing w:after="60"/>
    </w:pPr>
  </w:style>
  <w:style w:type="paragraph" w:customStyle="1" w:styleId="SummaryHeading">
    <w:name w:val="SummaryHeading"/>
    <w:basedOn w:val="Sectionheading"/>
    <w:semiHidden/>
    <w:qFormat/>
    <w:rsid w:val="00C74B97"/>
  </w:style>
  <w:style w:type="paragraph" w:customStyle="1" w:styleId="Para0bold">
    <w:name w:val="Para 0 bold"/>
    <w:basedOn w:val="Para0"/>
    <w:qFormat/>
    <w:rsid w:val="00170FDB"/>
    <w:rPr>
      <w:b/>
    </w:rPr>
  </w:style>
  <w:style w:type="paragraph" w:customStyle="1" w:styleId="Para0number">
    <w:name w:val="Para 0 number"/>
    <w:basedOn w:val="Para0"/>
    <w:qFormat/>
    <w:rsid w:val="00A076C0"/>
    <w:pPr>
      <w:numPr>
        <w:numId w:val="32"/>
      </w:numPr>
      <w:tabs>
        <w:tab w:val="left" w:pos="851"/>
      </w:tabs>
      <w:spacing w:before="0"/>
    </w:pPr>
  </w:style>
  <w:style w:type="paragraph" w:customStyle="1" w:styleId="Para0arrow">
    <w:name w:val="Para 0 arrow"/>
    <w:basedOn w:val="Para0"/>
    <w:qFormat/>
    <w:rsid w:val="00F41C0A"/>
    <w:pPr>
      <w:numPr>
        <w:numId w:val="19"/>
      </w:numPr>
      <w:tabs>
        <w:tab w:val="left" w:pos="851"/>
      </w:tabs>
      <w:spacing w:before="0"/>
    </w:pPr>
    <w:rPr>
      <w:color w:val="42145F" w:themeColor="text1"/>
    </w:rPr>
  </w:style>
  <w:style w:type="paragraph" w:customStyle="1" w:styleId="Para0dash">
    <w:name w:val="Para 0 dash"/>
    <w:basedOn w:val="Para0"/>
    <w:qFormat/>
    <w:rsid w:val="00AE6C85"/>
    <w:pPr>
      <w:numPr>
        <w:numId w:val="34"/>
      </w:numPr>
      <w:tabs>
        <w:tab w:val="left" w:pos="851"/>
      </w:tabs>
      <w:spacing w:before="0"/>
    </w:pPr>
  </w:style>
  <w:style w:type="paragraph" w:customStyle="1" w:styleId="Para0roman">
    <w:name w:val="Para 0 roman"/>
    <w:basedOn w:val="Para0"/>
    <w:qFormat/>
    <w:rsid w:val="00C21EF5"/>
    <w:pPr>
      <w:numPr>
        <w:numId w:val="33"/>
      </w:numPr>
      <w:tabs>
        <w:tab w:val="left" w:pos="851"/>
      </w:tabs>
      <w:spacing w:before="0"/>
    </w:pPr>
  </w:style>
  <w:style w:type="paragraph" w:customStyle="1" w:styleId="Para0letter">
    <w:name w:val="Para 0 letter"/>
    <w:basedOn w:val="Para0"/>
    <w:qFormat/>
    <w:rsid w:val="00AE6C85"/>
    <w:pPr>
      <w:numPr>
        <w:numId w:val="35"/>
      </w:numPr>
      <w:tabs>
        <w:tab w:val="left" w:pos="851"/>
      </w:tabs>
      <w:spacing w:before="0"/>
    </w:pPr>
  </w:style>
  <w:style w:type="paragraph" w:customStyle="1" w:styleId="Para0bullet">
    <w:name w:val="Para 0 bullet"/>
    <w:basedOn w:val="Para0"/>
    <w:link w:val="Para0bulletChar"/>
    <w:qFormat/>
    <w:rsid w:val="006A7869"/>
    <w:pPr>
      <w:numPr>
        <w:numId w:val="36"/>
      </w:numPr>
      <w:tabs>
        <w:tab w:val="left" w:pos="851"/>
      </w:tabs>
      <w:spacing w:before="0"/>
    </w:pPr>
  </w:style>
  <w:style w:type="paragraph" w:styleId="TOC9">
    <w:name w:val="toc 9"/>
    <w:basedOn w:val="Normal"/>
    <w:next w:val="Normal"/>
    <w:autoRedefine/>
    <w:uiPriority w:val="39"/>
    <w:rsid w:val="001C45CF"/>
    <w:pPr>
      <w:tabs>
        <w:tab w:val="right" w:leader="dot" w:pos="9923"/>
      </w:tabs>
      <w:spacing w:after="100"/>
    </w:pPr>
    <w:rPr>
      <w:rFonts w:ascii="Arial Narrow" w:hAnsi="Arial Narrow"/>
      <w:b/>
      <w:noProof/>
    </w:rPr>
  </w:style>
  <w:style w:type="paragraph" w:customStyle="1" w:styleId="CVName">
    <w:name w:val="CVName"/>
    <w:basedOn w:val="Name1"/>
    <w:semiHidden/>
    <w:unhideWhenUsed/>
    <w:rsid w:val="003F106A"/>
  </w:style>
  <w:style w:type="paragraph" w:customStyle="1" w:styleId="Content">
    <w:name w:val="Content"/>
    <w:basedOn w:val="Normal"/>
    <w:semiHidden/>
    <w:unhideWhenUsed/>
    <w:qFormat/>
    <w:rsid w:val="000524AE"/>
    <w:pPr>
      <w:spacing w:line="280" w:lineRule="exact"/>
    </w:pPr>
  </w:style>
  <w:style w:type="paragraph" w:styleId="TOC4">
    <w:name w:val="toc 4"/>
    <w:basedOn w:val="Normal"/>
    <w:next w:val="Normal"/>
    <w:autoRedefine/>
    <w:uiPriority w:val="39"/>
    <w:semiHidden/>
    <w:unhideWhenUsed/>
    <w:rsid w:val="001C45CF"/>
    <w:pPr>
      <w:tabs>
        <w:tab w:val="right" w:leader="dot" w:pos="9906"/>
      </w:tabs>
      <w:spacing w:after="100"/>
      <w:ind w:left="1315" w:hanging="1315"/>
    </w:pPr>
    <w:rPr>
      <w:rFonts w:ascii="Arial Narrow" w:hAnsi="Arial Narrow"/>
    </w:rPr>
  </w:style>
  <w:style w:type="paragraph" w:styleId="TOC5">
    <w:name w:val="toc 5"/>
    <w:basedOn w:val="Normal"/>
    <w:next w:val="Normal"/>
    <w:autoRedefine/>
    <w:uiPriority w:val="39"/>
    <w:semiHidden/>
    <w:unhideWhenUsed/>
    <w:rsid w:val="001C45CF"/>
    <w:pPr>
      <w:tabs>
        <w:tab w:val="right" w:leader="dot" w:pos="9923"/>
      </w:tabs>
      <w:spacing w:after="100"/>
      <w:ind w:left="1315" w:hanging="1315"/>
    </w:pPr>
    <w:rPr>
      <w:rFonts w:ascii="Arial Narrow" w:hAnsi="Arial Narrow"/>
    </w:rPr>
  </w:style>
  <w:style w:type="paragraph" w:styleId="TOC6">
    <w:name w:val="toc 6"/>
    <w:basedOn w:val="Normal"/>
    <w:next w:val="Normal"/>
    <w:autoRedefine/>
    <w:uiPriority w:val="39"/>
    <w:semiHidden/>
    <w:unhideWhenUsed/>
    <w:rsid w:val="001C45CF"/>
    <w:pPr>
      <w:tabs>
        <w:tab w:val="left" w:pos="1315"/>
        <w:tab w:val="right" w:leader="dot" w:pos="9923"/>
      </w:tabs>
      <w:spacing w:after="100"/>
      <w:ind w:left="675" w:hanging="675"/>
    </w:pPr>
    <w:rPr>
      <w:rFonts w:ascii="Arial Narrow" w:hAnsi="Arial Narrow"/>
    </w:rPr>
  </w:style>
  <w:style w:type="paragraph" w:styleId="TOC7">
    <w:name w:val="toc 7"/>
    <w:basedOn w:val="Normal"/>
    <w:next w:val="Normal"/>
    <w:autoRedefine/>
    <w:uiPriority w:val="39"/>
    <w:semiHidden/>
    <w:unhideWhenUsed/>
    <w:rsid w:val="003252EA"/>
    <w:pPr>
      <w:tabs>
        <w:tab w:val="left" w:pos="1315"/>
        <w:tab w:val="right" w:leader="dot" w:pos="9923"/>
      </w:tabs>
      <w:spacing w:after="100"/>
      <w:ind w:left="675" w:hanging="675"/>
    </w:pPr>
    <w:rPr>
      <w:rFonts w:ascii="Arial Narrow" w:hAnsi="Arial Narrow"/>
    </w:rPr>
  </w:style>
  <w:style w:type="paragraph" w:styleId="TOC8">
    <w:name w:val="toc 8"/>
    <w:basedOn w:val="Normal"/>
    <w:next w:val="Normal"/>
    <w:autoRedefine/>
    <w:uiPriority w:val="39"/>
    <w:semiHidden/>
    <w:unhideWhenUsed/>
    <w:rsid w:val="003252EA"/>
    <w:pPr>
      <w:tabs>
        <w:tab w:val="left" w:pos="1315"/>
        <w:tab w:val="right" w:leader="dot" w:pos="9923"/>
      </w:tabs>
      <w:spacing w:after="100"/>
      <w:ind w:left="675" w:hanging="675"/>
    </w:pPr>
    <w:rPr>
      <w:rFonts w:ascii="Arial Narrow" w:hAnsi="Arial Narrow"/>
    </w:rPr>
  </w:style>
  <w:style w:type="paragraph" w:customStyle="1" w:styleId="Para1narrowarrow">
    <w:name w:val="Para 1 narrow arrow"/>
    <w:basedOn w:val="Para0narrowbullet"/>
    <w:semiHidden/>
    <w:rsid w:val="00FE7784"/>
    <w:pPr>
      <w:numPr>
        <w:ilvl w:val="1"/>
      </w:numPr>
    </w:pPr>
    <w:rPr>
      <w:sz w:val="20"/>
    </w:rPr>
  </w:style>
  <w:style w:type="paragraph" w:customStyle="1" w:styleId="Bodyheading">
    <w:name w:val="Body heading"/>
    <w:basedOn w:val="Collateralheading"/>
    <w:next w:val="Para0narrow"/>
    <w:unhideWhenUsed/>
    <w:qFormat/>
    <w:rsid w:val="00975178"/>
  </w:style>
  <w:style w:type="paragraph" w:customStyle="1" w:styleId="Bodysubheading">
    <w:name w:val="Body sub heading"/>
    <w:basedOn w:val="Collateralsubheading"/>
    <w:next w:val="Para0narrow"/>
    <w:unhideWhenUsed/>
    <w:qFormat/>
    <w:rsid w:val="00975178"/>
  </w:style>
  <w:style w:type="paragraph" w:customStyle="1" w:styleId="CVTitle">
    <w:name w:val="CVTitle"/>
    <w:basedOn w:val="Projectrole1"/>
    <w:semiHidden/>
    <w:unhideWhenUsed/>
    <w:rsid w:val="003F106A"/>
  </w:style>
  <w:style w:type="paragraph" w:customStyle="1" w:styleId="CVHead">
    <w:name w:val="CVHead"/>
    <w:basedOn w:val="Collateralheading"/>
    <w:semiHidden/>
    <w:unhideWhenUsed/>
    <w:rsid w:val="003F106A"/>
  </w:style>
  <w:style w:type="paragraph" w:customStyle="1" w:styleId="PHHeading1">
    <w:name w:val="PHHeading 1"/>
    <w:basedOn w:val="CVHead"/>
    <w:semiHidden/>
    <w:unhideWhenUsed/>
    <w:rsid w:val="003F106A"/>
  </w:style>
  <w:style w:type="paragraph" w:customStyle="1" w:styleId="PHHeading2">
    <w:name w:val="PHHeading 2"/>
    <w:basedOn w:val="Collateralsubheading"/>
    <w:semiHidden/>
    <w:unhideWhenUsed/>
    <w:rsid w:val="0044077F"/>
  </w:style>
  <w:style w:type="paragraph" w:customStyle="1" w:styleId="PHHeading3">
    <w:name w:val="PHHeading 3"/>
    <w:basedOn w:val="PHHeading2"/>
    <w:semiHidden/>
    <w:unhideWhenUsed/>
    <w:rsid w:val="0044077F"/>
  </w:style>
  <w:style w:type="paragraph" w:customStyle="1" w:styleId="Para1">
    <w:name w:val="Para 1"/>
    <w:basedOn w:val="Para0"/>
    <w:unhideWhenUsed/>
    <w:rsid w:val="003B5A3C"/>
    <w:pPr>
      <w:ind w:left="425"/>
    </w:pPr>
  </w:style>
  <w:style w:type="paragraph" w:customStyle="1" w:styleId="Para1bullet">
    <w:name w:val="Para 1 bullet"/>
    <w:basedOn w:val="Para1"/>
    <w:unhideWhenUsed/>
    <w:rsid w:val="00A332BD"/>
    <w:pPr>
      <w:numPr>
        <w:numId w:val="8"/>
      </w:numPr>
      <w:spacing w:before="0"/>
      <w:ind w:left="850" w:hanging="425"/>
    </w:pPr>
  </w:style>
  <w:style w:type="paragraph" w:customStyle="1" w:styleId="Para1dash">
    <w:name w:val="Para 1 dash"/>
    <w:basedOn w:val="Para1bullet"/>
    <w:unhideWhenUsed/>
    <w:rsid w:val="006A7869"/>
    <w:pPr>
      <w:numPr>
        <w:ilvl w:val="1"/>
        <w:numId w:val="36"/>
      </w:numPr>
    </w:pPr>
  </w:style>
  <w:style w:type="paragraph" w:customStyle="1" w:styleId="Para1letter">
    <w:name w:val="Para 1 letter"/>
    <w:basedOn w:val="Para1bullet"/>
    <w:unhideWhenUsed/>
    <w:rsid w:val="00A076C0"/>
    <w:pPr>
      <w:numPr>
        <w:ilvl w:val="1"/>
        <w:numId w:val="32"/>
      </w:numPr>
    </w:pPr>
  </w:style>
  <w:style w:type="paragraph" w:customStyle="1" w:styleId="Para1number">
    <w:name w:val="Para 1 number"/>
    <w:basedOn w:val="Para1bullet"/>
    <w:unhideWhenUsed/>
    <w:rsid w:val="00A332BD"/>
    <w:pPr>
      <w:numPr>
        <w:numId w:val="9"/>
      </w:numPr>
      <w:ind w:left="850" w:hanging="425"/>
    </w:pPr>
  </w:style>
  <w:style w:type="paragraph" w:customStyle="1" w:styleId="Summary">
    <w:name w:val="Summary"/>
    <w:basedOn w:val="Normal"/>
    <w:next w:val="Para0"/>
    <w:qFormat/>
    <w:rsid w:val="00170FDB"/>
    <w:pPr>
      <w:spacing w:after="120" w:line="320" w:lineRule="exact"/>
    </w:pPr>
    <w:rPr>
      <w:rFonts w:ascii="Arial Narrow" w:hAnsi="Arial Narrow"/>
      <w:b/>
      <w:color w:val="42145F"/>
      <w:sz w:val="32"/>
    </w:rPr>
  </w:style>
  <w:style w:type="paragraph" w:customStyle="1" w:styleId="SectionSubheading1">
    <w:name w:val="Section Sub heading 1"/>
    <w:basedOn w:val="Heading2"/>
    <w:next w:val="Para0"/>
    <w:qFormat/>
    <w:rsid w:val="00D51601"/>
    <w:pPr>
      <w:numPr>
        <w:ilvl w:val="0"/>
        <w:numId w:val="0"/>
      </w:numPr>
    </w:pPr>
  </w:style>
  <w:style w:type="paragraph" w:customStyle="1" w:styleId="SectionSubheading2">
    <w:name w:val="Section Sub heading 2"/>
    <w:basedOn w:val="Heading3"/>
    <w:next w:val="Para0"/>
    <w:qFormat/>
    <w:rsid w:val="00D51601"/>
    <w:pPr>
      <w:numPr>
        <w:ilvl w:val="0"/>
        <w:numId w:val="0"/>
      </w:numPr>
    </w:pPr>
  </w:style>
  <w:style w:type="paragraph" w:customStyle="1" w:styleId="DocumentTitle">
    <w:name w:val="Document Title"/>
    <w:basedOn w:val="Normal"/>
    <w:rsid w:val="009B0F0B"/>
    <w:pPr>
      <w:spacing w:before="60" w:after="60"/>
    </w:pPr>
  </w:style>
  <w:style w:type="paragraph" w:customStyle="1" w:styleId="Para2">
    <w:name w:val="Para 2"/>
    <w:basedOn w:val="Para1"/>
    <w:rsid w:val="003B5A3C"/>
    <w:pPr>
      <w:ind w:left="851"/>
    </w:pPr>
  </w:style>
  <w:style w:type="paragraph" w:customStyle="1" w:styleId="Para2bullet">
    <w:name w:val="Para 2 bullet"/>
    <w:basedOn w:val="Para2"/>
    <w:rsid w:val="00A332BD"/>
    <w:pPr>
      <w:numPr>
        <w:numId w:val="10"/>
      </w:numPr>
      <w:spacing w:before="0"/>
      <w:ind w:left="1276" w:hanging="425"/>
    </w:pPr>
  </w:style>
  <w:style w:type="paragraph" w:customStyle="1" w:styleId="Para2dash">
    <w:name w:val="Para 2 dash"/>
    <w:basedOn w:val="Para2"/>
    <w:rsid w:val="00A332BD"/>
    <w:pPr>
      <w:numPr>
        <w:numId w:val="11"/>
      </w:numPr>
      <w:spacing w:before="0"/>
      <w:ind w:left="1276" w:hanging="425"/>
    </w:pPr>
  </w:style>
  <w:style w:type="paragraph" w:customStyle="1" w:styleId="Para2letter">
    <w:name w:val="Para 2 letter"/>
    <w:basedOn w:val="Para2"/>
    <w:rsid w:val="00A332BD"/>
    <w:pPr>
      <w:numPr>
        <w:numId w:val="12"/>
      </w:numPr>
      <w:spacing w:before="0"/>
      <w:ind w:left="1276" w:hanging="425"/>
    </w:pPr>
  </w:style>
  <w:style w:type="paragraph" w:customStyle="1" w:styleId="Contents">
    <w:name w:val="Contents"/>
    <w:basedOn w:val="PageHeading"/>
    <w:next w:val="Para0"/>
    <w:rsid w:val="00170FDB"/>
    <w:pPr>
      <w:pageBreakBefore/>
      <w:spacing w:after="100"/>
      <w:ind w:left="0"/>
    </w:pPr>
  </w:style>
  <w:style w:type="paragraph" w:customStyle="1" w:styleId="Tablecaption">
    <w:name w:val="Table caption"/>
    <w:basedOn w:val="Caption"/>
    <w:next w:val="Para0"/>
    <w:rsid w:val="00CC41B0"/>
  </w:style>
  <w:style w:type="paragraph" w:customStyle="1" w:styleId="Figurecaption">
    <w:name w:val="Figure caption"/>
    <w:basedOn w:val="Caption"/>
    <w:next w:val="Para0"/>
    <w:rsid w:val="00717A2B"/>
  </w:style>
  <w:style w:type="paragraph" w:customStyle="1" w:styleId="Appendixsubheading1">
    <w:name w:val="Appendix subheading 1"/>
    <w:basedOn w:val="Normal"/>
    <w:next w:val="Para0"/>
    <w:qFormat/>
    <w:rsid w:val="00384844"/>
    <w:pPr>
      <w:numPr>
        <w:ilvl w:val="1"/>
        <w:numId w:val="13"/>
      </w:numPr>
      <w:spacing w:before="240" w:after="120" w:line="280" w:lineRule="exact"/>
    </w:pPr>
    <w:rPr>
      <w:rFonts w:ascii="Arial Narrow" w:hAnsi="Arial Narrow"/>
      <w:b/>
      <w:color w:val="42145F"/>
      <w:sz w:val="24"/>
    </w:rPr>
  </w:style>
  <w:style w:type="paragraph" w:customStyle="1" w:styleId="Appendixsubheading2">
    <w:name w:val="Appendix subheading 2"/>
    <w:basedOn w:val="Normal"/>
    <w:next w:val="Para0"/>
    <w:qFormat/>
    <w:rsid w:val="00384844"/>
    <w:pPr>
      <w:numPr>
        <w:ilvl w:val="2"/>
        <w:numId w:val="13"/>
      </w:numPr>
      <w:spacing w:before="240" w:after="120"/>
    </w:pPr>
    <w:rPr>
      <w:rFonts w:ascii="Arial Narrow" w:hAnsi="Arial Narrow"/>
      <w:b/>
      <w:color w:val="42145F"/>
    </w:rPr>
  </w:style>
  <w:style w:type="paragraph" w:customStyle="1" w:styleId="Image">
    <w:name w:val="Image"/>
    <w:basedOn w:val="Normal"/>
    <w:semiHidden/>
    <w:rsid w:val="00BF4375"/>
    <w:pPr>
      <w:spacing w:after="0" w:line="240" w:lineRule="auto"/>
    </w:pPr>
  </w:style>
  <w:style w:type="paragraph" w:customStyle="1" w:styleId="Para1bold">
    <w:name w:val="Para 1 bold"/>
    <w:basedOn w:val="Para1"/>
    <w:rsid w:val="003E59A6"/>
    <w:rPr>
      <w:b/>
    </w:rPr>
  </w:style>
  <w:style w:type="paragraph" w:customStyle="1" w:styleId="Para1roman">
    <w:name w:val="Para 1 roman"/>
    <w:basedOn w:val="Para1number"/>
    <w:rsid w:val="00AE6C85"/>
    <w:pPr>
      <w:numPr>
        <w:ilvl w:val="1"/>
        <w:numId w:val="35"/>
      </w:numPr>
    </w:pPr>
  </w:style>
  <w:style w:type="paragraph" w:customStyle="1" w:styleId="Para2bold">
    <w:name w:val="Para 2 bold"/>
    <w:basedOn w:val="Para2"/>
    <w:rsid w:val="003E59A6"/>
    <w:rPr>
      <w:b/>
    </w:rPr>
  </w:style>
  <w:style w:type="paragraph" w:customStyle="1" w:styleId="Para2number">
    <w:name w:val="Para 2 number"/>
    <w:basedOn w:val="Para2bullet"/>
    <w:rsid w:val="00A332BD"/>
    <w:pPr>
      <w:numPr>
        <w:numId w:val="14"/>
      </w:numPr>
      <w:ind w:left="1276" w:hanging="425"/>
    </w:pPr>
  </w:style>
  <w:style w:type="paragraph" w:customStyle="1" w:styleId="Para2roman">
    <w:name w:val="Para 2 roman"/>
    <w:basedOn w:val="Para2number"/>
    <w:rsid w:val="00A076C0"/>
    <w:pPr>
      <w:numPr>
        <w:ilvl w:val="2"/>
        <w:numId w:val="32"/>
      </w:numPr>
    </w:pPr>
  </w:style>
  <w:style w:type="paragraph" w:customStyle="1" w:styleId="TableContent">
    <w:name w:val="Table Content"/>
    <w:basedOn w:val="Normal"/>
    <w:qFormat/>
    <w:rsid w:val="00CC41B0"/>
    <w:pPr>
      <w:spacing w:before="60" w:after="60" w:line="240" w:lineRule="exact"/>
    </w:pPr>
    <w:rPr>
      <w:lang w:val="en-US"/>
    </w:rPr>
  </w:style>
  <w:style w:type="character" w:customStyle="1" w:styleId="Bodynarrowbold">
    <w:name w:val="Body narrow bold"/>
    <w:uiPriority w:val="1"/>
    <w:rsid w:val="00A97F8A"/>
    <w:rPr>
      <w:rFonts w:ascii="Arial Narrow" w:hAnsi="Arial Narrow" w:hint="default"/>
      <w:b/>
      <w:bCs w:val="0"/>
      <w:sz w:val="19"/>
    </w:rPr>
  </w:style>
  <w:style w:type="numbering" w:customStyle="1" w:styleId="SKMNumberedList1">
    <w:name w:val="SKM Numbered List 1"/>
    <w:uiPriority w:val="99"/>
    <w:rsid w:val="00A076C0"/>
    <w:pPr>
      <w:numPr>
        <w:numId w:val="23"/>
      </w:numPr>
    </w:pPr>
  </w:style>
  <w:style w:type="numbering" w:customStyle="1" w:styleId="SKMNumberedList2">
    <w:name w:val="SKM Numbered List 2"/>
    <w:uiPriority w:val="99"/>
    <w:rsid w:val="00AE6C85"/>
    <w:pPr>
      <w:numPr>
        <w:numId w:val="15"/>
      </w:numPr>
    </w:pPr>
  </w:style>
  <w:style w:type="numbering" w:customStyle="1" w:styleId="SKMNumberedList3">
    <w:name w:val="SKM Numbered List 3"/>
    <w:uiPriority w:val="99"/>
    <w:rsid w:val="00C21EF5"/>
    <w:pPr>
      <w:numPr>
        <w:numId w:val="16"/>
      </w:numPr>
    </w:pPr>
  </w:style>
  <w:style w:type="numbering" w:customStyle="1" w:styleId="SKMBulletList1">
    <w:name w:val="SKM Bullet List 1"/>
    <w:uiPriority w:val="99"/>
    <w:rsid w:val="006A7869"/>
    <w:pPr>
      <w:numPr>
        <w:numId w:val="17"/>
      </w:numPr>
    </w:pPr>
  </w:style>
  <w:style w:type="numbering" w:customStyle="1" w:styleId="SKMBulletList2">
    <w:name w:val="SKM Bullet List 2"/>
    <w:uiPriority w:val="99"/>
    <w:rsid w:val="00AE6C85"/>
    <w:pPr>
      <w:numPr>
        <w:numId w:val="18"/>
      </w:numPr>
    </w:pPr>
  </w:style>
  <w:style w:type="paragraph" w:customStyle="1" w:styleId="PurpleHeading">
    <w:name w:val="Purple Heading"/>
    <w:basedOn w:val="Normal"/>
    <w:rsid w:val="00B27BC1"/>
    <w:pPr>
      <w:framePr w:hSpace="181" w:wrap="around" w:vAnchor="text" w:hAnchor="margin" w:x="142" w:y="456"/>
      <w:spacing w:before="80" w:after="0" w:line="320" w:lineRule="atLeast"/>
      <w:suppressOverlap/>
    </w:pPr>
    <w:rPr>
      <w:rFonts w:ascii="Arial Black" w:hAnsi="Arial Black"/>
      <w:b/>
      <w:color w:val="42145F"/>
      <w:sz w:val="24"/>
    </w:rPr>
  </w:style>
  <w:style w:type="paragraph" w:customStyle="1" w:styleId="Purplenarrow">
    <w:name w:val="Purple narrow"/>
    <w:basedOn w:val="PurpleHeading"/>
    <w:rsid w:val="00B27BC1"/>
    <w:pPr>
      <w:framePr w:wrap="around"/>
      <w:spacing w:before="0"/>
    </w:pPr>
    <w:rPr>
      <w:rFonts w:ascii="Arial Narrow" w:hAnsi="Arial Narrow"/>
      <w:b w:val="0"/>
      <w:caps/>
      <w:sz w:val="18"/>
    </w:rPr>
  </w:style>
  <w:style w:type="table" w:styleId="MediumList2">
    <w:name w:val="Medium List 2"/>
    <w:basedOn w:val="TableNormal"/>
    <w:uiPriority w:val="66"/>
    <w:rsid w:val="007E5920"/>
    <w:rPr>
      <w:rFonts w:asciiTheme="majorHAnsi" w:eastAsiaTheme="majorEastAsia" w:hAnsiTheme="majorHAnsi" w:cstheme="majorBidi"/>
      <w:color w:val="42145F" w:themeColor="text1"/>
    </w:rPr>
    <w:tblPr>
      <w:tblStyleRowBandSize w:val="1"/>
      <w:tblStyleColBandSize w:val="1"/>
      <w:tblBorders>
        <w:top w:val="single" w:sz="8" w:space="0" w:color="42145F" w:themeColor="text1"/>
        <w:left w:val="single" w:sz="8" w:space="0" w:color="42145F" w:themeColor="text1"/>
        <w:bottom w:val="single" w:sz="8" w:space="0" w:color="42145F" w:themeColor="text1"/>
        <w:right w:val="single" w:sz="8" w:space="0" w:color="42145F" w:themeColor="text1"/>
      </w:tblBorders>
    </w:tblPr>
    <w:tblStylePr w:type="firstRow">
      <w:rPr>
        <w:sz w:val="24"/>
        <w:szCs w:val="24"/>
      </w:rPr>
      <w:tblPr/>
      <w:tcPr>
        <w:tcBorders>
          <w:top w:val="nil"/>
          <w:left w:val="nil"/>
          <w:bottom w:val="single" w:sz="24" w:space="0" w:color="42145F" w:themeColor="text1"/>
          <w:right w:val="nil"/>
          <w:insideH w:val="nil"/>
          <w:insideV w:val="nil"/>
        </w:tcBorders>
        <w:shd w:val="clear" w:color="auto" w:fill="939598" w:themeFill="background1"/>
      </w:tcPr>
    </w:tblStylePr>
    <w:tblStylePr w:type="lastRow">
      <w:tblPr/>
      <w:tcPr>
        <w:tcBorders>
          <w:top w:val="single" w:sz="8" w:space="0" w:color="42145F" w:themeColor="text1"/>
          <w:left w:val="nil"/>
          <w:bottom w:val="nil"/>
          <w:right w:val="nil"/>
          <w:insideH w:val="nil"/>
          <w:insideV w:val="nil"/>
        </w:tcBorders>
        <w:shd w:val="clear" w:color="auto" w:fill="939598" w:themeFill="background1"/>
      </w:tcPr>
    </w:tblStylePr>
    <w:tblStylePr w:type="firstCol">
      <w:tblPr/>
      <w:tcPr>
        <w:tcBorders>
          <w:top w:val="nil"/>
          <w:left w:val="nil"/>
          <w:bottom w:val="nil"/>
          <w:right w:val="single" w:sz="8" w:space="0" w:color="42145F" w:themeColor="text1"/>
          <w:insideH w:val="nil"/>
          <w:insideV w:val="nil"/>
        </w:tcBorders>
        <w:shd w:val="clear" w:color="auto" w:fill="939598" w:themeFill="background1"/>
      </w:tcPr>
    </w:tblStylePr>
    <w:tblStylePr w:type="lastCol">
      <w:tblPr/>
      <w:tcPr>
        <w:tcBorders>
          <w:top w:val="nil"/>
          <w:left w:val="single" w:sz="8" w:space="0" w:color="42145F" w:themeColor="text1"/>
          <w:bottom w:val="nil"/>
          <w:right w:val="nil"/>
          <w:insideH w:val="nil"/>
          <w:insideV w:val="nil"/>
        </w:tcBorders>
        <w:shd w:val="clear" w:color="auto" w:fill="939598" w:themeFill="background1"/>
      </w:tcPr>
    </w:tblStylePr>
    <w:tblStylePr w:type="band1Vert">
      <w:tblPr/>
      <w:tcPr>
        <w:tcBorders>
          <w:left w:val="nil"/>
          <w:right w:val="nil"/>
          <w:insideH w:val="nil"/>
          <w:insideV w:val="nil"/>
        </w:tcBorders>
        <w:shd w:val="clear" w:color="auto" w:fill="D5AEEE" w:themeFill="text1" w:themeFillTint="3F"/>
      </w:tcPr>
    </w:tblStylePr>
    <w:tblStylePr w:type="band1Horz">
      <w:tblPr/>
      <w:tcPr>
        <w:tcBorders>
          <w:top w:val="nil"/>
          <w:bottom w:val="nil"/>
          <w:insideH w:val="nil"/>
          <w:insideV w:val="nil"/>
        </w:tcBorders>
        <w:shd w:val="clear" w:color="auto" w:fill="D5AEEE" w:themeFill="text1" w:themeFillTint="3F"/>
      </w:tcPr>
    </w:tblStylePr>
    <w:tblStylePr w:type="nwCell">
      <w:tblPr/>
      <w:tcPr>
        <w:shd w:val="clear" w:color="auto" w:fill="939598" w:themeFill="background1"/>
      </w:tcPr>
    </w:tblStylePr>
    <w:tblStylePr w:type="swCell">
      <w:tblPr/>
      <w:tcPr>
        <w:tcBorders>
          <w:top w:val="nil"/>
        </w:tcBorders>
      </w:tcPr>
    </w:tblStylePr>
  </w:style>
  <w:style w:type="table" w:styleId="MediumGrid1-Accent1">
    <w:name w:val="Medium Grid 1 Accent 1"/>
    <w:basedOn w:val="TableNormal"/>
    <w:uiPriority w:val="67"/>
    <w:rsid w:val="007E5920"/>
    <w:tblPr>
      <w:tblStyleRowBandSize w:val="1"/>
      <w:tblStyleColBandSize w:val="1"/>
      <w:tblBorders>
        <w:top w:val="single" w:sz="8" w:space="0" w:color="ECEBE9" w:themeColor="accent1" w:themeTint="BF"/>
        <w:left w:val="single" w:sz="8" w:space="0" w:color="ECEBE9" w:themeColor="accent1" w:themeTint="BF"/>
        <w:bottom w:val="single" w:sz="8" w:space="0" w:color="ECEBE9" w:themeColor="accent1" w:themeTint="BF"/>
        <w:right w:val="single" w:sz="8" w:space="0" w:color="ECEBE9" w:themeColor="accent1" w:themeTint="BF"/>
        <w:insideH w:val="single" w:sz="8" w:space="0" w:color="ECEBE9" w:themeColor="accent1" w:themeTint="BF"/>
        <w:insideV w:val="single" w:sz="8" w:space="0" w:color="ECEBE9" w:themeColor="accent1" w:themeTint="BF"/>
      </w:tblBorders>
    </w:tblPr>
    <w:tcPr>
      <w:shd w:val="clear" w:color="auto" w:fill="F8F8F7" w:themeFill="accent1" w:themeFillTint="3F"/>
    </w:tcPr>
    <w:tblStylePr w:type="firstRow">
      <w:rPr>
        <w:b/>
        <w:bCs/>
      </w:rPr>
    </w:tblStylePr>
    <w:tblStylePr w:type="lastRow">
      <w:rPr>
        <w:b/>
        <w:bCs/>
      </w:rPr>
      <w:tblPr/>
      <w:tcPr>
        <w:tcBorders>
          <w:top w:val="single" w:sz="18" w:space="0" w:color="ECEBE9" w:themeColor="accent1" w:themeTint="BF"/>
        </w:tcBorders>
      </w:tcPr>
    </w:tblStylePr>
    <w:tblStylePr w:type="firstCol">
      <w:rPr>
        <w:b/>
        <w:bCs/>
      </w:rPr>
    </w:tblStylePr>
    <w:tblStylePr w:type="lastCol">
      <w:rPr>
        <w:b/>
        <w:bCs/>
      </w:rPr>
    </w:tblStylePr>
    <w:tblStylePr w:type="band1Vert">
      <w:tblPr/>
      <w:tcPr>
        <w:shd w:val="clear" w:color="auto" w:fill="F2F1F0" w:themeFill="accent1" w:themeFillTint="7F"/>
      </w:tcPr>
    </w:tblStylePr>
    <w:tblStylePr w:type="band1Horz">
      <w:tblPr/>
      <w:tcPr>
        <w:shd w:val="clear" w:color="auto" w:fill="F2F1F0" w:themeFill="accent1" w:themeFillTint="7F"/>
      </w:tcPr>
    </w:tblStylePr>
  </w:style>
  <w:style w:type="table" w:customStyle="1" w:styleId="Table1">
    <w:name w:val="Table1"/>
    <w:basedOn w:val="TableNormal"/>
    <w:uiPriority w:val="99"/>
    <w:rsid w:val="00680A9B"/>
    <w:tblPr>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Pr>
    <w:tblStylePr w:type="firstRow">
      <w:rPr>
        <w:rFonts w:ascii="Arial Black" w:hAnsi="Arial Black"/>
        <w:b/>
        <w:color w:val="000000"/>
        <w:sz w:val="50"/>
      </w:rPr>
      <w:tblPr/>
      <w:tcPr>
        <w:shd w:val="clear" w:color="auto" w:fill="CFCAC7"/>
      </w:tcPr>
    </w:tblStylePr>
    <w:tblStylePr w:type="firstCol">
      <w:tblPr/>
      <w:tcPr>
        <w:shd w:val="clear" w:color="auto" w:fill="E6E5E3"/>
      </w:tcPr>
    </w:tblStylePr>
  </w:style>
  <w:style w:type="table" w:customStyle="1" w:styleId="Table2">
    <w:name w:val="Table2"/>
    <w:basedOn w:val="TableNormal"/>
    <w:uiPriority w:val="99"/>
    <w:rsid w:val="00680A9B"/>
    <w:rPr>
      <w:rFonts w:ascii="Arial" w:hAnsi="Arial"/>
      <w:sz w:val="20"/>
    </w:rPr>
    <w:tblPr>
      <w:tblInd w:w="113"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Pr>
    <w:tblStylePr w:type="firstRow">
      <w:rPr>
        <w:rFonts w:ascii="Arial Black" w:hAnsi="Arial Black"/>
        <w:b/>
        <w:color w:val="000000"/>
        <w:sz w:val="50"/>
      </w:rPr>
      <w:tblPr/>
      <w:tcPr>
        <w:shd w:val="clear" w:color="auto" w:fill="CFCAC7"/>
      </w:tcPr>
    </w:tblStylePr>
  </w:style>
  <w:style w:type="paragraph" w:customStyle="1" w:styleId="PenPicBodyheading">
    <w:name w:val="Pen Pic Body heading"/>
    <w:basedOn w:val="Bodyheading"/>
    <w:rsid w:val="00B27BC1"/>
    <w:pPr>
      <w:ind w:left="284"/>
    </w:pPr>
  </w:style>
  <w:style w:type="paragraph" w:customStyle="1" w:styleId="PenPicSidebartext">
    <w:name w:val="Pen Pic Sidebar text"/>
    <w:basedOn w:val="Normal"/>
    <w:rsid w:val="00B27BC1"/>
    <w:pPr>
      <w:suppressAutoHyphens/>
      <w:autoSpaceDE w:val="0"/>
      <w:autoSpaceDN w:val="0"/>
      <w:adjustRightInd w:val="0"/>
      <w:spacing w:before="60" w:after="60"/>
      <w:ind w:left="284"/>
      <w:textAlignment w:val="center"/>
    </w:pPr>
    <w:rPr>
      <w:rFonts w:ascii="Arial Narrow" w:hAnsi="Arial Narrow" w:cs="Arial Narrow"/>
      <w:color w:val="000000"/>
      <w:sz w:val="19"/>
      <w:szCs w:val="19"/>
    </w:rPr>
  </w:style>
  <w:style w:type="paragraph" w:customStyle="1" w:styleId="PenPicSidebarbullet">
    <w:name w:val="Pen Pic Sidebar bullet"/>
    <w:basedOn w:val="Sidebarbullet"/>
    <w:rsid w:val="00B27BC1"/>
    <w:pPr>
      <w:framePr w:hSpace="0" w:wrap="auto" w:hAnchor="text" w:xAlign="left" w:yAlign="inline"/>
      <w:ind w:firstLine="0"/>
    </w:pPr>
    <w:rPr>
      <w:color w:val="000000"/>
      <w:sz w:val="19"/>
    </w:rPr>
  </w:style>
  <w:style w:type="numbering" w:customStyle="1" w:styleId="SKMBulletList3">
    <w:name w:val="SKM Bullet List 3"/>
    <w:uiPriority w:val="99"/>
    <w:rsid w:val="00F41C0A"/>
    <w:pPr>
      <w:numPr>
        <w:numId w:val="19"/>
      </w:numPr>
    </w:pPr>
  </w:style>
  <w:style w:type="numbering" w:customStyle="1" w:styleId="SKMTableList1">
    <w:name w:val="SKM Table List 1"/>
    <w:uiPriority w:val="99"/>
    <w:rsid w:val="003552CE"/>
    <w:pPr>
      <w:numPr>
        <w:numId w:val="20"/>
      </w:numPr>
    </w:pPr>
  </w:style>
  <w:style w:type="numbering" w:customStyle="1" w:styleId="SKMTableNumberedList1">
    <w:name w:val="SKM Table Numbered List 1"/>
    <w:uiPriority w:val="99"/>
    <w:rsid w:val="00520778"/>
    <w:pPr>
      <w:numPr>
        <w:numId w:val="21"/>
      </w:numPr>
    </w:pPr>
  </w:style>
  <w:style w:type="numbering" w:customStyle="1" w:styleId="SKMTableNumberedList2">
    <w:name w:val="SKM Table Numbered List 2"/>
    <w:uiPriority w:val="99"/>
    <w:rsid w:val="00520778"/>
    <w:pPr>
      <w:numPr>
        <w:numId w:val="22"/>
      </w:numPr>
    </w:pPr>
  </w:style>
  <w:style w:type="numbering" w:customStyle="1" w:styleId="SKMSmallTableList1">
    <w:name w:val="SKM Small Table List 1"/>
    <w:uiPriority w:val="99"/>
    <w:rsid w:val="00E57B6A"/>
    <w:pPr>
      <w:numPr>
        <w:numId w:val="24"/>
      </w:numPr>
    </w:pPr>
  </w:style>
  <w:style w:type="numbering" w:customStyle="1" w:styleId="SKMSmallTableNumberedList1">
    <w:name w:val="SKM Small Table Numbered List 1"/>
    <w:uiPriority w:val="99"/>
    <w:rsid w:val="003C057C"/>
    <w:pPr>
      <w:numPr>
        <w:numId w:val="25"/>
      </w:numPr>
    </w:pPr>
  </w:style>
  <w:style w:type="numbering" w:customStyle="1" w:styleId="SKMSmallTableNumberedList2">
    <w:name w:val="SKM Small Table Numbered List 2"/>
    <w:uiPriority w:val="99"/>
    <w:rsid w:val="00463857"/>
    <w:pPr>
      <w:numPr>
        <w:numId w:val="26"/>
      </w:numPr>
    </w:pPr>
  </w:style>
  <w:style w:type="numbering" w:customStyle="1" w:styleId="SKMBodyList">
    <w:name w:val="SKM Body List"/>
    <w:uiPriority w:val="99"/>
    <w:rsid w:val="0053463E"/>
    <w:pPr>
      <w:numPr>
        <w:numId w:val="27"/>
      </w:numPr>
    </w:pPr>
  </w:style>
  <w:style w:type="numbering" w:customStyle="1" w:styleId="SKMNarrowList">
    <w:name w:val="SKM Narrow List"/>
    <w:uiPriority w:val="99"/>
    <w:rsid w:val="00FE7784"/>
    <w:pPr>
      <w:numPr>
        <w:numId w:val="28"/>
      </w:numPr>
    </w:pPr>
  </w:style>
  <w:style w:type="numbering" w:customStyle="1" w:styleId="SKMSidebarList">
    <w:name w:val="SKM Sidebar List"/>
    <w:uiPriority w:val="99"/>
    <w:rsid w:val="006C293D"/>
    <w:pPr>
      <w:numPr>
        <w:numId w:val="29"/>
      </w:numPr>
    </w:pPr>
  </w:style>
  <w:style w:type="character" w:customStyle="1" w:styleId="Para0Char">
    <w:name w:val="Para 0 Char"/>
    <w:basedOn w:val="DefaultParagraphFont"/>
    <w:link w:val="Para0"/>
    <w:uiPriority w:val="99"/>
    <w:rsid w:val="00622A3C"/>
    <w:rPr>
      <w:rFonts w:ascii="Arial" w:hAnsi="Arial"/>
      <w:sz w:val="20"/>
      <w:lang w:val="en-AU"/>
    </w:rPr>
  </w:style>
  <w:style w:type="character" w:customStyle="1" w:styleId="Para0bulletChar">
    <w:name w:val="Para 0 bullet Char"/>
    <w:basedOn w:val="DefaultParagraphFont"/>
    <w:link w:val="Para0bullet"/>
    <w:rsid w:val="001E24E8"/>
    <w:rPr>
      <w:rFonts w:ascii="Arial" w:hAnsi="Arial"/>
      <w:sz w:val="20"/>
      <w:lang w:val="en-AU"/>
    </w:rPr>
  </w:style>
  <w:style w:type="paragraph" w:customStyle="1" w:styleId="TableFontbullet">
    <w:name w:val="TableFont bullet"/>
    <w:basedOn w:val="Normal"/>
    <w:rsid w:val="001E24E8"/>
    <w:pPr>
      <w:numPr>
        <w:numId w:val="37"/>
      </w:numPr>
      <w:spacing w:before="20" w:after="0" w:line="240" w:lineRule="auto"/>
    </w:pPr>
    <w:rPr>
      <w:rFonts w:eastAsia="Times New Roman" w:cs="Times New Roman"/>
      <w:color w:val="000000"/>
      <w:sz w:val="18"/>
      <w:szCs w:val="20"/>
      <w:lang w:val="en-GB"/>
    </w:rPr>
  </w:style>
  <w:style w:type="character" w:styleId="CommentReference">
    <w:name w:val="annotation reference"/>
    <w:basedOn w:val="DefaultParagraphFont"/>
    <w:uiPriority w:val="99"/>
    <w:semiHidden/>
    <w:unhideWhenUsed/>
    <w:rsid w:val="00C06949"/>
    <w:rPr>
      <w:sz w:val="16"/>
      <w:szCs w:val="16"/>
    </w:rPr>
  </w:style>
  <w:style w:type="paragraph" w:styleId="CommentText">
    <w:name w:val="annotation text"/>
    <w:basedOn w:val="Normal"/>
    <w:link w:val="CommentTextChar"/>
    <w:uiPriority w:val="99"/>
    <w:semiHidden/>
    <w:unhideWhenUsed/>
    <w:rsid w:val="00C06949"/>
    <w:pPr>
      <w:spacing w:line="240" w:lineRule="auto"/>
    </w:pPr>
    <w:rPr>
      <w:szCs w:val="20"/>
    </w:rPr>
  </w:style>
  <w:style w:type="character" w:customStyle="1" w:styleId="CommentTextChar">
    <w:name w:val="Comment Text Char"/>
    <w:basedOn w:val="DefaultParagraphFont"/>
    <w:link w:val="CommentText"/>
    <w:uiPriority w:val="99"/>
    <w:semiHidden/>
    <w:rsid w:val="00C06949"/>
    <w:rPr>
      <w:rFonts w:ascii="Arial" w:hAnsi="Arial"/>
      <w:sz w:val="20"/>
      <w:szCs w:val="20"/>
      <w:lang w:val="en-AU"/>
    </w:rPr>
  </w:style>
  <w:style w:type="paragraph" w:styleId="CommentSubject">
    <w:name w:val="annotation subject"/>
    <w:basedOn w:val="CommentText"/>
    <w:next w:val="CommentText"/>
    <w:link w:val="CommentSubjectChar"/>
    <w:uiPriority w:val="99"/>
    <w:semiHidden/>
    <w:unhideWhenUsed/>
    <w:rsid w:val="0060658C"/>
    <w:rPr>
      <w:b/>
      <w:bCs/>
    </w:rPr>
  </w:style>
  <w:style w:type="character" w:customStyle="1" w:styleId="CommentSubjectChar">
    <w:name w:val="Comment Subject Char"/>
    <w:basedOn w:val="CommentTextChar"/>
    <w:link w:val="CommentSubject"/>
    <w:uiPriority w:val="99"/>
    <w:semiHidden/>
    <w:rsid w:val="0060658C"/>
    <w:rPr>
      <w:rFonts w:ascii="Arial" w:hAnsi="Arial"/>
      <w:b/>
      <w:bCs/>
      <w:sz w:val="20"/>
      <w:szCs w:val="20"/>
      <w:lang w:val="en-AU"/>
    </w:rPr>
  </w:style>
  <w:style w:type="paragraph" w:customStyle="1" w:styleId="DocStatusH">
    <w:name w:val="DocStatusH"/>
    <w:basedOn w:val="DocStatus"/>
    <w:rsid w:val="004F72B4"/>
    <w:pPr>
      <w:spacing w:before="60" w:after="60"/>
    </w:pPr>
    <w:rPr>
      <w:b/>
    </w:rPr>
  </w:style>
  <w:style w:type="paragraph" w:customStyle="1" w:styleId="DocStatus">
    <w:name w:val="DocStatus"/>
    <w:basedOn w:val="Normal"/>
    <w:rsid w:val="004F72B4"/>
    <w:pPr>
      <w:spacing w:before="40" w:after="40" w:line="240" w:lineRule="auto"/>
    </w:pPr>
    <w:rPr>
      <w:rFonts w:eastAsia="Times New Roman" w:cs="Times New Roman"/>
      <w:color w:val="000000"/>
      <w:sz w:val="16"/>
      <w:szCs w:val="20"/>
      <w:lang w:val="en-GB"/>
    </w:rPr>
  </w:style>
  <w:style w:type="paragraph" w:customStyle="1" w:styleId="CoverSubject">
    <w:name w:val="CoverSubject"/>
    <w:basedOn w:val="Para0"/>
    <w:next w:val="Para0"/>
    <w:uiPriority w:val="99"/>
    <w:rsid w:val="004F72B4"/>
    <w:pPr>
      <w:numPr>
        <w:numId w:val="38"/>
      </w:numPr>
      <w:spacing w:before="0" w:line="240" w:lineRule="auto"/>
    </w:pPr>
    <w:rPr>
      <w:rFonts w:ascii="Arial Narrow" w:eastAsia="Times New Roman" w:hAnsi="Arial Narrow" w:cs="Times New Roman"/>
      <w:color w:val="808080"/>
      <w:sz w:val="24"/>
      <w:szCs w:val="20"/>
      <w:lang w:val="en-GB"/>
    </w:rPr>
  </w:style>
  <w:style w:type="paragraph" w:styleId="Revision">
    <w:name w:val="Revision"/>
    <w:hidden/>
    <w:uiPriority w:val="99"/>
    <w:semiHidden/>
    <w:rsid w:val="007C192C"/>
    <w:rPr>
      <w:rFonts w:ascii="Arial" w:hAnsi="Arial"/>
      <w:sz w:val="20"/>
      <w:lang w:val="en-AU"/>
    </w:rPr>
  </w:style>
  <w:style w:type="paragraph" w:styleId="ListParagraph">
    <w:name w:val="List Paragraph"/>
    <w:basedOn w:val="Normal"/>
    <w:uiPriority w:val="34"/>
    <w:semiHidden/>
    <w:rsid w:val="00CC2584"/>
    <w:pPr>
      <w:ind w:left="720"/>
      <w:contextualSpacing/>
    </w:pPr>
  </w:style>
  <w:style w:type="paragraph" w:styleId="NormalWeb">
    <w:name w:val="Normal (Web)"/>
    <w:basedOn w:val="Normal"/>
    <w:uiPriority w:val="99"/>
    <w:unhideWhenUsed/>
    <w:rsid w:val="00906537"/>
    <w:pPr>
      <w:spacing w:before="100" w:beforeAutospacing="1" w:after="100" w:afterAutospacing="1" w:line="240" w:lineRule="auto"/>
    </w:pPr>
    <w:rPr>
      <w:rFonts w:ascii="Times New Roman" w:eastAsia="Times New Roman" w:hAnsi="Times New Roman" w:cs="Times New Roman"/>
      <w:sz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9612213">
      <w:bodyDiv w:val="1"/>
      <w:marLeft w:val="0"/>
      <w:marRight w:val="0"/>
      <w:marTop w:val="0"/>
      <w:marBottom w:val="0"/>
      <w:divBdr>
        <w:top w:val="none" w:sz="0" w:space="0" w:color="auto"/>
        <w:left w:val="none" w:sz="0" w:space="0" w:color="auto"/>
        <w:bottom w:val="none" w:sz="0" w:space="0" w:color="auto"/>
        <w:right w:val="none" w:sz="0" w:space="0" w:color="auto"/>
      </w:divBdr>
    </w:div>
    <w:div w:id="818159203">
      <w:bodyDiv w:val="1"/>
      <w:marLeft w:val="0"/>
      <w:marRight w:val="0"/>
      <w:marTop w:val="0"/>
      <w:marBottom w:val="0"/>
      <w:divBdr>
        <w:top w:val="none" w:sz="0" w:space="0" w:color="auto"/>
        <w:left w:val="none" w:sz="0" w:space="0" w:color="auto"/>
        <w:bottom w:val="none" w:sz="0" w:space="0" w:color="auto"/>
        <w:right w:val="none" w:sz="0" w:space="0" w:color="auto"/>
      </w:divBdr>
    </w:div>
    <w:div w:id="1260914466">
      <w:bodyDiv w:val="1"/>
      <w:marLeft w:val="0"/>
      <w:marRight w:val="0"/>
      <w:marTop w:val="0"/>
      <w:marBottom w:val="0"/>
      <w:divBdr>
        <w:top w:val="none" w:sz="0" w:space="0" w:color="auto"/>
        <w:left w:val="none" w:sz="0" w:space="0" w:color="auto"/>
        <w:bottom w:val="none" w:sz="0" w:space="0" w:color="auto"/>
        <w:right w:val="none" w:sz="0" w:space="0" w:color="auto"/>
      </w:divBdr>
      <w:divsChild>
        <w:div w:id="13197700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8645830">
      <w:bodyDiv w:val="1"/>
      <w:marLeft w:val="0"/>
      <w:marRight w:val="0"/>
      <w:marTop w:val="0"/>
      <w:marBottom w:val="0"/>
      <w:divBdr>
        <w:top w:val="none" w:sz="0" w:space="0" w:color="auto"/>
        <w:left w:val="none" w:sz="0" w:space="0" w:color="auto"/>
        <w:bottom w:val="none" w:sz="0" w:space="0" w:color="auto"/>
        <w:right w:val="none" w:sz="0" w:space="0" w:color="auto"/>
      </w:divBdr>
    </w:div>
    <w:div w:id="15639810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oter" Target="footer5.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oter" Target="footer4.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7.pn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6.png"/><Relationship Id="rId10" Type="http://schemas.openxmlformats.org/officeDocument/2006/relationships/image" Target="media/image2.jpeg"/><Relationship Id="rId19" Type="http://schemas.openxmlformats.org/officeDocument/2006/relationships/header" Target="header4.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header4.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kmw\Templates\Proposal.dotm" TargetMode="External"/></Relationships>
</file>

<file path=word/theme/theme1.xml><?xml version="1.0" encoding="utf-8"?>
<a:theme xmlns:a="http://schemas.openxmlformats.org/drawingml/2006/main" name="SKM Cool">
  <a:themeElements>
    <a:clrScheme name="SKM Cool">
      <a:dk1>
        <a:srgbClr val="42145F"/>
      </a:dk1>
      <a:lt1>
        <a:srgbClr val="939598"/>
      </a:lt1>
      <a:dk2>
        <a:srgbClr val="000000"/>
      </a:dk2>
      <a:lt2>
        <a:srgbClr val="FFFFFF"/>
      </a:lt2>
      <a:accent1>
        <a:srgbClr val="E6E5E3"/>
      </a:accent1>
      <a:accent2>
        <a:srgbClr val="4C4D4F"/>
      </a:accent2>
      <a:accent3>
        <a:srgbClr val="B8C51B"/>
      </a:accent3>
      <a:accent4>
        <a:srgbClr val="69BE28"/>
      </a:accent4>
      <a:accent5>
        <a:srgbClr val="009DD1"/>
      </a:accent5>
      <a:accent6>
        <a:srgbClr val="5185C0"/>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EC4727-02D8-49CA-980C-F6C2CAC6E3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Proposal</Template>
  <TotalTime>1</TotalTime>
  <Pages>65</Pages>
  <Words>30052</Words>
  <Characters>171297</Characters>
  <Application>Microsoft Office Word</Application>
  <DocSecurity>0</DocSecurity>
  <Lines>1427</Lines>
  <Paragraphs>401</Paragraphs>
  <ScaleCrop>false</ScaleCrop>
  <HeadingPairs>
    <vt:vector size="2" baseType="variant">
      <vt:variant>
        <vt:lpstr>Title</vt:lpstr>
      </vt:variant>
      <vt:variant>
        <vt:i4>1</vt:i4>
      </vt:variant>
    </vt:vector>
  </HeadingPairs>
  <TitlesOfParts>
    <vt:vector size="1" baseType="lpstr">
      <vt:lpstr>Independent Review Report – Great Barrier Reef Region Strategic Assessment</vt:lpstr>
    </vt:vector>
  </TitlesOfParts>
  <Company>MacroView</Company>
  <LinksUpToDate>false</LinksUpToDate>
  <CharactersWithSpaces>200948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Independent Review Report – Great Barrier Reef Region Strategic Assessment</dc:title>
  <dc:creator>Yeates, Miles (SKM)</dc:creator>
  <cp:lastModifiedBy>Joanna Ruxton</cp:lastModifiedBy>
  <cp:revision>2</cp:revision>
  <cp:lastPrinted>2014-01-24T01:39:00Z</cp:lastPrinted>
  <dcterms:created xsi:type="dcterms:W3CDTF">2014-07-30T03:52:00Z</dcterms:created>
  <dcterms:modified xsi:type="dcterms:W3CDTF">2014-07-30T03:52:00Z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ver Heading">
    <vt:lpwstr>Cover Heading</vt:lpwstr>
  </property>
  <property fmtid="{D5CDD505-2E9C-101B-9397-08002B2CF9AE}" pid="3" name="Cover Subheading">
    <vt:lpwstr>Cover Subheading</vt:lpwstr>
  </property>
  <property fmtid="{D5CDD505-2E9C-101B-9397-08002B2CF9AE}" pid="4" name="Cover Date">
    <vt:lpwstr>Cover Date</vt:lpwstr>
  </property>
  <property fmtid="{D5CDD505-2E9C-101B-9397-08002B2CF9AE}" pid="5" name="Cover Tender Number">
    <vt:lpwstr>Cover Tender Number</vt:lpwstr>
  </property>
  <property fmtid="{D5CDD505-2E9C-101B-9397-08002B2CF9AE}" pid="6" name="Project Name">
    <vt:lpwstr>Project Name</vt:lpwstr>
  </property>
  <property fmtid="{D5CDD505-2E9C-101B-9397-08002B2CF9AE}" pid="7" name="NewDocument">
    <vt:lpwstr>False</vt:lpwstr>
  </property>
  <property fmtid="{D5CDD505-2E9C-101B-9397-08002B2CF9AE}" pid="8" name="DocumentGroup">
    <vt:lpwstr>ProposalReport</vt:lpwstr>
  </property>
  <property fmtid="{D5CDD505-2E9C-101B-9397-08002B2CF9AE}" pid="9" name="DocumentSubGroup">
    <vt:lpwstr>Proposal</vt:lpwstr>
  </property>
  <property fmtid="{D5CDD505-2E9C-101B-9397-08002B2CF9AE}" pid="10" name="Document Title">
    <vt:lpwstr>&lt;document title&gt;</vt:lpwstr>
  </property>
  <property fmtid="{D5CDD505-2E9C-101B-9397-08002B2CF9AE}" pid="11" name="Version">
    <vt:lpwstr>&lt;version&gt;</vt:lpwstr>
  </property>
  <property fmtid="{D5CDD505-2E9C-101B-9397-08002B2CF9AE}" pid="12" name="Date">
    <vt:lpwstr>&lt;date&gt;</vt:lpwstr>
  </property>
  <property fmtid="{D5CDD505-2E9C-101B-9397-08002B2CF9AE}" pid="13" name="Prepared By">
    <vt:lpwstr>&lt;prepared by&gt;</vt:lpwstr>
  </property>
  <property fmtid="{D5CDD505-2E9C-101B-9397-08002B2CF9AE}" pid="14" name="Approved By">
    <vt:lpwstr>&lt;approved by&gt;</vt:lpwstr>
  </property>
  <property fmtid="{D5CDD505-2E9C-101B-9397-08002B2CF9AE}" pid="15" name="Document Number">
    <vt:lpwstr>&lt;document number&gt;</vt:lpwstr>
  </property>
  <property fmtid="{D5CDD505-2E9C-101B-9397-08002B2CF9AE}" pid="16" name="Document Type">
    <vt:lpwstr>Proposal</vt:lpwstr>
  </property>
</Properties>
</file>